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charts/chart17.xml" ContentType="application/vnd.openxmlformats-officedocument.drawingml.chart+xml"/>
  <Override PartName="/word/charts/chart16.xml" ContentType="application/vnd.openxmlformats-officedocument.drawingml.chart+xml"/>
  <Override PartName="/word/charts/chart15.xml" ContentType="application/vnd.openxmlformats-officedocument.drawingml.chart+xml"/>
  <Override PartName="/word/charts/chart14.xml" ContentType="application/vnd.openxmlformats-officedocument.drawingml.chart+xml"/>
  <Override PartName="/word/charts/chart13.xml" ContentType="application/vnd.openxmlformats-officedocument.drawingml.chart+xml"/>
  <Override PartName="/word/charts/chart12.xml" ContentType="application/vnd.openxmlformats-officedocument.drawingml.chart+xml"/>
  <Override PartName="/word/charts/chart11.xml" ContentType="application/vnd.openxmlformats-officedocument.drawingml.chart+xml"/>
  <Override PartName="/word/charts/chart4.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charts/chart5.xml" ContentType="application/vnd.openxmlformats-officedocument.drawingml.chart+xml"/>
  <Override PartName="/word/charts/chart10.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media/image28.png" ContentType="image/png"/>
  <Override PartName="/word/media/image27.png" ContentType="image/png"/>
  <Override PartName="/word/media/image26.png" ContentType="image/png"/>
  <Override PartName="/word/media/image25.png" ContentType="image/png"/>
  <Override PartName="/word/media/image24.png" ContentType="image/png"/>
  <Override PartName="/word/media/image9.png" ContentType="image/png"/>
  <Override PartName="/word/media/image10.png" ContentType="image/png"/>
  <Override PartName="/word/media/image23.png" ContentType="image/png"/>
  <Override PartName="/word/media/image8.png" ContentType="image/png"/>
  <Override PartName="/word/media/image1.jpeg" ContentType="image/jpeg"/>
  <Override PartName="/word/media/image11.png" ContentType="image/png"/>
  <Override PartName="/word/media/image3.png" ContentType="image/png"/>
  <Override PartName="/word/media/image6.png" ContentType="image/png"/>
  <Override PartName="/word/media/image21.png" ContentType="image/png"/>
  <Override PartName="/word/media/image4.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2.jpeg" ContentType="image/jpeg"/>
  <Override PartName="/word/media/image18.png" ContentType="image/png"/>
  <Override PartName="/word/media/image19.png" ContentType="image/png"/>
  <Override PartName="/word/media/image5.png" ContentType="image/png"/>
  <Override PartName="/word/media/image20.png" ContentType="image/png"/>
  <Override PartName="/word/media/image7.png" ContentType="image/png"/>
  <Override PartName="/word/media/image22.png" ContentType="image/png"/>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footnotes.xml" ContentType="application/vnd.openxmlformats-officedocument.wordprocessingml.footnotes+xml"/>
  <Override PartName="/word/diagrams/drawing144.xml" ContentType="application/vnd.openxmlformats-officedocument.drawingml.diagramDrawing+xml"/>
  <Override PartName="/word/diagrams/data144.xml" ContentType="application/vnd.openxmlformats-officedocument.drawingml.diagramData+xml"/>
  <Override PartName="/word/diagrams/quickStyle144.xml" ContentType="application/vnd.openxmlformats-officedocument.drawingml.diagramStyle+xml"/>
  <Override PartName="/word/diagrams/layout144.xml" ContentType="application/vnd.openxmlformats-officedocument.drawingml.diagramLayout+xml"/>
  <Override PartName="/word/diagrams/colors144.xml" ContentType="application/vnd.openxmlformats-officedocument.drawingml.diagramColors+xml"/>
  <Override PartName="/word/fontTable.xml" ContentType="application/vnd.openxmlformats-officedocument.wordprocessingml.fontTable+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spacing w:before="80" w:after="60"/>
        <w:rPr>
          <w:b/>
          <w:b/>
          <w:bCs w:val="false"/>
        </w:rPr>
      </w:pPr>
      <w:r>
        <w:rPr>
          <w:b/>
          <w:bCs w:val="false"/>
        </w:rPr>
      </w:r>
    </w:p>
    <w:tbl>
      <w:tblPr>
        <w:tblW w:w="8595" w:type="dxa"/>
        <w:jc w:val="left"/>
        <w:tblInd w:w="168" w:type="dxa"/>
        <w:tblBorders/>
        <w:tblCellMar>
          <w:top w:w="0" w:type="dxa"/>
          <w:left w:w="108" w:type="dxa"/>
          <w:bottom w:w="0" w:type="dxa"/>
          <w:right w:w="108" w:type="dxa"/>
        </w:tblCellMar>
        <w:tblLook w:val="0000" w:noVBand="0" w:noHBand="0" w:firstRow="0" w:lastRow="0" w:firstColumn="0" w:lastColumn="0"/>
      </w:tblPr>
      <w:tblGrid>
        <w:gridCol w:w="8595"/>
      </w:tblGrid>
      <w:tr>
        <w:trPr/>
        <w:tc>
          <w:tcPr>
            <w:tcW w:w="8595" w:type="dxa"/>
            <w:tcBorders/>
            <w:shd w:color="auto" w:fill="auto" w:val="clear"/>
          </w:tcPr>
          <w:p>
            <w:pPr>
              <w:pStyle w:val="Normal"/>
              <w:spacing w:lineRule="auto" w:line="288" w:before="80" w:after="60"/>
              <w:jc w:val="center"/>
              <w:rPr>
                <w:b/>
                <w:b/>
              </w:rPr>
            </w:pPr>
            <w:bookmarkStart w:id="0" w:name="_Hlk68968923"/>
            <w:bookmarkEnd w:id="0"/>
            <w:r>
              <w:rPr>
                <w:b/>
              </w:rPr>
              <w:t>UNIVERSIDAD DE LAS CIENCIAS INFORMÁTICAS</w:t>
            </w:r>
          </w:p>
          <w:p>
            <w:pPr>
              <w:pStyle w:val="Normal"/>
              <w:spacing w:lineRule="auto" w:line="288"/>
              <w:jc w:val="center"/>
              <w:rPr>
                <w:b/>
                <w:b/>
              </w:rPr>
            </w:pPr>
            <w:r>
              <w:rPr>
                <w:b/>
              </w:rPr>
              <w:t>Facultad 3</w:t>
            </w:r>
          </w:p>
          <w:p>
            <w:pPr>
              <w:pStyle w:val="Normal"/>
              <w:spacing w:lineRule="auto" w:line="288"/>
              <w:jc w:val="center"/>
              <w:rPr/>
            </w:pPr>
            <w:r>
              <w:rPr>
                <w:b/>
              </w:rPr>
              <w:t>Centro de Estudio en Gestión de Proyectos y Toma de Decisiones</w:t>
            </w:r>
          </w:p>
          <w:p>
            <w:pPr>
              <w:pStyle w:val="Normal"/>
              <w:spacing w:lineRule="auto" w:line="288"/>
              <w:jc w:val="center"/>
              <w:rPr/>
            </w:pPr>
            <w:r>
              <w:rPr/>
              <w:drawing>
                <wp:anchor behindDoc="0" distT="0" distB="0" distL="114935" distR="114935" simplePos="0" locked="0" layoutInCell="1" allowOverlap="1" relativeHeight="20">
                  <wp:simplePos x="0" y="0"/>
                  <wp:positionH relativeFrom="column">
                    <wp:posOffset>2092960</wp:posOffset>
                  </wp:positionH>
                  <wp:positionV relativeFrom="paragraph">
                    <wp:posOffset>41910</wp:posOffset>
                  </wp:positionV>
                  <wp:extent cx="1073785" cy="407670"/>
                  <wp:effectExtent l="0" t="0" r="0" b="0"/>
                  <wp:wrapNone/>
                  <wp:docPr id="1"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
                          <pic:cNvPicPr>
                            <a:picLocks noChangeAspect="1" noChangeArrowheads="1"/>
                          </pic:cNvPicPr>
                        </pic:nvPicPr>
                        <pic:blipFill>
                          <a:blip r:embed="rId2"/>
                          <a:stretch>
                            <a:fillRect/>
                          </a:stretch>
                        </pic:blipFill>
                        <pic:spPr bwMode="auto">
                          <a:xfrm>
                            <a:off x="0" y="0"/>
                            <a:ext cx="1073785" cy="407670"/>
                          </a:xfrm>
                          <a:prstGeom prst="rect">
                            <a:avLst/>
                          </a:prstGeom>
                        </pic:spPr>
                      </pic:pic>
                    </a:graphicData>
                  </a:graphic>
                </wp:anchor>
              </w:drawing>
            </w:r>
          </w:p>
          <w:p>
            <w:pPr>
              <w:pStyle w:val="Normal"/>
              <w:spacing w:lineRule="auto" w:line="288"/>
              <w:jc w:val="center"/>
              <w:rPr/>
            </w:pPr>
            <w:r>
              <w:rPr/>
            </w:r>
          </w:p>
          <w:p>
            <w:pPr>
              <w:pStyle w:val="Normal"/>
              <w:spacing w:lineRule="auto" w:line="288"/>
              <w:jc w:val="center"/>
              <w:rPr>
                <w:b/>
                <w:b/>
              </w:rPr>
            </w:pPr>
            <w:r>
              <w:rPr>
                <w:b/>
              </w:rPr>
            </w:r>
          </w:p>
          <w:p>
            <w:pPr>
              <w:pStyle w:val="Normal"/>
              <w:spacing w:lineRule="auto" w:line="288"/>
              <w:jc w:val="center"/>
              <w:rPr>
                <w:b/>
                <w:b/>
              </w:rPr>
            </w:pPr>
            <w:r>
              <w:rPr>
                <w:b/>
              </w:rPr>
            </w:r>
          </w:p>
          <w:p>
            <w:pPr>
              <w:pStyle w:val="Normal"/>
              <w:spacing w:lineRule="auto" w:line="288"/>
              <w:jc w:val="center"/>
              <w:rPr>
                <w:b/>
                <w:b/>
              </w:rPr>
            </w:pPr>
            <w:r>
              <w:rPr>
                <w:rFonts w:ascii="Book Antiqua" w:hAnsi="Book Antiqua"/>
                <w:b/>
                <w:sz w:val="28"/>
              </w:rPr>
              <w:t xml:space="preserve">ALGORITMOS PARA LA SUMARIZACIÓN LINGÜÍSTICA DE DATOS PARA LA AYUDA A LA TOMA DE DECISIONES </w:t>
            </w:r>
          </w:p>
          <w:p>
            <w:pPr>
              <w:pStyle w:val="Normal"/>
              <w:spacing w:lineRule="auto" w:line="288"/>
              <w:jc w:val="center"/>
              <w:rPr>
                <w:b/>
                <w:b/>
              </w:rPr>
            </w:pPr>
            <w:r>
              <w:rPr>
                <w:b/>
              </w:rPr>
            </w:r>
          </w:p>
          <w:p>
            <w:pPr>
              <w:pStyle w:val="Normal"/>
              <w:spacing w:lineRule="auto" w:line="288"/>
              <w:jc w:val="center"/>
              <w:rPr>
                <w:b/>
                <w:b/>
              </w:rPr>
            </w:pPr>
            <w:r>
              <w:rPr>
                <w:b/>
              </w:rPr>
            </w:r>
          </w:p>
          <w:p>
            <w:pPr>
              <w:pStyle w:val="Normal"/>
              <w:spacing w:lineRule="auto" w:line="288"/>
              <w:jc w:val="center"/>
              <w:rPr/>
            </w:pPr>
            <w:r>
              <w:rPr>
                <w:b/>
              </w:rPr>
              <w:t xml:space="preserve">Tesis presentada en opción al </w:t>
            </w:r>
            <w:r>
              <w:rPr>
                <w:b/>
              </w:rPr>
              <w:t>Titulo</w:t>
            </w:r>
          </w:p>
          <w:p>
            <w:pPr>
              <w:pStyle w:val="Normal"/>
              <w:spacing w:lineRule="auto" w:line="288"/>
              <w:jc w:val="center"/>
              <w:rPr/>
            </w:pPr>
            <w:r>
              <w:rPr>
                <w:b/>
              </w:rPr>
              <w:t>M</w:t>
            </w:r>
            <w:r>
              <w:rPr>
                <w:b/>
              </w:rPr>
              <w:t>á</w:t>
            </w:r>
            <w:r>
              <w:rPr>
                <w:b/>
              </w:rPr>
              <w:t>ster en Gestión de Proyectos</w:t>
            </w:r>
          </w:p>
          <w:p>
            <w:pPr>
              <w:pStyle w:val="Normal"/>
              <w:spacing w:lineRule="auto" w:line="288"/>
              <w:jc w:val="center"/>
              <w:rPr>
                <w:b/>
                <w:b/>
              </w:rPr>
            </w:pPr>
            <w:r>
              <w:rPr>
                <w:b/>
              </w:rPr>
            </w:r>
          </w:p>
          <w:p>
            <w:pPr>
              <w:pStyle w:val="Normal"/>
              <w:spacing w:lineRule="auto" w:line="288"/>
              <w:jc w:val="center"/>
              <w:rPr>
                <w:b/>
                <w:b/>
              </w:rPr>
            </w:pPr>
            <w:r>
              <w:rPr>
                <w:b/>
              </w:rPr>
            </w:r>
          </w:p>
          <w:p>
            <w:pPr>
              <w:pStyle w:val="Normal"/>
              <w:spacing w:lineRule="auto" w:line="288"/>
              <w:jc w:val="center"/>
              <w:rPr>
                <w:b/>
                <w:b/>
              </w:rPr>
            </w:pPr>
            <w:r>
              <w:rPr>
                <w:b/>
              </w:rPr>
            </w:r>
          </w:p>
          <w:p>
            <w:pPr>
              <w:pStyle w:val="TextBodyIndent"/>
              <w:spacing w:before="144" w:after="144"/>
              <w:ind w:hanging="0"/>
              <w:jc w:val="center"/>
              <w:rPr/>
            </w:pPr>
            <w:r>
              <w:rPr>
                <w:b/>
                <w:szCs w:val="24"/>
              </w:rPr>
              <w:t xml:space="preserve">Ing YYYYYY  ZZZZ </w:t>
            </w:r>
          </w:p>
          <w:p>
            <w:pPr>
              <w:pStyle w:val="Normal"/>
              <w:spacing w:lineRule="auto" w:line="288"/>
              <w:jc w:val="center"/>
              <w:rPr>
                <w:b/>
                <w:b/>
              </w:rPr>
            </w:pPr>
            <w:r>
              <w:rPr>
                <w:b/>
              </w:rPr>
            </w:r>
          </w:p>
          <w:p>
            <w:pPr>
              <w:pStyle w:val="Normal"/>
              <w:spacing w:lineRule="auto" w:line="288"/>
              <w:jc w:val="center"/>
              <w:rPr>
                <w:b/>
                <w:b/>
              </w:rPr>
            </w:pPr>
            <w:r>
              <w:rPr>
                <w:b/>
              </w:rPr>
            </w:r>
          </w:p>
          <w:p>
            <w:pPr>
              <w:pStyle w:val="Normal"/>
              <w:spacing w:lineRule="auto" w:line="288"/>
              <w:jc w:val="center"/>
              <w:rPr>
                <w:b/>
                <w:b/>
              </w:rPr>
            </w:pPr>
            <w:r>
              <w:rPr>
                <w:b/>
              </w:rPr>
            </w:r>
          </w:p>
          <w:p>
            <w:pPr>
              <w:pStyle w:val="Normal"/>
              <w:spacing w:lineRule="auto" w:line="288"/>
              <w:jc w:val="center"/>
              <w:rPr>
                <w:b/>
                <w:b/>
              </w:rPr>
            </w:pPr>
            <w:r>
              <w:rPr>
                <w:b/>
              </w:rPr>
            </w:r>
          </w:p>
          <w:p>
            <w:pPr>
              <w:pStyle w:val="Normal"/>
              <w:spacing w:lineRule="auto" w:line="288"/>
              <w:jc w:val="center"/>
              <w:rPr>
                <w:b/>
                <w:b/>
              </w:rPr>
            </w:pPr>
            <w:r>
              <w:rPr>
                <w:b/>
              </w:rPr>
              <w:t>La Habana</w:t>
            </w:r>
          </w:p>
          <w:p>
            <w:pPr>
              <w:pStyle w:val="Normal"/>
              <w:spacing w:lineRule="auto" w:line="288" w:before="80" w:after="60"/>
              <w:jc w:val="center"/>
              <w:rPr>
                <w:b/>
                <w:b/>
              </w:rPr>
            </w:pPr>
            <w:r>
              <w:rPr>
                <w:b/>
              </w:rPr>
              <w:t>20xx</w:t>
            </w:r>
          </w:p>
        </w:tc>
      </w:tr>
    </w:tbl>
    <w:p>
      <w:pPr>
        <w:pStyle w:val="Normal"/>
        <w:rPr/>
      </w:pPr>
      <w:bookmarkStart w:id="1" w:name="__RefHeading__6837_1368057344"/>
      <w:bookmarkStart w:id="2" w:name="__RefHeading__6837_1368057344"/>
      <w:bookmarkEnd w:id="2"/>
      <w:r>
        <w:rPr/>
      </w:r>
      <w:r>
        <w:br w:type="page"/>
      </w:r>
    </w:p>
    <w:tbl>
      <w:tblPr>
        <w:tblW w:w="8595" w:type="dxa"/>
        <w:jc w:val="left"/>
        <w:tblInd w:w="168" w:type="dxa"/>
        <w:tblBorders/>
        <w:tblCellMar>
          <w:top w:w="0" w:type="dxa"/>
          <w:left w:w="108" w:type="dxa"/>
          <w:bottom w:w="0" w:type="dxa"/>
          <w:right w:w="108" w:type="dxa"/>
        </w:tblCellMar>
        <w:tblLook w:val="0000" w:noVBand="0" w:noHBand="0" w:lastColumn="0" w:firstColumn="0" w:lastRow="0" w:firstRow="0"/>
      </w:tblPr>
      <w:tblGrid>
        <w:gridCol w:w="8595"/>
      </w:tblGrid>
      <w:tr>
        <w:trPr/>
        <w:tc>
          <w:tcPr>
            <w:tcW w:w="8595" w:type="dxa"/>
            <w:tcBorders/>
            <w:shd w:color="auto" w:fill="auto" w:val="clear"/>
          </w:tcPr>
          <w:p>
            <w:pPr>
              <w:pStyle w:val="Normal"/>
              <w:pageBreakBefore/>
              <w:spacing w:lineRule="auto" w:line="288" w:before="80" w:after="60"/>
              <w:jc w:val="center"/>
              <w:rPr>
                <w:b/>
                <w:b/>
              </w:rPr>
            </w:pPr>
            <w:r>
              <w:rPr>
                <w:b/>
              </w:rPr>
              <w:t xml:space="preserve">UNIVERSIDAD DE LAS CIENCIAS INFORMÁTICAS </w:t>
            </w:r>
          </w:p>
          <w:p>
            <w:pPr>
              <w:pStyle w:val="Normal"/>
              <w:spacing w:lineRule="auto" w:line="288"/>
              <w:jc w:val="center"/>
              <w:rPr>
                <w:b/>
                <w:b/>
              </w:rPr>
            </w:pPr>
            <w:r>
              <w:rPr>
                <w:b/>
              </w:rPr>
              <w:t>Facultad 3</w:t>
            </w:r>
          </w:p>
          <w:p>
            <w:pPr>
              <w:pStyle w:val="Normal"/>
              <w:spacing w:lineRule="auto" w:line="288"/>
              <w:jc w:val="center"/>
              <w:rPr/>
            </w:pPr>
            <w:bookmarkStart w:id="3" w:name="__DdeLink__31425_2067855929"/>
            <w:bookmarkStart w:id="4" w:name="__DdeLink__29616_498839314"/>
            <w:bookmarkEnd w:id="4"/>
            <w:bookmarkEnd w:id="3"/>
            <w:r>
              <w:rPr>
                <w:b/>
              </w:rPr>
              <w:t>Centro de Estudio en Gestión de Proyectos y Toma de Decisiones</w:t>
            </w:r>
          </w:p>
          <w:p>
            <w:pPr>
              <w:pStyle w:val="Normal"/>
              <w:spacing w:lineRule="auto" w:line="288"/>
              <w:jc w:val="center"/>
              <w:rPr/>
            </w:pPr>
            <w:r>
              <w:rPr/>
              <w:drawing>
                <wp:anchor behindDoc="0" distT="0" distB="0" distL="114935" distR="114935" simplePos="0" locked="0" layoutInCell="1" allowOverlap="1" relativeHeight="27">
                  <wp:simplePos x="0" y="0"/>
                  <wp:positionH relativeFrom="column">
                    <wp:posOffset>2092960</wp:posOffset>
                  </wp:positionH>
                  <wp:positionV relativeFrom="paragraph">
                    <wp:posOffset>41910</wp:posOffset>
                  </wp:positionV>
                  <wp:extent cx="1073785" cy="407670"/>
                  <wp:effectExtent l="0" t="0" r="0" b="0"/>
                  <wp:wrapNone/>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tretch>
                            <a:fillRect/>
                          </a:stretch>
                        </pic:blipFill>
                        <pic:spPr bwMode="auto">
                          <a:xfrm>
                            <a:off x="0" y="0"/>
                            <a:ext cx="1073785" cy="407670"/>
                          </a:xfrm>
                          <a:prstGeom prst="rect">
                            <a:avLst/>
                          </a:prstGeom>
                        </pic:spPr>
                      </pic:pic>
                    </a:graphicData>
                  </a:graphic>
                </wp:anchor>
              </w:drawing>
            </w:r>
          </w:p>
          <w:p>
            <w:pPr>
              <w:pStyle w:val="Normal"/>
              <w:spacing w:lineRule="auto" w:line="288"/>
              <w:jc w:val="center"/>
              <w:rPr/>
            </w:pPr>
            <w:r>
              <w:rPr/>
            </w:r>
          </w:p>
          <w:p>
            <w:pPr>
              <w:pStyle w:val="Normal"/>
              <w:spacing w:lineRule="auto" w:line="288"/>
              <w:jc w:val="center"/>
              <w:rPr>
                <w:b/>
                <w:b/>
              </w:rPr>
            </w:pPr>
            <w:r>
              <w:rPr>
                <w:b/>
              </w:rPr>
            </w:r>
          </w:p>
          <w:p>
            <w:pPr>
              <w:pStyle w:val="Normal"/>
              <w:spacing w:lineRule="auto" w:line="288"/>
              <w:jc w:val="center"/>
              <w:rPr>
                <w:b/>
                <w:b/>
              </w:rPr>
            </w:pPr>
            <w:r>
              <w:rPr>
                <w:b/>
              </w:rPr>
            </w:r>
          </w:p>
          <w:p>
            <w:pPr>
              <w:pStyle w:val="Normal"/>
              <w:spacing w:lineRule="auto" w:line="288"/>
              <w:jc w:val="center"/>
              <w:rPr>
                <w:b/>
                <w:b/>
              </w:rPr>
            </w:pPr>
            <w:r>
              <w:rPr>
                <w:rFonts w:ascii="Book Antiqua" w:hAnsi="Book Antiqua"/>
                <w:b/>
                <w:sz w:val="28"/>
              </w:rPr>
              <w:t xml:space="preserve">ALGORITMOS PARA LA SUMARIZACIÓN LINGÜÍSTICA DE DATOS PARA LA AYUDA A LA TOMA DE DECISIONES </w:t>
            </w:r>
          </w:p>
          <w:p>
            <w:pPr>
              <w:pStyle w:val="Normal"/>
              <w:spacing w:lineRule="auto" w:line="288"/>
              <w:jc w:val="center"/>
              <w:rPr>
                <w:b/>
                <w:b/>
              </w:rPr>
            </w:pPr>
            <w:r>
              <w:rPr>
                <w:b/>
              </w:rPr>
            </w:r>
          </w:p>
          <w:p>
            <w:pPr>
              <w:pStyle w:val="Normal"/>
              <w:spacing w:lineRule="auto" w:line="288"/>
              <w:jc w:val="center"/>
              <w:rPr>
                <w:b/>
                <w:b/>
              </w:rPr>
            </w:pPr>
            <w:r>
              <w:rPr>
                <w:b/>
              </w:rPr>
            </w:r>
          </w:p>
          <w:p>
            <w:pPr>
              <w:pStyle w:val="Normal"/>
              <w:spacing w:lineRule="auto" w:line="288"/>
              <w:jc w:val="center"/>
              <w:rPr/>
            </w:pPr>
            <w:r>
              <w:rPr>
                <w:b/>
              </w:rPr>
              <w:t xml:space="preserve">Tesis presentada en opción al </w:t>
            </w:r>
            <w:r>
              <w:rPr>
                <w:b/>
              </w:rPr>
              <w:t>Título</w:t>
            </w:r>
          </w:p>
          <w:p>
            <w:pPr>
              <w:pStyle w:val="Normal"/>
              <w:spacing w:lineRule="auto" w:line="288"/>
              <w:jc w:val="center"/>
              <w:rPr/>
            </w:pPr>
            <w:r>
              <w:rPr>
                <w:b/>
              </w:rPr>
              <w:t>M</w:t>
            </w:r>
            <w:r>
              <w:rPr>
                <w:b/>
              </w:rPr>
              <w:t>á</w:t>
            </w:r>
            <w:r>
              <w:rPr>
                <w:b/>
              </w:rPr>
              <w:t>ster en Gestión de Proyectos</w:t>
            </w:r>
          </w:p>
          <w:p>
            <w:pPr>
              <w:pStyle w:val="Normal"/>
              <w:spacing w:lineRule="auto" w:line="288"/>
              <w:jc w:val="center"/>
              <w:rPr>
                <w:b/>
                <w:b/>
              </w:rPr>
            </w:pPr>
            <w:r>
              <w:rPr>
                <w:b/>
              </w:rPr>
            </w:r>
          </w:p>
          <w:p>
            <w:pPr>
              <w:pStyle w:val="Normal"/>
              <w:spacing w:lineRule="auto" w:line="288"/>
              <w:jc w:val="center"/>
              <w:rPr>
                <w:b/>
                <w:b/>
              </w:rPr>
            </w:pPr>
            <w:r>
              <w:rPr>
                <w:b/>
              </w:rPr>
            </w:r>
          </w:p>
          <w:p>
            <w:pPr>
              <w:pStyle w:val="Normal"/>
              <w:spacing w:lineRule="auto" w:line="288"/>
              <w:jc w:val="center"/>
              <w:rPr/>
            </w:pPr>
            <w:r>
              <w:rPr>
                <w:b/>
                <w:szCs w:val="24"/>
              </w:rPr>
              <w:t xml:space="preserve">     </w:t>
            </w:r>
            <w:r>
              <w:rPr>
                <w:b/>
                <w:szCs w:val="24"/>
              </w:rPr>
              <w:t>Autor: Ing. YYY XXXX</w:t>
            </w:r>
          </w:p>
          <w:p>
            <w:pPr>
              <w:pStyle w:val="Normal"/>
              <w:spacing w:lineRule="auto" w:line="288"/>
              <w:jc w:val="center"/>
              <w:rPr/>
            </w:pPr>
            <w:r>
              <w:rPr>
                <w:b/>
              </w:rPr>
              <w:t xml:space="preserve">Tutores: Prof. Titular, </w:t>
            </w:r>
            <w:r>
              <w:rPr>
                <w:b/>
                <w:szCs w:val="24"/>
              </w:rPr>
              <w:t>Dr.C ZZZZZ</w:t>
            </w:r>
          </w:p>
          <w:p>
            <w:pPr>
              <w:pStyle w:val="Normal"/>
              <w:spacing w:lineRule="auto" w:line="288"/>
              <w:ind w:left="624" w:hanging="0"/>
              <w:jc w:val="center"/>
              <w:rPr/>
            </w:pPr>
            <w:r>
              <w:rPr>
                <w:b/>
                <w:szCs w:val="24"/>
              </w:rPr>
              <w:t xml:space="preserve">   </w:t>
            </w:r>
            <w:r>
              <w:rPr>
                <w:b/>
                <w:szCs w:val="24"/>
              </w:rPr>
              <w:t>Prof. Titular, Dr. C QQQQQ</w:t>
            </w:r>
          </w:p>
          <w:p>
            <w:pPr>
              <w:pStyle w:val="Normal"/>
              <w:spacing w:lineRule="auto" w:line="288"/>
              <w:jc w:val="center"/>
              <w:rPr>
                <w:b/>
                <w:b/>
              </w:rPr>
            </w:pPr>
            <w:r>
              <w:rPr>
                <w:b/>
              </w:rPr>
            </w:r>
          </w:p>
          <w:p>
            <w:pPr>
              <w:pStyle w:val="Normal"/>
              <w:spacing w:lineRule="auto" w:line="288"/>
              <w:jc w:val="center"/>
              <w:rPr>
                <w:b/>
                <w:b/>
              </w:rPr>
            </w:pPr>
            <w:r>
              <w:rPr>
                <w:b/>
              </w:rPr>
            </w:r>
          </w:p>
          <w:p>
            <w:pPr>
              <w:pStyle w:val="Normal"/>
              <w:spacing w:lineRule="auto" w:line="288"/>
              <w:jc w:val="center"/>
              <w:rPr>
                <w:b/>
                <w:b/>
              </w:rPr>
            </w:pPr>
            <w:r>
              <w:rPr>
                <w:b/>
              </w:rPr>
            </w:r>
          </w:p>
          <w:p>
            <w:pPr>
              <w:pStyle w:val="Normal"/>
              <w:spacing w:lineRule="auto" w:line="288"/>
              <w:jc w:val="center"/>
              <w:rPr>
                <w:b/>
                <w:b/>
              </w:rPr>
            </w:pPr>
            <w:r>
              <w:rPr>
                <w:b/>
              </w:rPr>
              <w:t>La Habana</w:t>
            </w:r>
          </w:p>
          <w:p>
            <w:pPr>
              <w:pStyle w:val="Normal"/>
              <w:spacing w:lineRule="auto" w:line="288"/>
              <w:jc w:val="center"/>
              <w:rPr/>
            </w:pPr>
            <w:bookmarkStart w:id="5" w:name="_GoBack"/>
            <w:bookmarkEnd w:id="5"/>
            <w:r>
              <w:rPr>
                <w:b/>
              </w:rPr>
              <w:t>20xx</w:t>
            </w:r>
          </w:p>
          <w:p>
            <w:pPr>
              <w:pStyle w:val="Normal"/>
              <w:spacing w:lineRule="auto" w:line="288" w:before="80" w:after="60"/>
              <w:rPr/>
            </w:pPr>
            <w:r>
              <w:rPr/>
            </w:r>
          </w:p>
        </w:tc>
      </w:tr>
    </w:tbl>
    <w:p>
      <w:pPr>
        <w:pStyle w:val="Normal"/>
        <w:rPr>
          <w:rFonts w:ascii="Cambria" w:hAnsi="Cambria"/>
          <w:sz w:val="32"/>
          <w:szCs w:val="32"/>
        </w:rPr>
      </w:pPr>
      <w:r>
        <w:rPr>
          <w:rFonts w:ascii="Cambria" w:hAnsi="Cambria"/>
          <w:sz w:val="32"/>
          <w:szCs w:val="32"/>
        </w:rPr>
      </w:r>
      <w:r>
        <w:br w:type="page"/>
      </w:r>
    </w:p>
    <w:p>
      <w:pPr>
        <w:pStyle w:val="Normal"/>
        <w:rPr>
          <w:rFonts w:ascii="Cambria" w:hAnsi="Cambria"/>
          <w:sz w:val="32"/>
          <w:szCs w:val="32"/>
        </w:rPr>
      </w:pPr>
      <w:r>
        <w:rPr>
          <w:rFonts w:ascii="Cambria" w:hAnsi="Cambria"/>
          <w:sz w:val="32"/>
          <w:szCs w:val="32"/>
        </w:rPr>
        <w:t>AGRADECIMIENTOS</w:t>
      </w:r>
    </w:p>
    <w:p>
      <w:pPr>
        <w:pStyle w:val="Normal"/>
        <w:suppressAutoHyphens w:val="false"/>
        <w:overflowPunct w:val="true"/>
        <w:spacing w:lineRule="auto" w:line="240" w:before="0" w:after="0"/>
        <w:jc w:val="right"/>
        <w:textAlignment w:val="auto"/>
        <w:rPr/>
      </w:pPr>
      <w:r>
        <w:rPr>
          <w:rFonts w:cs="CMTI12" w:ascii="Book Antiqua" w:hAnsi="Book Antiqua"/>
          <w:bCs w:val="false"/>
          <w:i/>
          <w:color w:val="00000A"/>
          <w:szCs w:val="24"/>
          <w:lang w:eastAsia="ja-JP"/>
        </w:rPr>
        <w:t>, yyyyy.</w:t>
      </w:r>
      <w:r>
        <w:br w:type="page"/>
      </w:r>
    </w:p>
    <w:p>
      <w:pPr>
        <w:pStyle w:val="Normal"/>
        <w:rPr>
          <w:rFonts w:ascii="Cambria" w:hAnsi="Cambria"/>
          <w:sz w:val="32"/>
          <w:szCs w:val="32"/>
        </w:rPr>
      </w:pPr>
      <w:r>
        <w:rPr>
          <w:rFonts w:ascii="Cambria" w:hAnsi="Cambria"/>
          <w:sz w:val="32"/>
          <w:szCs w:val="32"/>
        </w:rPr>
        <w:t>DEDICATORIA</w:t>
      </w:r>
    </w:p>
    <w:p>
      <w:pPr>
        <w:pStyle w:val="Normal"/>
        <w:suppressAutoHyphens w:val="false"/>
        <w:overflowPunct w:val="true"/>
        <w:spacing w:lineRule="auto" w:line="240" w:before="0" w:after="0"/>
        <w:jc w:val="right"/>
        <w:textAlignment w:val="auto"/>
        <w:rPr>
          <w:rFonts w:ascii="Book Antiqua" w:hAnsi="Book Antiqua" w:cs="CMTI12"/>
          <w:bCs w:val="false"/>
          <w:i/>
          <w:i/>
          <w:color w:val="00000A"/>
          <w:szCs w:val="24"/>
          <w:lang w:eastAsia="ja-JP"/>
        </w:rPr>
      </w:pPr>
      <w:r>
        <w:rPr>
          <w:rFonts w:cs="CMTI12" w:ascii="Book Antiqua" w:hAnsi="Book Antiqua"/>
          <w:bCs w:val="false"/>
          <w:i/>
          <w:color w:val="00000A"/>
          <w:szCs w:val="24"/>
          <w:lang w:eastAsia="ja-JP"/>
        </w:rPr>
      </w:r>
    </w:p>
    <w:p>
      <w:pPr>
        <w:pStyle w:val="Normal"/>
        <w:suppressAutoHyphens w:val="false"/>
        <w:overflowPunct w:val="true"/>
        <w:spacing w:lineRule="auto" w:line="240" w:before="0" w:after="0"/>
        <w:jc w:val="right"/>
        <w:textAlignment w:val="auto"/>
        <w:rPr>
          <w:rFonts w:ascii="Book Antiqua" w:hAnsi="Book Antiqua" w:cs="CMTI12"/>
          <w:bCs w:val="false"/>
          <w:i/>
          <w:i/>
          <w:color w:val="00000A"/>
          <w:szCs w:val="24"/>
          <w:lang w:eastAsia="ja-JP"/>
        </w:rPr>
      </w:pPr>
      <w:r>
        <w:rPr>
          <w:rFonts w:cs="CMTI12" w:ascii="Book Antiqua" w:hAnsi="Book Antiqua"/>
          <w:bCs w:val="false"/>
          <w:i/>
          <w:color w:val="00000A"/>
          <w:szCs w:val="24"/>
          <w:lang w:eastAsia="ja-JP"/>
        </w:rPr>
      </w:r>
    </w:p>
    <w:p>
      <w:pPr>
        <w:pStyle w:val="Normal"/>
        <w:suppressAutoHyphens w:val="false"/>
        <w:overflowPunct w:val="true"/>
        <w:spacing w:lineRule="auto" w:line="240" w:before="0" w:after="0"/>
        <w:jc w:val="right"/>
        <w:textAlignment w:val="auto"/>
        <w:rPr>
          <w:rFonts w:ascii="Book Antiqua" w:hAnsi="Book Antiqua" w:cs="CMTI12"/>
          <w:bCs w:val="false"/>
          <w:i/>
          <w:i/>
          <w:color w:val="00000A"/>
          <w:szCs w:val="24"/>
          <w:lang w:eastAsia="ja-JP"/>
        </w:rPr>
      </w:pPr>
      <w:r>
        <w:rPr>
          <w:rFonts w:cs="CMTI12" w:ascii="Book Antiqua" w:hAnsi="Book Antiqua"/>
          <w:bCs w:val="false"/>
          <w:i/>
          <w:color w:val="00000A"/>
          <w:szCs w:val="24"/>
          <w:lang w:eastAsia="ja-JP"/>
        </w:rPr>
      </w:r>
    </w:p>
    <w:p>
      <w:pPr>
        <w:pStyle w:val="Normal"/>
        <w:suppressAutoHyphens w:val="false"/>
        <w:overflowPunct w:val="true"/>
        <w:spacing w:lineRule="auto" w:line="240" w:before="0" w:after="0"/>
        <w:jc w:val="right"/>
        <w:textAlignment w:val="auto"/>
        <w:rPr>
          <w:rFonts w:ascii="Book Antiqua" w:hAnsi="Book Antiqua" w:cs="CMTI12"/>
          <w:bCs w:val="false"/>
          <w:i/>
          <w:i/>
          <w:color w:val="00000A"/>
          <w:szCs w:val="24"/>
          <w:lang w:eastAsia="ja-JP"/>
        </w:rPr>
      </w:pPr>
      <w:r>
        <w:rPr>
          <w:rFonts w:cs="CMTI12" w:ascii="Book Antiqua" w:hAnsi="Book Antiqua"/>
          <w:bCs w:val="false"/>
          <w:i/>
          <w:color w:val="00000A"/>
          <w:szCs w:val="24"/>
          <w:lang w:eastAsia="ja-JP"/>
        </w:rPr>
      </w:r>
    </w:p>
    <w:p>
      <w:pPr>
        <w:pStyle w:val="Normal"/>
        <w:suppressAutoHyphens w:val="false"/>
        <w:overflowPunct w:val="true"/>
        <w:spacing w:lineRule="auto" w:line="240" w:before="0" w:after="0"/>
        <w:jc w:val="right"/>
        <w:textAlignment w:val="auto"/>
        <w:rPr>
          <w:rFonts w:ascii="Book Antiqua" w:hAnsi="Book Antiqua" w:cs="CMTI12"/>
          <w:bCs w:val="false"/>
          <w:i/>
          <w:i/>
          <w:color w:val="00000A"/>
          <w:szCs w:val="24"/>
          <w:lang w:eastAsia="ja-JP"/>
        </w:rPr>
      </w:pPr>
      <w:r>
        <w:rPr>
          <w:rFonts w:cs="CMTI12" w:ascii="Book Antiqua" w:hAnsi="Book Antiqua"/>
          <w:bCs w:val="false"/>
          <w:i/>
          <w:color w:val="00000A"/>
          <w:szCs w:val="24"/>
          <w:lang w:eastAsia="ja-JP"/>
        </w:rPr>
      </w:r>
    </w:p>
    <w:p>
      <w:pPr>
        <w:pStyle w:val="Normal"/>
        <w:suppressAutoHyphens w:val="false"/>
        <w:overflowPunct w:val="true"/>
        <w:spacing w:lineRule="auto" w:line="240" w:before="0" w:after="0"/>
        <w:jc w:val="right"/>
        <w:textAlignment w:val="auto"/>
        <w:rPr>
          <w:rFonts w:ascii="Book Antiqua" w:hAnsi="Book Antiqua" w:cs="CMTI12"/>
          <w:bCs w:val="false"/>
          <w:i/>
          <w:i/>
          <w:color w:val="00000A"/>
          <w:szCs w:val="24"/>
          <w:lang w:eastAsia="ja-JP"/>
        </w:rPr>
      </w:pPr>
      <w:r>
        <w:rPr>
          <w:rFonts w:cs="CMTI12" w:ascii="Book Antiqua" w:hAnsi="Book Antiqua"/>
          <w:bCs w:val="false"/>
          <w:i/>
          <w:color w:val="00000A"/>
          <w:szCs w:val="24"/>
          <w:lang w:eastAsia="ja-JP"/>
        </w:rPr>
      </w:r>
    </w:p>
    <w:p>
      <w:pPr>
        <w:pStyle w:val="Normal"/>
        <w:suppressAutoHyphens w:val="false"/>
        <w:overflowPunct w:val="true"/>
        <w:spacing w:lineRule="auto" w:line="240" w:before="0" w:after="0"/>
        <w:jc w:val="right"/>
        <w:textAlignment w:val="auto"/>
        <w:rPr/>
      </w:pPr>
      <w:r>
        <w:rPr>
          <w:rFonts w:cs="CMTI12" w:ascii="Book Antiqua" w:hAnsi="Book Antiqua"/>
          <w:bCs w:val="false"/>
          <w:i/>
          <w:color w:val="00000A"/>
          <w:szCs w:val="24"/>
          <w:lang w:eastAsia="ja-JP"/>
        </w:rPr>
        <w:t>xxxxxx.</w:t>
      </w:r>
    </w:p>
    <w:p>
      <w:pPr>
        <w:pStyle w:val="TDNormal"/>
        <w:rPr/>
      </w:pPr>
      <w:r>
        <w:rPr/>
      </w:r>
    </w:p>
    <w:p>
      <w:pPr>
        <w:pStyle w:val="Normal"/>
        <w:rPr>
          <w:b/>
          <w:b/>
        </w:rPr>
      </w:pPr>
      <w:r>
        <w:rPr>
          <w:b/>
        </w:rPr>
      </w:r>
      <w:r>
        <w:br w:type="page"/>
      </w:r>
    </w:p>
    <w:p>
      <w:pPr>
        <w:pStyle w:val="Normal"/>
        <w:jc w:val="center"/>
        <w:rPr>
          <w:sz w:val="32"/>
          <w:szCs w:val="32"/>
        </w:rPr>
      </w:pPr>
      <w:bookmarkStart w:id="6" w:name="__RefHeading__6843_1368057344"/>
      <w:bookmarkEnd w:id="6"/>
      <w:r>
        <w:rPr>
          <w:sz w:val="32"/>
          <w:szCs w:val="32"/>
        </w:rPr>
        <w:t>SÍNTESIS</w:t>
      </w:r>
    </w:p>
    <w:p>
      <w:pPr>
        <w:pStyle w:val="Normal"/>
        <w:rPr/>
      </w:pPr>
      <w:r>
        <w:rPr/>
        <w:t xml:space="preserve">El desarrollo de la tecnología de la información causa incremento en los registros de datos en los disímiles escenarios de toma de decisiones, cuyo procesamiento y necesaria interpretación conlleva al uso de herramientas o técnicas que permitan el descubrimiento de patrones de comportamiento y su interpretabilidad. </w:t>
      </w:r>
      <w:bookmarkStart w:id="7" w:name="_Hlk70737121"/>
      <w:r>
        <w:rPr/>
        <w:t>Este problema se incrementa en escenarios donde con frecuencia se subutiliza la información que se dispone, donde no se cuenta con suficientes herramientas que permitan el descubrimiento de las dependencias no triviales ocultas en los datos ni con herramientas que permitan representar estas dependencias en una forma legible y entendible por el ser humano; afectando en cierta medida, el proceso de toma de decisiones por parte de los decisores</w:t>
      </w:r>
      <w:bookmarkEnd w:id="7"/>
      <w:r>
        <w:rPr/>
        <w:t xml:space="preserve">. </w:t>
      </w:r>
    </w:p>
    <w:p>
      <w:pPr>
        <w:pStyle w:val="Normal"/>
        <w:rPr/>
      </w:pPr>
      <w:r>
        <w:rPr/>
        <w:t xml:space="preserve">En este contexto surge la sumarización lingüística de datos como una de las técnicas de descubrimiento de conocimiento descriptivo con un enfoque prometedor para producir resúmenes a partir de una base de datos utilizando lenguaje natural, donde autores como Yager y Zadeh fueron pioneros y marcaron pautas en el desarrollo de estas técnicas. No obstante, es un área de conocimiento con muchas oportunidades de mejora y líneas abiertas a la investigación. </w:t>
      </w:r>
    </w:p>
    <w:p>
      <w:pPr>
        <w:pStyle w:val="Normal"/>
        <w:rPr/>
      </w:pPr>
      <w:r>
        <w:rPr/>
        <w:t>En esta tesis se analizan las tendencias en la sumarización lingüística de datos y las insuficiencias de los métodos existentes tanto para la generación como para la evaluación de resúmenes lingüísticos de datos. Se proponen nuevos algoritmos para la generación de resúmenes lingüísticos a partir de datos que combinan diferentes técnicas de computación emergente, entre las que se destacan la teoría neutrosófica, los conjuntos aproximados, el aprendizaje de reglas de asociación y el aprendizaje de grafos probabilísticos. También se discuten diferentes enfoques que permiten la aplicación de la sumarización lingüística de datos en el descubrimiento y representación de situaciones con presencia de datos anómalos. Para facilitar el enfoque multilingüe de los resúmenes lingüísticos generados, los algoritmos propuestos hacen uso de los lenguajes naturales controlados (LNC), donde se proponen LNC asociados a los idiomas español</w:t>
      </w:r>
      <w:bookmarkStart w:id="8" w:name="_Hlk70746097"/>
      <w:r>
        <w:rPr/>
        <w:t xml:space="preserve">, inglés, japonés y árabe. </w:t>
      </w:r>
      <w:bookmarkStart w:id="9" w:name="_Hlk70746484"/>
      <w:r>
        <w:rPr/>
        <w:t xml:space="preserve">Los algoritmos propuestos se comparan con otras técnicas reportadas en la bibliografía a partir de su desempeño en 12 bases de datos, demostrando la superioridad de la propuesta respecto a la eficiencia, el tratamiento de la incertidumbre, la interpretabilidad de los resúmenes lingüísticos y su </w:t>
      </w:r>
      <w:bookmarkEnd w:id="8"/>
      <w:r>
        <w:rPr/>
        <w:t>generación en múltiples idiomas</w:t>
      </w:r>
      <w:bookmarkEnd w:id="9"/>
      <w:r>
        <w:rPr/>
        <w:t xml:space="preserve">. </w:t>
      </w:r>
    </w:p>
    <w:p>
      <w:pPr>
        <w:pStyle w:val="Normal"/>
        <w:rPr/>
      </w:pPr>
      <w:bookmarkStart w:id="10" w:name="__RefHeading__6845_1368057344"/>
      <w:bookmarkEnd w:id="10"/>
      <w:r>
        <w:rPr/>
        <w:t>Otro aporte de la investigación radica en que se proponen nuevas extensiones a los indicadores para la evaluación de los resúmenes lingüísticos que complementan a los indicadores existentes e incorporan elementos de la teoría neutrosófica mejorando el tratamiento de la indeterminación. Finalmente se presentan las conclusiones y recomendaciones de la investigación.</w:t>
      </w:r>
      <w:r>
        <w:br w:type="page"/>
      </w:r>
    </w:p>
    <w:p>
      <w:pPr>
        <w:pStyle w:val="Title"/>
        <w:rPr/>
      </w:pPr>
      <w:r>
        <w:rPr>
          <w:sz w:val="32"/>
          <w:szCs w:val="32"/>
        </w:rPr>
        <w:t>Í</w:t>
      </w:r>
      <w:bookmarkStart w:id="11" w:name="__RefHeading__322_1220193368"/>
      <w:bookmarkStart w:id="12" w:name="__RefHeading__363_1820660768"/>
      <w:bookmarkStart w:id="13" w:name="__RefHeading__240_1544525110"/>
      <w:bookmarkStart w:id="14" w:name="__RefHeading__156_208808435"/>
      <w:bookmarkStart w:id="15" w:name="__RefHeading__158_2137108762"/>
      <w:bookmarkStart w:id="16" w:name="__RefHeading__6849_1368057344"/>
      <w:bookmarkStart w:id="17" w:name="__RefHeading__425_234932185"/>
      <w:bookmarkStart w:id="18" w:name="__RefHeading__115_473670690"/>
      <w:bookmarkStart w:id="19" w:name="__RefHeading__332_1103062518"/>
      <w:bookmarkStart w:id="20" w:name="__RefHeading__1154_1498667250"/>
      <w:bookmarkStart w:id="21" w:name="__RefHeading__686_567337369"/>
      <w:bookmarkStart w:id="22" w:name="_Toc476477062"/>
      <w:bookmarkStart w:id="23" w:name="_Toc484293838"/>
      <w:bookmarkEnd w:id="11"/>
      <w:bookmarkEnd w:id="12"/>
      <w:bookmarkEnd w:id="13"/>
      <w:bookmarkEnd w:id="14"/>
      <w:bookmarkEnd w:id="15"/>
      <w:bookmarkEnd w:id="16"/>
      <w:bookmarkEnd w:id="17"/>
      <w:bookmarkEnd w:id="18"/>
      <w:bookmarkEnd w:id="19"/>
      <w:bookmarkEnd w:id="20"/>
      <w:bookmarkEnd w:id="21"/>
      <w:bookmarkEnd w:id="22"/>
      <w:bookmarkEnd w:id="23"/>
      <w:r>
        <w:rPr>
          <w:sz w:val="32"/>
          <w:szCs w:val="32"/>
        </w:rPr>
        <w:t>NDICE</w:t>
      </w:r>
    </w:p>
    <w:p>
      <w:pPr>
        <w:pStyle w:val="Contents1"/>
        <w:tabs>
          <w:tab w:val="right" w:pos="8777" w:leader="dot"/>
        </w:tabs>
        <w:rPr>
          <w:rFonts w:ascii="Calibri" w:hAnsi="Calibri" w:cs="" w:asciiTheme="minorHAnsi" w:cstheme="minorBidi" w:hAnsiTheme="minorHAnsi"/>
          <w:b w:val="false"/>
          <w:b w:val="false"/>
          <w:bCs w:val="false"/>
          <w:caps w:val="false"/>
          <w:smallCaps w:val="false"/>
          <w:color w:val="00000A"/>
          <w:sz w:val="22"/>
          <w:szCs w:val="22"/>
          <w:lang w:eastAsia="ja-JP"/>
        </w:rPr>
      </w:pPr>
      <w:r>
        <w:fldChar w:fldCharType="begin"/>
      </w:r>
      <w:r>
        <w:instrText> TOC \z \o "1-2" \u \h</w:instrText>
      </w:r>
      <w:r>
        <w:fldChar w:fldCharType="separate"/>
      </w:r>
      <w:hyperlink w:anchor="_Toc84598920">
        <w:r>
          <w:rPr>
            <w:webHidden/>
          </w:rPr>
          <w:fldChar w:fldCharType="begin"/>
        </w:r>
        <w:r>
          <w:rPr>
            <w:webHidden/>
          </w:rPr>
          <w:instrText>PAGEREF _Toc84598920 \h</w:instrText>
        </w:r>
        <w:r>
          <w:rPr>
            <w:webHidden/>
          </w:rPr>
          <w:fldChar w:fldCharType="separate"/>
        </w:r>
        <w:r>
          <w:rPr>
            <w:webHidden/>
            <w:rStyle w:val="IndexLink"/>
            <w:vanish w:val="false"/>
          </w:rPr>
          <w:t>Introducción</w:t>
          <w:tab/>
          <w:t>1</w:t>
        </w:r>
        <w:r>
          <w:rPr>
            <w:webHidden/>
          </w:rPr>
          <w:fldChar w:fldCharType="end"/>
        </w:r>
      </w:hyperlink>
    </w:p>
    <w:p>
      <w:pPr>
        <w:pStyle w:val="Contents1"/>
        <w:tabs>
          <w:tab w:val="left" w:pos="440" w:leader="none"/>
          <w:tab w:val="right" w:pos="8777" w:leader="dot"/>
        </w:tabs>
        <w:rPr>
          <w:rFonts w:ascii="Calibri" w:hAnsi="Calibri" w:cs="" w:asciiTheme="minorHAnsi" w:cstheme="minorBidi" w:hAnsiTheme="minorHAnsi"/>
          <w:b w:val="false"/>
          <w:b w:val="false"/>
          <w:bCs w:val="false"/>
          <w:caps w:val="false"/>
          <w:smallCaps w:val="false"/>
          <w:color w:val="00000A"/>
          <w:sz w:val="22"/>
          <w:szCs w:val="22"/>
          <w:lang w:eastAsia="ja-JP"/>
        </w:rPr>
      </w:pPr>
      <w:hyperlink w:anchor="_Toc84598921">
        <w:r>
          <w:rPr>
            <w:webHidden/>
            <w:rStyle w:val="IndexLink"/>
            <w:vanish w:val="false"/>
          </w:rPr>
          <w:t>1</w:t>
        </w:r>
        <w:r>
          <w:rPr>
            <w:rStyle w:val="IndexLink"/>
            <w:rFonts w:cs="" w:cstheme="minorBidi"/>
            <w:b w:val="false"/>
            <w:bCs w:val="false"/>
            <w:caps w:val="false"/>
            <w:smallCaps w:val="false"/>
            <w:color w:val="00000A"/>
            <w:sz w:val="22"/>
            <w:szCs w:val="22"/>
            <w:lang w:eastAsia="ja-JP"/>
          </w:rPr>
          <w:tab/>
        </w:r>
        <w:r>
          <w:rPr>
            <w:webHidden/>
          </w:rPr>
          <w:fldChar w:fldCharType="begin"/>
        </w:r>
        <w:r>
          <w:rPr>
            <w:webHidden/>
          </w:rPr>
          <w:instrText>PAGEREF _Toc84598921 \h</w:instrText>
        </w:r>
        <w:r>
          <w:rPr>
            <w:webHidden/>
          </w:rPr>
          <w:fldChar w:fldCharType="separate"/>
        </w:r>
        <w:r>
          <w:rPr>
            <w:rStyle w:val="IndexLink"/>
          </w:rPr>
          <w:t>Capítulo 1: Fundamentación teórica</w:t>
          <w:tab/>
          <w:t>10</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22">
        <w:r>
          <w:rPr>
            <w:webHidden/>
            <w:rStyle w:val="IndexLink"/>
            <w:vanish w:val="false"/>
          </w:rPr>
          <w:t>1.1</w:t>
        </w:r>
        <w:r>
          <w:rPr>
            <w:rStyle w:val="IndexLink"/>
            <w:rFonts w:cs="" w:cstheme="minorBidi"/>
            <w:caps w:val="false"/>
            <w:smallCaps w:val="false"/>
            <w:color w:val="00000A"/>
            <w:sz w:val="22"/>
            <w:szCs w:val="22"/>
            <w:lang w:eastAsia="ja-JP"/>
          </w:rPr>
          <w:tab/>
        </w:r>
        <w:r>
          <w:rPr>
            <w:webHidden/>
          </w:rPr>
          <w:fldChar w:fldCharType="begin"/>
        </w:r>
        <w:r>
          <w:rPr>
            <w:webHidden/>
          </w:rPr>
          <w:instrText>PAGEREF _Toc84598922 \h</w:instrText>
        </w:r>
        <w:r>
          <w:rPr>
            <w:webHidden/>
          </w:rPr>
          <w:fldChar w:fldCharType="separate"/>
        </w:r>
        <w:r>
          <w:rPr>
            <w:rStyle w:val="IndexLink"/>
          </w:rPr>
          <w:t>Conceptos generales sobre sumarización lingüística de datos</w:t>
          <w:tab/>
          <w:t>10</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23">
        <w:r>
          <w:rPr>
            <w:webHidden/>
            <w:rStyle w:val="IndexLink"/>
            <w:vanish w:val="false"/>
          </w:rPr>
          <w:t>1.2</w:t>
        </w:r>
        <w:r>
          <w:rPr>
            <w:rStyle w:val="IndexLink"/>
            <w:rFonts w:cs="" w:cstheme="minorBidi"/>
            <w:caps w:val="false"/>
            <w:smallCaps w:val="false"/>
            <w:color w:val="00000A"/>
            <w:sz w:val="22"/>
            <w:szCs w:val="22"/>
            <w:lang w:eastAsia="ja-JP"/>
          </w:rPr>
          <w:tab/>
        </w:r>
        <w:r>
          <w:rPr>
            <w:webHidden/>
          </w:rPr>
          <w:fldChar w:fldCharType="begin"/>
        </w:r>
        <w:r>
          <w:rPr>
            <w:webHidden/>
          </w:rPr>
          <w:instrText>PAGEREF _Toc84598923 \h</w:instrText>
        </w:r>
        <w:r>
          <w:rPr>
            <w:webHidden/>
          </w:rPr>
          <w:fldChar w:fldCharType="separate"/>
        </w:r>
        <w:r>
          <w:rPr>
            <w:rStyle w:val="IndexLink"/>
          </w:rPr>
          <w:t>Métodos o técnicas para la generación de los resúmenes lingüísticos de datos</w:t>
          <w:tab/>
          <w:t>14</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24">
        <w:r>
          <w:rPr>
            <w:webHidden/>
            <w:rStyle w:val="IndexLink"/>
            <w:vanish w:val="false"/>
          </w:rPr>
          <w:t>1.3</w:t>
        </w:r>
        <w:r>
          <w:rPr>
            <w:rStyle w:val="IndexLink"/>
            <w:rFonts w:cs="" w:cstheme="minorBidi"/>
            <w:caps w:val="false"/>
            <w:smallCaps w:val="false"/>
            <w:color w:val="00000A"/>
            <w:sz w:val="22"/>
            <w:szCs w:val="22"/>
            <w:lang w:eastAsia="ja-JP"/>
          </w:rPr>
          <w:tab/>
        </w:r>
        <w:r>
          <w:rPr>
            <w:webHidden/>
          </w:rPr>
          <w:fldChar w:fldCharType="begin"/>
        </w:r>
        <w:r>
          <w:rPr>
            <w:webHidden/>
          </w:rPr>
          <w:instrText>PAGEREF _Toc84598924 \h</w:instrText>
        </w:r>
        <w:r>
          <w:rPr>
            <w:webHidden/>
          </w:rPr>
          <w:fldChar w:fldCharType="separate"/>
        </w:r>
        <w:r>
          <w:rPr>
            <w:rStyle w:val="IndexLink"/>
          </w:rPr>
          <w:t>Principales técnicas y métodos de validación empleados en las investigaciones</w:t>
          <w:tab/>
          <w:t>18</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25">
        <w:r>
          <w:rPr>
            <w:webHidden/>
            <w:rStyle w:val="IndexLink"/>
            <w:vanish w:val="false"/>
          </w:rPr>
          <w:t>1.4</w:t>
        </w:r>
        <w:r>
          <w:rPr>
            <w:rStyle w:val="IndexLink"/>
            <w:rFonts w:cs="" w:cstheme="minorBidi"/>
            <w:caps w:val="false"/>
            <w:smallCaps w:val="false"/>
            <w:color w:val="00000A"/>
            <w:sz w:val="22"/>
            <w:szCs w:val="22"/>
            <w:lang w:eastAsia="ja-JP"/>
          </w:rPr>
          <w:tab/>
        </w:r>
        <w:r>
          <w:rPr>
            <w:webHidden/>
          </w:rPr>
          <w:fldChar w:fldCharType="begin"/>
        </w:r>
        <w:r>
          <w:rPr>
            <w:webHidden/>
          </w:rPr>
          <w:instrText>PAGEREF _Toc84598925 \h</w:instrText>
        </w:r>
        <w:r>
          <w:rPr>
            <w:webHidden/>
          </w:rPr>
          <w:fldChar w:fldCharType="separate"/>
        </w:r>
        <w:r>
          <w:rPr>
            <w:rStyle w:val="IndexLink"/>
          </w:rPr>
          <w:t>Áreas de aplicación de los resúmenes lingüísticos</w:t>
          <w:tab/>
          <w:t>20</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26">
        <w:r>
          <w:rPr>
            <w:webHidden/>
            <w:rStyle w:val="IndexLink"/>
            <w:vanish w:val="false"/>
          </w:rPr>
          <w:t>1.5</w:t>
        </w:r>
        <w:r>
          <w:rPr>
            <w:rStyle w:val="IndexLink"/>
            <w:rFonts w:cs="" w:cstheme="minorBidi"/>
            <w:caps w:val="false"/>
            <w:smallCaps w:val="false"/>
            <w:color w:val="00000A"/>
            <w:sz w:val="22"/>
            <w:szCs w:val="22"/>
            <w:lang w:eastAsia="ja-JP"/>
          </w:rPr>
          <w:tab/>
        </w:r>
        <w:r>
          <w:rPr>
            <w:webHidden/>
          </w:rPr>
          <w:fldChar w:fldCharType="begin"/>
        </w:r>
        <w:r>
          <w:rPr>
            <w:webHidden/>
          </w:rPr>
          <w:instrText>PAGEREF _Toc84598926 \h</w:instrText>
        </w:r>
        <w:r>
          <w:rPr>
            <w:webHidden/>
          </w:rPr>
          <w:fldChar w:fldCharType="separate"/>
        </w:r>
        <w:r>
          <w:rPr>
            <w:rStyle w:val="IndexLink"/>
          </w:rPr>
          <w:t>Conclusiones del capítulo</w:t>
          <w:tab/>
          <w:t>24</w:t>
        </w:r>
        <w:r>
          <w:rPr>
            <w:webHidden/>
          </w:rPr>
          <w:fldChar w:fldCharType="end"/>
        </w:r>
      </w:hyperlink>
    </w:p>
    <w:p>
      <w:pPr>
        <w:pStyle w:val="Contents1"/>
        <w:tabs>
          <w:tab w:val="left" w:pos="440" w:leader="none"/>
          <w:tab w:val="right" w:pos="8777" w:leader="dot"/>
        </w:tabs>
        <w:rPr>
          <w:rFonts w:ascii="Calibri" w:hAnsi="Calibri" w:cs="" w:asciiTheme="minorHAnsi" w:cstheme="minorBidi" w:hAnsiTheme="minorHAnsi"/>
          <w:b w:val="false"/>
          <w:b w:val="false"/>
          <w:bCs w:val="false"/>
          <w:caps w:val="false"/>
          <w:smallCaps w:val="false"/>
          <w:color w:val="00000A"/>
          <w:sz w:val="22"/>
          <w:szCs w:val="22"/>
          <w:lang w:eastAsia="ja-JP"/>
        </w:rPr>
      </w:pPr>
      <w:hyperlink w:anchor="_Toc84598927">
        <w:r>
          <w:rPr>
            <w:webHidden/>
            <w:rStyle w:val="IndexLink"/>
            <w:vanish w:val="false"/>
          </w:rPr>
          <w:t>2</w:t>
        </w:r>
        <w:r>
          <w:rPr>
            <w:rStyle w:val="IndexLink"/>
            <w:rFonts w:cs="" w:cstheme="minorBidi"/>
            <w:b w:val="false"/>
            <w:bCs w:val="false"/>
            <w:caps w:val="false"/>
            <w:smallCaps w:val="false"/>
            <w:color w:val="00000A"/>
            <w:sz w:val="22"/>
            <w:szCs w:val="22"/>
            <w:lang w:eastAsia="ja-JP"/>
          </w:rPr>
          <w:tab/>
        </w:r>
        <w:r>
          <w:rPr>
            <w:webHidden/>
          </w:rPr>
          <w:fldChar w:fldCharType="begin"/>
        </w:r>
        <w:r>
          <w:rPr>
            <w:webHidden/>
          </w:rPr>
          <w:instrText>PAGEREF _Toc84598927 \h</w:instrText>
        </w:r>
        <w:r>
          <w:rPr>
            <w:webHidden/>
          </w:rPr>
          <w:fldChar w:fldCharType="separate"/>
        </w:r>
        <w:r>
          <w:rPr>
            <w:rStyle w:val="IndexLink"/>
          </w:rPr>
          <w:t>Capítulo 2: Algoritmos para la sumarización lingÜística de datos</w:t>
          <w:tab/>
          <w:t>26</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28">
        <w:r>
          <w:rPr>
            <w:webHidden/>
            <w:rStyle w:val="IndexLink"/>
            <w:vanish w:val="false"/>
          </w:rPr>
          <w:t>2.1</w:t>
        </w:r>
        <w:r>
          <w:rPr>
            <w:rStyle w:val="IndexLink"/>
            <w:rFonts w:cs="" w:cstheme="minorBidi"/>
            <w:caps w:val="false"/>
            <w:smallCaps w:val="false"/>
            <w:color w:val="00000A"/>
            <w:sz w:val="22"/>
            <w:szCs w:val="22"/>
            <w:lang w:eastAsia="ja-JP"/>
          </w:rPr>
          <w:tab/>
        </w:r>
        <w:r>
          <w:rPr>
            <w:webHidden/>
          </w:rPr>
          <w:fldChar w:fldCharType="begin"/>
        </w:r>
        <w:r>
          <w:rPr>
            <w:webHidden/>
          </w:rPr>
          <w:instrText>PAGEREF _Toc84598928 \h</w:instrText>
        </w:r>
        <w:r>
          <w:rPr>
            <w:webHidden/>
          </w:rPr>
          <w:fldChar w:fldCharType="separate"/>
        </w:r>
        <w:r>
          <w:rPr>
            <w:rStyle w:val="IndexLink"/>
          </w:rPr>
          <w:t>Notaciones y definiciones fundamentales empleadas en el capítulo.</w:t>
          <w:tab/>
          <w:t>26</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29">
        <w:r>
          <w:rPr>
            <w:webHidden/>
            <w:rStyle w:val="IndexLink"/>
            <w:vanish w:val="false"/>
          </w:rPr>
          <w:t>2.2</w:t>
        </w:r>
        <w:r>
          <w:rPr>
            <w:rStyle w:val="IndexLink"/>
            <w:rFonts w:cs="" w:cstheme="minorBidi"/>
            <w:caps w:val="false"/>
            <w:smallCaps w:val="false"/>
            <w:color w:val="00000A"/>
            <w:sz w:val="22"/>
            <w:szCs w:val="22"/>
            <w:lang w:eastAsia="ja-JP"/>
          </w:rPr>
          <w:tab/>
        </w:r>
        <w:r>
          <w:rPr>
            <w:webHidden/>
          </w:rPr>
          <w:fldChar w:fldCharType="begin"/>
        </w:r>
        <w:r>
          <w:rPr>
            <w:webHidden/>
          </w:rPr>
          <w:instrText>PAGEREF _Toc84598929 \h</w:instrText>
        </w:r>
        <w:r>
          <w:rPr>
            <w:webHidden/>
          </w:rPr>
          <w:fldChar w:fldCharType="separate"/>
        </w:r>
        <w:r>
          <w:rPr>
            <w:rStyle w:val="IndexLink"/>
          </w:rPr>
          <w:t>Estructura de los resúmenes que se construyen siguiendo enfoque multilingüe.</w:t>
          <w:tab/>
          <w:t>27</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31">
        <w:r>
          <w:rPr>
            <w:webHidden/>
            <w:rStyle w:val="IndexLink"/>
            <w:vanish w:val="false"/>
          </w:rPr>
          <w:t>2.3</w:t>
        </w:r>
        <w:r>
          <w:rPr>
            <w:rStyle w:val="IndexLink"/>
            <w:rFonts w:cs="" w:cstheme="minorBidi"/>
            <w:caps w:val="false"/>
            <w:smallCaps w:val="false"/>
            <w:color w:val="00000A"/>
            <w:sz w:val="22"/>
            <w:szCs w:val="22"/>
            <w:lang w:eastAsia="ja-JP"/>
          </w:rPr>
          <w:tab/>
        </w:r>
        <w:r>
          <w:rPr>
            <w:rStyle w:val="IndexLink"/>
          </w:rPr>
          <w:t xml:space="preserve">Algoritmo </w:t>
        </w:r>
        <w:r>
          <w:rPr>
            <w:rStyle w:val="IndexLink"/>
            <w:i/>
            <w:iCs/>
          </w:rPr>
          <w:t>PCA_LDS</w:t>
        </w:r>
        <w:r>
          <w:rPr>
            <w:webHidden/>
          </w:rPr>
          <w:fldChar w:fldCharType="begin"/>
        </w:r>
        <w:r>
          <w:rPr>
            <w:webHidden/>
          </w:rPr>
          <w:instrText>PAGEREF _Toc84598931 \h</w:instrText>
        </w:r>
        <w:r>
          <w:rPr>
            <w:webHidden/>
          </w:rPr>
          <w:fldChar w:fldCharType="separate"/>
        </w:r>
        <w:r>
          <w:rPr>
            <w:rStyle w:val="IndexLink"/>
          </w:rPr>
          <w:t xml:space="preserve"> basado en análisis de componentes principales</w:t>
          <w:tab/>
          <w:t>32</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32">
        <w:r>
          <w:rPr>
            <w:webHidden/>
            <w:rStyle w:val="IndexLink"/>
            <w:vanish w:val="false"/>
          </w:rPr>
          <w:t>2.4</w:t>
        </w:r>
        <w:r>
          <w:rPr>
            <w:rStyle w:val="IndexLink"/>
            <w:rFonts w:cs="" w:cstheme="minorBidi"/>
            <w:caps w:val="false"/>
            <w:smallCaps w:val="false"/>
            <w:color w:val="00000A"/>
            <w:sz w:val="22"/>
            <w:szCs w:val="22"/>
            <w:lang w:eastAsia="ja-JP"/>
          </w:rPr>
          <w:tab/>
        </w:r>
        <w:r>
          <w:rPr>
            <w:rStyle w:val="IndexLink"/>
          </w:rPr>
          <w:t xml:space="preserve">Algoritmo </w:t>
        </w:r>
        <w:r>
          <w:rPr>
            <w:rStyle w:val="IndexLink"/>
            <w:i/>
            <w:iCs/>
          </w:rPr>
          <w:t>LPA_LDS</w:t>
        </w:r>
        <w:r>
          <w:rPr>
            <w:webHidden/>
          </w:rPr>
          <w:fldChar w:fldCharType="begin"/>
        </w:r>
        <w:r>
          <w:rPr>
            <w:webHidden/>
          </w:rPr>
          <w:instrText>PAGEREF _Toc84598932 \h</w:instrText>
        </w:r>
        <w:r>
          <w:rPr>
            <w:webHidden/>
          </w:rPr>
          <w:fldChar w:fldCharType="separate"/>
        </w:r>
        <w:r>
          <w:rPr>
            <w:rStyle w:val="IndexLink"/>
          </w:rPr>
          <w:t xml:space="preserve"> basado en gráficos probabilísticos</w:t>
          <w:tab/>
          <w:t>36</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33">
        <w:r>
          <w:rPr>
            <w:webHidden/>
            <w:rStyle w:val="IndexLink"/>
            <w:vanish w:val="false"/>
          </w:rPr>
          <w:t>2.5</w:t>
        </w:r>
        <w:r>
          <w:rPr>
            <w:rStyle w:val="IndexLink"/>
            <w:rFonts w:cs="" w:cstheme="minorBidi"/>
            <w:caps w:val="false"/>
            <w:smallCaps w:val="false"/>
            <w:color w:val="00000A"/>
            <w:sz w:val="22"/>
            <w:szCs w:val="22"/>
            <w:lang w:eastAsia="ja-JP"/>
          </w:rPr>
          <w:tab/>
        </w:r>
        <w:r>
          <w:rPr>
            <w:webHidden/>
          </w:rPr>
          <w:fldChar w:fldCharType="begin"/>
        </w:r>
        <w:r>
          <w:rPr>
            <w:webHidden/>
          </w:rPr>
          <w:instrText>PAGEREF _Toc84598933 \h</w:instrText>
        </w:r>
        <w:r>
          <w:rPr>
            <w:webHidden/>
          </w:rPr>
          <w:fldChar w:fldCharType="separate"/>
        </w:r>
        <w:r>
          <w:rPr>
            <w:rStyle w:val="IndexLink"/>
          </w:rPr>
          <w:t>Algoritmo RST_LDS basado en conjuntos aproximados</w:t>
          <w:tab/>
          <w:t>38</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34">
        <w:r>
          <w:rPr>
            <w:webHidden/>
            <w:rStyle w:val="IndexLink"/>
            <w:bCs/>
            <w:vanish w:val="false"/>
          </w:rPr>
          <w:t>2.6</w:t>
        </w:r>
        <w:r>
          <w:rPr>
            <w:rStyle w:val="IndexLink"/>
            <w:rFonts w:cs="" w:cstheme="minorBidi"/>
            <w:caps w:val="false"/>
            <w:smallCaps w:val="false"/>
            <w:color w:val="00000A"/>
            <w:sz w:val="22"/>
            <w:szCs w:val="22"/>
            <w:lang w:eastAsia="ja-JP"/>
          </w:rPr>
          <w:tab/>
        </w:r>
        <w:r>
          <w:rPr>
            <w:webHidden/>
          </w:rPr>
          <w:fldChar w:fldCharType="begin"/>
        </w:r>
        <w:r>
          <w:rPr>
            <w:webHidden/>
          </w:rPr>
          <w:instrText>PAGEREF _Toc84598934 \h</w:instrText>
        </w:r>
        <w:r>
          <w:rPr>
            <w:webHidden/>
          </w:rPr>
          <w:fldChar w:fldCharType="separate"/>
        </w:r>
        <w:r>
          <w:rPr>
            <w:rStyle w:val="IndexLink"/>
          </w:rPr>
          <w:t>Diferentes enfoques que vinculan la generación de resúmenes lingüísticos y la minería de datos anómalos</w:t>
          <w:tab/>
          <w:t>42</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35">
        <w:r>
          <w:rPr>
            <w:webHidden/>
            <w:rStyle w:val="IndexLink"/>
            <w:vanish w:val="false"/>
          </w:rPr>
          <w:t>2.7</w:t>
        </w:r>
        <w:r>
          <w:rPr>
            <w:rStyle w:val="IndexLink"/>
            <w:rFonts w:cs="" w:cstheme="minorBidi"/>
            <w:caps w:val="false"/>
            <w:smallCaps w:val="false"/>
            <w:color w:val="00000A"/>
            <w:sz w:val="22"/>
            <w:szCs w:val="22"/>
            <w:lang w:eastAsia="ja-JP"/>
          </w:rPr>
          <w:tab/>
        </w:r>
        <w:r>
          <w:rPr>
            <w:webHidden/>
          </w:rPr>
          <w:fldChar w:fldCharType="begin"/>
        </w:r>
        <w:r>
          <w:rPr>
            <w:webHidden/>
          </w:rPr>
          <w:instrText>PAGEREF _Toc84598935 \h</w:instrText>
        </w:r>
        <w:r>
          <w:rPr>
            <w:webHidden/>
          </w:rPr>
          <w:fldChar w:fldCharType="separate"/>
        </w:r>
        <w:r>
          <w:rPr>
            <w:rStyle w:val="IndexLink"/>
          </w:rPr>
          <w:t>Valoración general de los algoritmos propuestos</w:t>
          <w:tab/>
          <w:t>45</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36">
        <w:r>
          <w:rPr>
            <w:webHidden/>
            <w:rStyle w:val="IndexLink"/>
            <w:vanish w:val="false"/>
          </w:rPr>
          <w:t>2.8</w:t>
        </w:r>
        <w:r>
          <w:rPr>
            <w:rStyle w:val="IndexLink"/>
            <w:rFonts w:cs="" w:cstheme="minorBidi"/>
            <w:caps w:val="false"/>
            <w:smallCaps w:val="false"/>
            <w:color w:val="00000A"/>
            <w:sz w:val="22"/>
            <w:szCs w:val="22"/>
            <w:lang w:eastAsia="ja-JP"/>
          </w:rPr>
          <w:tab/>
        </w:r>
        <w:r>
          <w:rPr>
            <w:webHidden/>
          </w:rPr>
          <w:fldChar w:fldCharType="begin"/>
        </w:r>
        <w:r>
          <w:rPr>
            <w:webHidden/>
          </w:rPr>
          <w:instrText>PAGEREF _Toc84598936 \h</w:instrText>
        </w:r>
        <w:r>
          <w:rPr>
            <w:webHidden/>
          </w:rPr>
          <w:fldChar w:fldCharType="separate"/>
        </w:r>
        <w:r>
          <w:rPr>
            <w:rStyle w:val="IndexLink"/>
          </w:rPr>
          <w:t>Conclusiones del capítulo</w:t>
          <w:tab/>
          <w:t>46</w:t>
        </w:r>
        <w:r>
          <w:rPr>
            <w:webHidden/>
          </w:rPr>
          <w:fldChar w:fldCharType="end"/>
        </w:r>
      </w:hyperlink>
    </w:p>
    <w:p>
      <w:pPr>
        <w:pStyle w:val="Contents1"/>
        <w:tabs>
          <w:tab w:val="left" w:pos="440" w:leader="none"/>
          <w:tab w:val="right" w:pos="8777" w:leader="dot"/>
        </w:tabs>
        <w:rPr>
          <w:rFonts w:ascii="Calibri" w:hAnsi="Calibri" w:cs="" w:asciiTheme="minorHAnsi" w:cstheme="minorBidi" w:hAnsiTheme="minorHAnsi"/>
          <w:b w:val="false"/>
          <w:b w:val="false"/>
          <w:bCs w:val="false"/>
          <w:caps w:val="false"/>
          <w:smallCaps w:val="false"/>
          <w:color w:val="00000A"/>
          <w:sz w:val="22"/>
          <w:szCs w:val="22"/>
          <w:lang w:eastAsia="ja-JP"/>
        </w:rPr>
      </w:pPr>
      <w:hyperlink w:anchor="_Toc84598937">
        <w:r>
          <w:rPr>
            <w:webHidden/>
            <w:rStyle w:val="IndexLink"/>
            <w:vanish w:val="false"/>
          </w:rPr>
          <w:t>3</w:t>
        </w:r>
        <w:r>
          <w:rPr>
            <w:rStyle w:val="IndexLink"/>
            <w:rFonts w:cs="" w:cstheme="minorBidi"/>
            <w:b w:val="false"/>
            <w:bCs w:val="false"/>
            <w:caps w:val="false"/>
            <w:smallCaps w:val="false"/>
            <w:color w:val="00000A"/>
            <w:sz w:val="22"/>
            <w:szCs w:val="22"/>
            <w:lang w:eastAsia="ja-JP"/>
          </w:rPr>
          <w:tab/>
        </w:r>
        <w:r>
          <w:rPr>
            <w:webHidden/>
          </w:rPr>
          <w:fldChar w:fldCharType="begin"/>
        </w:r>
        <w:r>
          <w:rPr>
            <w:webHidden/>
          </w:rPr>
          <w:instrText>PAGEREF _Toc84598937 \h</w:instrText>
        </w:r>
        <w:r>
          <w:rPr>
            <w:webHidden/>
          </w:rPr>
          <w:fldChar w:fldCharType="separate"/>
        </w:r>
        <w:r>
          <w:rPr>
            <w:rStyle w:val="IndexLink"/>
          </w:rPr>
          <w:t>Capítulo 3: Nuevos métodos de evaluación de los resúmenes lingüísticos</w:t>
          <w:tab/>
          <w:t>48</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38">
        <w:r>
          <w:rPr>
            <w:webHidden/>
            <w:rStyle w:val="IndexLink"/>
            <w:vanish w:val="false"/>
          </w:rPr>
          <w:t>3.1</w:t>
        </w:r>
        <w:r>
          <w:rPr>
            <w:rStyle w:val="IndexLink"/>
            <w:rFonts w:cs="" w:cstheme="minorBidi"/>
            <w:caps w:val="false"/>
            <w:smallCaps w:val="false"/>
            <w:color w:val="00000A"/>
            <w:sz w:val="22"/>
            <w:szCs w:val="22"/>
            <w:lang w:eastAsia="ja-JP"/>
          </w:rPr>
          <w:tab/>
        </w:r>
        <w:r>
          <w:rPr>
            <w:webHidden/>
          </w:rPr>
          <w:fldChar w:fldCharType="begin"/>
        </w:r>
        <w:r>
          <w:rPr>
            <w:webHidden/>
          </w:rPr>
          <w:instrText>PAGEREF _Toc84598938 \h</w:instrText>
        </w:r>
        <w:r>
          <w:rPr>
            <w:webHidden/>
          </w:rPr>
          <w:fldChar w:fldCharType="separate"/>
        </w:r>
        <w:r>
          <w:rPr>
            <w:rStyle w:val="IndexLink"/>
          </w:rPr>
          <w:t>Indicadores tradicionales para la evaluación de los resúmenes lingüísticos</w:t>
          <w:tab/>
          <w:t>48</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39">
        <w:r>
          <w:rPr>
            <w:webHidden/>
            <w:rStyle w:val="IndexLink"/>
            <w:vanish w:val="false"/>
          </w:rPr>
          <w:t>3.2</w:t>
        </w:r>
        <w:r>
          <w:rPr>
            <w:rStyle w:val="IndexLink"/>
            <w:rFonts w:cs="" w:cstheme="minorBidi"/>
            <w:caps w:val="false"/>
            <w:smallCaps w:val="false"/>
            <w:color w:val="00000A"/>
            <w:sz w:val="22"/>
            <w:szCs w:val="22"/>
            <w:lang w:eastAsia="ja-JP"/>
          </w:rPr>
          <w:tab/>
        </w:r>
        <w:r>
          <w:rPr>
            <w:rStyle w:val="IndexLink"/>
          </w:rPr>
          <w:t xml:space="preserve">Propuestas de extensiones de </w:t>
        </w:r>
        <w:r>
          <w:rPr>
            <w:rStyle w:val="IndexLink"/>
            <w:i/>
          </w:rPr>
          <w:t>T</w:t>
        </w:r>
        <w:r>
          <w:rPr>
            <w:webHidden/>
          </w:rPr>
          <w:fldChar w:fldCharType="begin"/>
        </w:r>
        <w:r>
          <w:rPr>
            <w:webHidden/>
          </w:rPr>
          <w:instrText>PAGEREF _Toc84598939 \h</w:instrText>
        </w:r>
        <w:r>
          <w:rPr>
            <w:webHidden/>
          </w:rPr>
          <w:fldChar w:fldCharType="separate"/>
        </w:r>
        <w:r>
          <w:rPr>
            <w:rStyle w:val="IndexLink"/>
          </w:rPr>
          <w:t xml:space="preserve"> para evaluar resúmenes lingüísticos</w:t>
          <w:tab/>
          <w:t>53</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40">
        <w:r>
          <w:rPr>
            <w:webHidden/>
            <w:rStyle w:val="IndexLink"/>
            <w:vanish w:val="false"/>
          </w:rPr>
          <w:t>3.3</w:t>
        </w:r>
        <w:r>
          <w:rPr>
            <w:rStyle w:val="IndexLink"/>
            <w:rFonts w:cs="" w:cstheme="minorBidi"/>
            <w:caps w:val="false"/>
            <w:smallCaps w:val="false"/>
            <w:color w:val="00000A"/>
            <w:sz w:val="22"/>
            <w:szCs w:val="22"/>
            <w:lang w:eastAsia="ja-JP"/>
          </w:rPr>
          <w:tab/>
        </w:r>
        <w:r>
          <w:rPr>
            <w:webHidden/>
          </w:rPr>
          <w:fldChar w:fldCharType="begin"/>
        </w:r>
        <w:r>
          <w:rPr>
            <w:webHidden/>
          </w:rPr>
          <w:instrText>PAGEREF _Toc84598940 \h</w:instrText>
        </w:r>
        <w:r>
          <w:rPr>
            <w:webHidden/>
          </w:rPr>
          <w:fldChar w:fldCharType="separate"/>
        </w:r>
        <w:r>
          <w:rPr>
            <w:rStyle w:val="IndexLink"/>
          </w:rPr>
          <w:t>Conjunto de pruebas 1: Validación y comparación de los indicadores tradicionales y los extendidos</w:t>
          <w:tab/>
          <w:t>59</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41">
        <w:r>
          <w:rPr>
            <w:webHidden/>
            <w:rStyle w:val="IndexLink"/>
            <w:vanish w:val="false"/>
          </w:rPr>
          <w:t>3.4</w:t>
        </w:r>
        <w:r>
          <w:rPr>
            <w:rStyle w:val="IndexLink"/>
            <w:rFonts w:cs="" w:cstheme="minorBidi"/>
            <w:caps w:val="false"/>
            <w:smallCaps w:val="false"/>
            <w:color w:val="00000A"/>
            <w:sz w:val="22"/>
            <w:szCs w:val="22"/>
            <w:lang w:eastAsia="ja-JP"/>
          </w:rPr>
          <w:tab/>
        </w:r>
        <w:r>
          <w:rPr>
            <w:webHidden/>
          </w:rPr>
          <w:fldChar w:fldCharType="begin"/>
        </w:r>
        <w:r>
          <w:rPr>
            <w:webHidden/>
          </w:rPr>
          <w:instrText>PAGEREF _Toc84598941 \h</w:instrText>
        </w:r>
        <w:r>
          <w:rPr>
            <w:webHidden/>
          </w:rPr>
          <w:fldChar w:fldCharType="separate"/>
        </w:r>
        <w:r>
          <w:rPr>
            <w:rStyle w:val="IndexLink"/>
          </w:rPr>
          <w:t>Conclusiones del capítulo</w:t>
          <w:tab/>
          <w:t>66</w:t>
        </w:r>
        <w:r>
          <w:rPr>
            <w:webHidden/>
          </w:rPr>
          <w:fldChar w:fldCharType="end"/>
        </w:r>
      </w:hyperlink>
    </w:p>
    <w:p>
      <w:pPr>
        <w:pStyle w:val="Contents1"/>
        <w:tabs>
          <w:tab w:val="left" w:pos="440" w:leader="none"/>
          <w:tab w:val="right" w:pos="8777" w:leader="dot"/>
        </w:tabs>
        <w:rPr>
          <w:rFonts w:ascii="Calibri" w:hAnsi="Calibri" w:cs="" w:asciiTheme="minorHAnsi" w:cstheme="minorBidi" w:hAnsiTheme="minorHAnsi"/>
          <w:b w:val="false"/>
          <w:b w:val="false"/>
          <w:bCs w:val="false"/>
          <w:caps w:val="false"/>
          <w:smallCaps w:val="false"/>
          <w:color w:val="00000A"/>
          <w:sz w:val="22"/>
          <w:szCs w:val="22"/>
          <w:lang w:eastAsia="ja-JP"/>
        </w:rPr>
      </w:pPr>
      <w:hyperlink w:anchor="_Toc84598942">
        <w:r>
          <w:rPr>
            <w:webHidden/>
            <w:rStyle w:val="IndexLink"/>
            <w:vanish w:val="false"/>
          </w:rPr>
          <w:t>4</w:t>
        </w:r>
        <w:r>
          <w:rPr>
            <w:rStyle w:val="IndexLink"/>
            <w:rFonts w:cs="" w:cstheme="minorBidi"/>
            <w:b w:val="false"/>
            <w:bCs w:val="false"/>
            <w:caps w:val="false"/>
            <w:smallCaps w:val="false"/>
            <w:color w:val="00000A"/>
            <w:sz w:val="22"/>
            <w:szCs w:val="22"/>
            <w:lang w:eastAsia="ja-JP"/>
          </w:rPr>
          <w:tab/>
        </w:r>
        <w:r>
          <w:rPr>
            <w:webHidden/>
          </w:rPr>
          <w:fldChar w:fldCharType="begin"/>
        </w:r>
        <w:r>
          <w:rPr>
            <w:webHidden/>
          </w:rPr>
          <w:instrText>PAGEREF _Toc84598942 \h</w:instrText>
        </w:r>
        <w:r>
          <w:rPr>
            <w:webHidden/>
          </w:rPr>
          <w:fldChar w:fldCharType="separate"/>
        </w:r>
        <w:r>
          <w:rPr>
            <w:rStyle w:val="IndexLink"/>
          </w:rPr>
          <w:t>Capítulo 4 Validación de la eficacia de los algoritmos propuestos</w:t>
          <w:tab/>
          <w:t>68</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43">
        <w:r>
          <w:rPr>
            <w:webHidden/>
            <w:rStyle w:val="IndexLink"/>
            <w:vanish w:val="false"/>
            <w:lang w:val="en-US"/>
          </w:rPr>
          <w:t>4.1</w:t>
        </w:r>
        <w:r>
          <w:rPr>
            <w:rStyle w:val="IndexLink"/>
            <w:rFonts w:cs="" w:cstheme="minorBidi"/>
            <w:caps w:val="false"/>
            <w:smallCaps w:val="false"/>
            <w:color w:val="00000A"/>
            <w:sz w:val="22"/>
            <w:szCs w:val="22"/>
            <w:lang w:eastAsia="ja-JP"/>
          </w:rPr>
          <w:tab/>
        </w:r>
        <w:r>
          <w:rPr>
            <w:rStyle w:val="IndexLink"/>
            <w:lang w:val="en-US"/>
          </w:rPr>
          <w:t>Parámetros de algoritmos y bases de datos empleadas en la experimentación</w:t>
        </w:r>
        <w:r>
          <w:rPr>
            <w:webHidden/>
          </w:rPr>
          <w:fldChar w:fldCharType="begin"/>
        </w:r>
        <w:r>
          <w:rPr>
            <w:webHidden/>
          </w:rPr>
          <w:instrText>PAGEREF _Toc84598943 \h</w:instrText>
        </w:r>
        <w:r>
          <w:rPr>
            <w:webHidden/>
          </w:rPr>
          <w:fldChar w:fldCharType="separate"/>
        </w:r>
        <w:r>
          <w:rPr>
            <w:rStyle w:val="IndexLink"/>
          </w:rPr>
          <w:tab/>
          <w:t>68</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44">
        <w:r>
          <w:rPr>
            <w:webHidden/>
            <w:rStyle w:val="IndexLink"/>
            <w:vanish w:val="false"/>
          </w:rPr>
          <w:t>4.2</w:t>
        </w:r>
        <w:r>
          <w:rPr>
            <w:rStyle w:val="IndexLink"/>
            <w:rFonts w:cs="" w:cstheme="minorBidi"/>
            <w:caps w:val="false"/>
            <w:smallCaps w:val="false"/>
            <w:color w:val="00000A"/>
            <w:sz w:val="22"/>
            <w:szCs w:val="22"/>
            <w:lang w:eastAsia="ja-JP"/>
          </w:rPr>
          <w:tab/>
        </w:r>
        <w:r>
          <w:rPr>
            <w:webHidden/>
          </w:rPr>
          <w:fldChar w:fldCharType="begin"/>
        </w:r>
        <w:r>
          <w:rPr>
            <w:webHidden/>
          </w:rPr>
          <w:instrText>PAGEREF _Toc84598944 \h</w:instrText>
        </w:r>
        <w:r>
          <w:rPr>
            <w:webHidden/>
          </w:rPr>
          <w:fldChar w:fldCharType="separate"/>
        </w:r>
        <w:r>
          <w:rPr>
            <w:rStyle w:val="IndexLink"/>
          </w:rPr>
          <w:t>Conjunto de pruebas 2: validación de variable independiente respecto a la dimensión indicadores de calidad de los resúmenes lingüísticos.</w:t>
          <w:tab/>
          <w:t>70</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45">
        <w:r>
          <w:rPr>
            <w:webHidden/>
            <w:rStyle w:val="IndexLink"/>
            <w:vanish w:val="false"/>
          </w:rPr>
          <w:t>4.3</w:t>
        </w:r>
        <w:r>
          <w:rPr>
            <w:rStyle w:val="IndexLink"/>
            <w:rFonts w:cs="" w:cstheme="minorBidi"/>
            <w:caps w:val="false"/>
            <w:smallCaps w:val="false"/>
            <w:color w:val="00000A"/>
            <w:sz w:val="22"/>
            <w:szCs w:val="22"/>
            <w:lang w:eastAsia="ja-JP"/>
          </w:rPr>
          <w:tab/>
        </w:r>
        <w:r>
          <w:rPr>
            <w:rStyle w:val="IndexLink"/>
          </w:rPr>
          <w:t xml:space="preserve">Conjunto de pruebas 3: validación de la variable independiente en la </w:t>
        </w:r>
        <w:r>
          <w:rPr>
            <w:rStyle w:val="IndexLink"/>
            <w:lang w:val="en-US"/>
          </w:rPr>
          <w:t>dimensión “Eficiencia de los algoritmos”.</w:t>
        </w:r>
        <w:r>
          <w:rPr>
            <w:webHidden/>
          </w:rPr>
          <w:fldChar w:fldCharType="begin"/>
        </w:r>
        <w:r>
          <w:rPr>
            <w:webHidden/>
          </w:rPr>
          <w:instrText>PAGEREF _Toc84598945 \h</w:instrText>
        </w:r>
        <w:r>
          <w:rPr>
            <w:webHidden/>
          </w:rPr>
          <w:fldChar w:fldCharType="separate"/>
        </w:r>
        <w:r>
          <w:rPr>
            <w:rStyle w:val="IndexLink"/>
          </w:rPr>
          <w:tab/>
          <w:t>82</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46">
        <w:r>
          <w:rPr>
            <w:webHidden/>
            <w:rStyle w:val="IndexLink"/>
            <w:vanish w:val="false"/>
          </w:rPr>
          <w:t>4.4</w:t>
        </w:r>
        <w:r>
          <w:rPr>
            <w:rStyle w:val="IndexLink"/>
            <w:rFonts w:cs="" w:cstheme="minorBidi"/>
            <w:caps w:val="false"/>
            <w:smallCaps w:val="false"/>
            <w:color w:val="00000A"/>
            <w:sz w:val="22"/>
            <w:szCs w:val="22"/>
            <w:lang w:eastAsia="ja-JP"/>
          </w:rPr>
          <w:tab/>
        </w:r>
        <w:r>
          <w:rPr>
            <w:rStyle w:val="IndexLink"/>
          </w:rPr>
          <w:t xml:space="preserve">Conjunto de pruebas 4: validación de la variable independiente en la </w:t>
        </w:r>
        <w:r>
          <w:rPr>
            <w:rStyle w:val="IndexLink"/>
            <w:lang w:val="en-US"/>
          </w:rPr>
          <w:t>dimensión “D</w:t>
        </w:r>
        <w:r>
          <w:rPr>
            <w:rStyle w:val="IndexLink"/>
          </w:rPr>
          <w:t>esempeño global de los algoritmos</w:t>
        </w:r>
        <w:r>
          <w:rPr>
            <w:rStyle w:val="IndexLink"/>
            <w:lang w:val="en-US"/>
          </w:rPr>
          <w:t>”</w:t>
        </w:r>
        <w:r>
          <w:rPr>
            <w:webHidden/>
          </w:rPr>
          <w:fldChar w:fldCharType="begin"/>
        </w:r>
        <w:r>
          <w:rPr>
            <w:webHidden/>
          </w:rPr>
          <w:instrText>PAGEREF _Toc84598946 \h</w:instrText>
        </w:r>
        <w:r>
          <w:rPr>
            <w:webHidden/>
          </w:rPr>
          <w:fldChar w:fldCharType="separate"/>
        </w:r>
        <w:r>
          <w:rPr>
            <w:rStyle w:val="IndexLink"/>
          </w:rPr>
          <w:tab/>
          <w:t>83</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47">
        <w:r>
          <w:rPr>
            <w:webHidden/>
            <w:rStyle w:val="IndexLink"/>
            <w:vanish w:val="false"/>
          </w:rPr>
          <w:t>4.5</w:t>
        </w:r>
        <w:r>
          <w:rPr>
            <w:rStyle w:val="IndexLink"/>
            <w:rFonts w:cs="" w:cstheme="minorBidi"/>
            <w:caps w:val="false"/>
            <w:smallCaps w:val="false"/>
            <w:color w:val="00000A"/>
            <w:sz w:val="22"/>
            <w:szCs w:val="22"/>
            <w:lang w:eastAsia="ja-JP"/>
          </w:rPr>
          <w:tab/>
        </w:r>
        <w:r>
          <w:rPr>
            <w:webHidden/>
          </w:rPr>
          <w:fldChar w:fldCharType="begin"/>
        </w:r>
        <w:r>
          <w:rPr>
            <w:webHidden/>
          </w:rPr>
          <w:instrText>PAGEREF _Toc84598947 \h</w:instrText>
        </w:r>
        <w:r>
          <w:rPr>
            <w:webHidden/>
          </w:rPr>
          <w:fldChar w:fldCharType="separate"/>
        </w:r>
        <w:r>
          <w:rPr>
            <w:rStyle w:val="IndexLink"/>
          </w:rPr>
          <w:t>Conjunto de pruebas 5: validación de variable dependiente “Eficacia de los algoritmos para la ayuda a la toma de decisiones”</w:t>
          <w:tab/>
          <w:t>85</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48">
        <w:r>
          <w:rPr>
            <w:webHidden/>
            <w:rStyle w:val="IndexLink"/>
            <w:vanish w:val="false"/>
            <w:lang w:val="en-US"/>
          </w:rPr>
          <w:t>4.6</w:t>
        </w:r>
        <w:r>
          <w:rPr>
            <w:rStyle w:val="IndexLink"/>
            <w:rFonts w:cs="" w:cstheme="minorBidi"/>
            <w:caps w:val="false"/>
            <w:smallCaps w:val="false"/>
            <w:color w:val="00000A"/>
            <w:sz w:val="22"/>
            <w:szCs w:val="22"/>
            <w:lang w:eastAsia="ja-JP"/>
          </w:rPr>
          <w:tab/>
        </w:r>
        <w:r>
          <w:rPr>
            <w:rStyle w:val="IndexLink"/>
          </w:rPr>
          <w:t xml:space="preserve">Conjunto de pruebas 6: validación de la variable dependiente en la </w:t>
        </w:r>
        <w:r>
          <w:rPr>
            <w:rStyle w:val="IndexLink"/>
            <w:lang w:val="en-US"/>
          </w:rPr>
          <w:t>dimensión “Enfoque multilingüe de los algoritmos”.</w:t>
        </w:r>
        <w:r>
          <w:rPr>
            <w:webHidden/>
          </w:rPr>
          <w:fldChar w:fldCharType="begin"/>
        </w:r>
        <w:r>
          <w:rPr>
            <w:webHidden/>
          </w:rPr>
          <w:instrText>PAGEREF _Toc84598948 \h</w:instrText>
        </w:r>
        <w:r>
          <w:rPr>
            <w:webHidden/>
          </w:rPr>
          <w:fldChar w:fldCharType="separate"/>
        </w:r>
        <w:r>
          <w:rPr>
            <w:rStyle w:val="IndexLink"/>
          </w:rPr>
          <w:tab/>
          <w:t>95</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49">
        <w:r>
          <w:rPr>
            <w:webHidden/>
            <w:rStyle w:val="IndexLink"/>
            <w:vanish w:val="false"/>
          </w:rPr>
          <w:t>4.7</w:t>
        </w:r>
        <w:r>
          <w:rPr>
            <w:rStyle w:val="IndexLink"/>
            <w:rFonts w:cs="" w:cstheme="minorBidi"/>
            <w:caps w:val="false"/>
            <w:smallCaps w:val="false"/>
            <w:color w:val="00000A"/>
            <w:sz w:val="22"/>
            <w:szCs w:val="22"/>
            <w:lang w:eastAsia="ja-JP"/>
          </w:rPr>
          <w:tab/>
        </w:r>
        <w:r>
          <w:rPr>
            <w:webHidden/>
          </w:rPr>
          <w:fldChar w:fldCharType="begin"/>
        </w:r>
        <w:r>
          <w:rPr>
            <w:webHidden/>
          </w:rPr>
          <w:instrText>PAGEREF _Toc84598949 \h</w:instrText>
        </w:r>
        <w:r>
          <w:rPr>
            <w:webHidden/>
          </w:rPr>
          <w:fldChar w:fldCharType="separate"/>
        </w:r>
        <w:r>
          <w:rPr>
            <w:rStyle w:val="IndexLink"/>
          </w:rPr>
          <w:t>Conclusiones del capítulo</w:t>
          <w:tab/>
          <w:t>97</w:t>
        </w:r>
        <w:r>
          <w:rPr>
            <w:webHidden/>
          </w:rPr>
          <w:fldChar w:fldCharType="end"/>
        </w:r>
      </w:hyperlink>
    </w:p>
    <w:p>
      <w:pPr>
        <w:pStyle w:val="Contents1"/>
        <w:tabs>
          <w:tab w:val="left" w:pos="440" w:leader="none"/>
          <w:tab w:val="right" w:pos="8777" w:leader="dot"/>
        </w:tabs>
        <w:rPr>
          <w:rFonts w:ascii="Calibri" w:hAnsi="Calibri" w:cs="" w:asciiTheme="minorHAnsi" w:cstheme="minorBidi" w:hAnsiTheme="minorHAnsi"/>
          <w:b w:val="false"/>
          <w:b w:val="false"/>
          <w:bCs w:val="false"/>
          <w:caps w:val="false"/>
          <w:smallCaps w:val="false"/>
          <w:color w:val="00000A"/>
          <w:sz w:val="22"/>
          <w:szCs w:val="22"/>
          <w:lang w:eastAsia="ja-JP"/>
        </w:rPr>
      </w:pPr>
      <w:hyperlink w:anchor="_Toc84598950">
        <w:r>
          <w:rPr>
            <w:webHidden/>
            <w:rStyle w:val="IndexLink"/>
            <w:vanish w:val="false"/>
          </w:rPr>
          <w:t>5</w:t>
        </w:r>
        <w:r>
          <w:rPr>
            <w:rStyle w:val="IndexLink"/>
            <w:rFonts w:cs="" w:cstheme="minorBidi"/>
            <w:b w:val="false"/>
            <w:bCs w:val="false"/>
            <w:caps w:val="false"/>
            <w:smallCaps w:val="false"/>
            <w:color w:val="00000A"/>
            <w:sz w:val="22"/>
            <w:szCs w:val="22"/>
            <w:lang w:eastAsia="ja-JP"/>
          </w:rPr>
          <w:tab/>
        </w:r>
        <w:r>
          <w:rPr>
            <w:webHidden/>
          </w:rPr>
          <w:fldChar w:fldCharType="begin"/>
        </w:r>
        <w:r>
          <w:rPr>
            <w:webHidden/>
          </w:rPr>
          <w:instrText>PAGEREF _Toc84598950 \h</w:instrText>
        </w:r>
        <w:r>
          <w:rPr>
            <w:webHidden/>
          </w:rPr>
          <w:fldChar w:fldCharType="separate"/>
        </w:r>
        <w:r>
          <w:rPr>
            <w:rStyle w:val="IndexLink"/>
          </w:rPr>
          <w:t>Conclusiones generales</w:t>
          <w:tab/>
          <w:t>98</w:t>
        </w:r>
        <w:r>
          <w:rPr>
            <w:webHidden/>
          </w:rPr>
          <w:fldChar w:fldCharType="end"/>
        </w:r>
      </w:hyperlink>
    </w:p>
    <w:p>
      <w:pPr>
        <w:pStyle w:val="Contents1"/>
        <w:tabs>
          <w:tab w:val="left" w:pos="440" w:leader="none"/>
          <w:tab w:val="right" w:pos="8777" w:leader="dot"/>
        </w:tabs>
        <w:rPr>
          <w:rFonts w:ascii="Calibri" w:hAnsi="Calibri" w:cs="" w:asciiTheme="minorHAnsi" w:cstheme="minorBidi" w:hAnsiTheme="minorHAnsi"/>
          <w:b w:val="false"/>
          <w:b w:val="false"/>
          <w:bCs w:val="false"/>
          <w:caps w:val="false"/>
          <w:smallCaps w:val="false"/>
          <w:color w:val="00000A"/>
          <w:sz w:val="22"/>
          <w:szCs w:val="22"/>
          <w:lang w:eastAsia="ja-JP"/>
        </w:rPr>
      </w:pPr>
      <w:hyperlink w:anchor="_Toc84598951">
        <w:r>
          <w:rPr>
            <w:webHidden/>
            <w:rStyle w:val="IndexLink"/>
            <w:vanish w:val="false"/>
          </w:rPr>
          <w:t>6</w:t>
        </w:r>
        <w:r>
          <w:rPr>
            <w:rStyle w:val="IndexLink"/>
            <w:rFonts w:cs="" w:cstheme="minorBidi"/>
            <w:b w:val="false"/>
            <w:bCs w:val="false"/>
            <w:caps w:val="false"/>
            <w:smallCaps w:val="false"/>
            <w:color w:val="00000A"/>
            <w:sz w:val="22"/>
            <w:szCs w:val="22"/>
            <w:lang w:eastAsia="ja-JP"/>
          </w:rPr>
          <w:tab/>
        </w:r>
        <w:r>
          <w:rPr>
            <w:webHidden/>
          </w:rPr>
          <w:fldChar w:fldCharType="begin"/>
        </w:r>
        <w:r>
          <w:rPr>
            <w:webHidden/>
          </w:rPr>
          <w:instrText>PAGEREF _Toc84598951 \h</w:instrText>
        </w:r>
        <w:r>
          <w:rPr>
            <w:webHidden/>
          </w:rPr>
          <w:fldChar w:fldCharType="separate"/>
        </w:r>
        <w:r>
          <w:rPr>
            <w:rStyle w:val="IndexLink"/>
          </w:rPr>
          <w:t>Recomendaciones</w:t>
          <w:tab/>
          <w:t>100</w:t>
        </w:r>
        <w:r>
          <w:rPr>
            <w:webHidden/>
          </w:rPr>
          <w:fldChar w:fldCharType="end"/>
        </w:r>
      </w:hyperlink>
    </w:p>
    <w:p>
      <w:pPr>
        <w:pStyle w:val="Contents1"/>
        <w:tabs>
          <w:tab w:val="left" w:pos="440" w:leader="none"/>
          <w:tab w:val="right" w:pos="8777" w:leader="dot"/>
        </w:tabs>
        <w:rPr>
          <w:rFonts w:ascii="Calibri" w:hAnsi="Calibri" w:cs="" w:asciiTheme="minorHAnsi" w:cstheme="minorBidi" w:hAnsiTheme="minorHAnsi"/>
          <w:b w:val="false"/>
          <w:b w:val="false"/>
          <w:bCs w:val="false"/>
          <w:caps w:val="false"/>
          <w:smallCaps w:val="false"/>
          <w:color w:val="00000A"/>
          <w:sz w:val="22"/>
          <w:szCs w:val="22"/>
          <w:lang w:eastAsia="ja-JP"/>
        </w:rPr>
      </w:pPr>
      <w:hyperlink w:anchor="_Toc84598952">
        <w:r>
          <w:rPr>
            <w:webHidden/>
            <w:rStyle w:val="IndexLink"/>
            <w:vanish w:val="false"/>
            <w:lang w:val="en-US"/>
          </w:rPr>
          <w:t>7</w:t>
        </w:r>
        <w:r>
          <w:rPr>
            <w:rStyle w:val="IndexLink"/>
            <w:rFonts w:cs="" w:cstheme="minorBidi"/>
            <w:b w:val="false"/>
            <w:bCs w:val="false"/>
            <w:caps w:val="false"/>
            <w:smallCaps w:val="false"/>
            <w:color w:val="00000A"/>
            <w:sz w:val="22"/>
            <w:szCs w:val="22"/>
            <w:lang w:eastAsia="ja-JP"/>
          </w:rPr>
          <w:tab/>
        </w:r>
        <w:r>
          <w:rPr>
            <w:rStyle w:val="IndexLink"/>
            <w:lang w:val="en-US"/>
          </w:rPr>
          <w:t>Glosario de términos</w:t>
        </w:r>
        <w:r>
          <w:rPr>
            <w:webHidden/>
          </w:rPr>
          <w:fldChar w:fldCharType="begin"/>
        </w:r>
        <w:r>
          <w:rPr>
            <w:webHidden/>
          </w:rPr>
          <w:instrText>PAGEREF _Toc84598952 \h</w:instrText>
        </w:r>
        <w:r>
          <w:rPr>
            <w:webHidden/>
          </w:rPr>
          <w:fldChar w:fldCharType="separate"/>
        </w:r>
        <w:r>
          <w:rPr>
            <w:rStyle w:val="IndexLink"/>
          </w:rPr>
          <w:tab/>
          <w:t>101</w:t>
        </w:r>
        <w:r>
          <w:rPr>
            <w:webHidden/>
          </w:rPr>
          <w:fldChar w:fldCharType="end"/>
        </w:r>
      </w:hyperlink>
    </w:p>
    <w:p>
      <w:pPr>
        <w:pStyle w:val="Contents1"/>
        <w:tabs>
          <w:tab w:val="left" w:pos="440" w:leader="none"/>
          <w:tab w:val="right" w:pos="8777" w:leader="dot"/>
        </w:tabs>
        <w:rPr>
          <w:rFonts w:ascii="Calibri" w:hAnsi="Calibri" w:cs="" w:asciiTheme="minorHAnsi" w:cstheme="minorBidi" w:hAnsiTheme="minorHAnsi"/>
          <w:b w:val="false"/>
          <w:b w:val="false"/>
          <w:bCs w:val="false"/>
          <w:caps w:val="false"/>
          <w:smallCaps w:val="false"/>
          <w:color w:val="00000A"/>
          <w:sz w:val="22"/>
          <w:szCs w:val="22"/>
          <w:lang w:eastAsia="ja-JP"/>
        </w:rPr>
      </w:pPr>
      <w:hyperlink w:anchor="_Toc84598953">
        <w:r>
          <w:rPr>
            <w:webHidden/>
            <w:rStyle w:val="IndexLink"/>
            <w:vanish w:val="false"/>
            <w:lang w:val="en-US"/>
          </w:rPr>
          <w:t>8</w:t>
        </w:r>
        <w:r>
          <w:rPr>
            <w:rStyle w:val="IndexLink"/>
            <w:rFonts w:cs="" w:cstheme="minorBidi"/>
            <w:b w:val="false"/>
            <w:bCs w:val="false"/>
            <w:caps w:val="false"/>
            <w:smallCaps w:val="false"/>
            <w:color w:val="00000A"/>
            <w:sz w:val="22"/>
            <w:szCs w:val="22"/>
            <w:lang w:eastAsia="ja-JP"/>
          </w:rPr>
          <w:tab/>
        </w:r>
        <w:r>
          <w:rPr>
            <w:rStyle w:val="IndexLink"/>
            <w:lang w:val="en-US"/>
          </w:rPr>
          <w:t>Bibliografía</w:t>
        </w:r>
        <w:r>
          <w:rPr>
            <w:webHidden/>
          </w:rPr>
          <w:fldChar w:fldCharType="begin"/>
        </w:r>
        <w:r>
          <w:rPr>
            <w:webHidden/>
          </w:rPr>
          <w:instrText>PAGEREF _Toc84598953 \h</w:instrText>
        </w:r>
        <w:r>
          <w:rPr>
            <w:webHidden/>
          </w:rPr>
          <w:fldChar w:fldCharType="separate"/>
        </w:r>
        <w:r>
          <w:rPr>
            <w:rStyle w:val="IndexLink"/>
          </w:rPr>
          <w:tab/>
          <w:t>104</w:t>
        </w:r>
        <w:r>
          <w:rPr>
            <w:webHidden/>
          </w:rPr>
          <w:fldChar w:fldCharType="end"/>
        </w:r>
      </w:hyperlink>
    </w:p>
    <w:p>
      <w:pPr>
        <w:pStyle w:val="Contents1"/>
        <w:tabs>
          <w:tab w:val="left" w:pos="440" w:leader="none"/>
          <w:tab w:val="right" w:pos="8777" w:leader="dot"/>
        </w:tabs>
        <w:rPr>
          <w:rFonts w:ascii="Calibri" w:hAnsi="Calibri" w:cs="" w:asciiTheme="minorHAnsi" w:cstheme="minorBidi" w:hAnsiTheme="minorHAnsi"/>
          <w:b w:val="false"/>
          <w:b w:val="false"/>
          <w:bCs w:val="false"/>
          <w:caps w:val="false"/>
          <w:smallCaps w:val="false"/>
          <w:color w:val="00000A"/>
          <w:sz w:val="22"/>
          <w:szCs w:val="22"/>
          <w:lang w:eastAsia="ja-JP"/>
        </w:rPr>
      </w:pPr>
      <w:hyperlink w:anchor="_Toc84598954">
        <w:r>
          <w:rPr>
            <w:webHidden/>
            <w:rStyle w:val="IndexLink"/>
            <w:vanish w:val="false"/>
          </w:rPr>
          <w:t>9</w:t>
        </w:r>
        <w:r>
          <w:rPr>
            <w:rStyle w:val="IndexLink"/>
            <w:rFonts w:cs="" w:cstheme="minorBidi"/>
            <w:b w:val="false"/>
            <w:bCs w:val="false"/>
            <w:caps w:val="false"/>
            <w:smallCaps w:val="false"/>
            <w:color w:val="00000A"/>
            <w:sz w:val="22"/>
            <w:szCs w:val="22"/>
            <w:lang w:eastAsia="ja-JP"/>
          </w:rPr>
          <w:tab/>
        </w:r>
        <w:r>
          <w:rPr>
            <w:webHidden/>
          </w:rPr>
          <w:fldChar w:fldCharType="begin"/>
        </w:r>
        <w:r>
          <w:rPr>
            <w:webHidden/>
          </w:rPr>
          <w:instrText>PAGEREF _Toc84598954 \h</w:instrText>
        </w:r>
        <w:r>
          <w:rPr>
            <w:webHidden/>
          </w:rPr>
          <w:fldChar w:fldCharType="separate"/>
        </w:r>
        <w:r>
          <w:rPr>
            <w:rStyle w:val="IndexLink"/>
          </w:rPr>
          <w:t>Anexos</w:t>
          <w:tab/>
          <w:t>118</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55">
        <w:r>
          <w:rPr>
            <w:webHidden/>
            <w:rStyle w:val="IndexLink"/>
            <w:vanish w:val="false"/>
          </w:rPr>
          <w:t>9.1</w:t>
        </w:r>
        <w:r>
          <w:rPr>
            <w:rStyle w:val="IndexLink"/>
            <w:rFonts w:cs="" w:cstheme="minorBidi"/>
            <w:caps w:val="false"/>
            <w:smallCaps w:val="false"/>
            <w:color w:val="00000A"/>
            <w:sz w:val="22"/>
            <w:szCs w:val="22"/>
            <w:lang w:eastAsia="ja-JP"/>
          </w:rPr>
          <w:tab/>
        </w:r>
        <w:r>
          <w:rPr>
            <w:webHidden/>
          </w:rPr>
          <w:fldChar w:fldCharType="begin"/>
        </w:r>
        <w:r>
          <w:rPr>
            <w:webHidden/>
          </w:rPr>
          <w:instrText>PAGEREF _Toc84598955 \h</w:instrText>
        </w:r>
        <w:r>
          <w:rPr>
            <w:webHidden/>
          </w:rPr>
          <w:fldChar w:fldCharType="separate"/>
        </w:r>
        <w:r>
          <w:rPr>
            <w:rStyle w:val="IndexLink"/>
          </w:rPr>
          <w:t>Anexo 1. Producción científica del autor</w:t>
          <w:tab/>
          <w:t>118</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56">
        <w:r>
          <w:rPr>
            <w:webHidden/>
            <w:rStyle w:val="IndexLink"/>
            <w:vanish w:val="false"/>
          </w:rPr>
          <w:t>9.2</w:t>
        </w:r>
        <w:r>
          <w:rPr>
            <w:rStyle w:val="IndexLink"/>
            <w:rFonts w:cs="" w:cstheme="minorBidi"/>
            <w:caps w:val="false"/>
            <w:smallCaps w:val="false"/>
            <w:color w:val="00000A"/>
            <w:sz w:val="22"/>
            <w:szCs w:val="22"/>
            <w:lang w:eastAsia="ja-JP"/>
          </w:rPr>
          <w:tab/>
        </w:r>
        <w:r>
          <w:rPr>
            <w:rStyle w:val="IndexLink"/>
          </w:rPr>
          <w:t xml:space="preserve">Anexo 2. </w:t>
        </w:r>
        <w:r>
          <w:rPr>
            <w:rStyle w:val="IndexLink"/>
            <w:lang w:val="en-US"/>
          </w:rPr>
          <w:t>Protocolo de revisión sistemática aplicado</w:t>
        </w:r>
        <w:r>
          <w:rPr>
            <w:webHidden/>
          </w:rPr>
          <w:fldChar w:fldCharType="begin"/>
        </w:r>
        <w:r>
          <w:rPr>
            <w:webHidden/>
          </w:rPr>
          <w:instrText>PAGEREF _Toc84598956 \h</w:instrText>
        </w:r>
        <w:r>
          <w:rPr>
            <w:webHidden/>
          </w:rPr>
          <w:fldChar w:fldCharType="separate"/>
        </w:r>
        <w:r>
          <w:rPr>
            <w:rStyle w:val="IndexLink"/>
          </w:rPr>
          <w:tab/>
          <w:t>119</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57">
        <w:r>
          <w:rPr>
            <w:webHidden/>
            <w:rStyle w:val="IndexLink"/>
            <w:vanish w:val="false"/>
          </w:rPr>
          <w:t>9.3</w:t>
        </w:r>
        <w:r>
          <w:rPr>
            <w:rStyle w:val="IndexLink"/>
            <w:rFonts w:cs="" w:cstheme="minorBidi"/>
            <w:caps w:val="false"/>
            <w:smallCaps w:val="false"/>
            <w:color w:val="00000A"/>
            <w:sz w:val="22"/>
            <w:szCs w:val="22"/>
            <w:lang w:eastAsia="ja-JP"/>
          </w:rPr>
          <w:tab/>
        </w:r>
        <w:r>
          <w:rPr>
            <w:webHidden/>
          </w:rPr>
          <w:fldChar w:fldCharType="begin"/>
        </w:r>
        <w:r>
          <w:rPr>
            <w:webHidden/>
          </w:rPr>
          <w:instrText>PAGEREF _Toc84598957 \h</w:instrText>
        </w:r>
        <w:r>
          <w:rPr>
            <w:webHidden/>
          </w:rPr>
          <w:fldChar w:fldCharType="separate"/>
        </w:r>
        <w:r>
          <w:rPr>
            <w:rStyle w:val="IndexLink"/>
          </w:rPr>
          <w:t>Anexo 3. Caracterización de la bibliografía consultada en la revisión sistemática</w:t>
          <w:tab/>
          <w:t>121</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58">
        <w:r>
          <w:rPr>
            <w:webHidden/>
            <w:rStyle w:val="IndexLink"/>
            <w:vanish w:val="false"/>
          </w:rPr>
          <w:t>9.4</w:t>
        </w:r>
        <w:r>
          <w:rPr>
            <w:rStyle w:val="IndexLink"/>
            <w:rFonts w:cs="" w:cstheme="minorBidi"/>
            <w:caps w:val="false"/>
            <w:smallCaps w:val="false"/>
            <w:color w:val="00000A"/>
            <w:sz w:val="22"/>
            <w:szCs w:val="22"/>
            <w:lang w:eastAsia="ja-JP"/>
          </w:rPr>
          <w:tab/>
        </w:r>
        <w:r>
          <w:rPr>
            <w:webHidden/>
          </w:rPr>
          <w:fldChar w:fldCharType="begin"/>
        </w:r>
        <w:r>
          <w:rPr>
            <w:webHidden/>
          </w:rPr>
          <w:instrText>PAGEREF _Toc84598958 \h</w:instrText>
        </w:r>
        <w:r>
          <w:rPr>
            <w:webHidden/>
          </w:rPr>
          <w:fldChar w:fldCharType="separate"/>
        </w:r>
        <w:r>
          <w:rPr>
            <w:rStyle w:val="IndexLink"/>
          </w:rPr>
          <w:t>Anexo 4. Taxonomía de técnicas para la detección de datos anómalos</w:t>
          <w:tab/>
          <w:t>124</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59">
        <w:r>
          <w:rPr>
            <w:webHidden/>
            <w:rStyle w:val="IndexLink"/>
            <w:vanish w:val="false"/>
          </w:rPr>
          <w:t>9.5</w:t>
        </w:r>
        <w:r>
          <w:rPr>
            <w:rStyle w:val="IndexLink"/>
            <w:rFonts w:cs="" w:cstheme="minorBidi"/>
            <w:caps w:val="false"/>
            <w:smallCaps w:val="false"/>
            <w:color w:val="00000A"/>
            <w:sz w:val="22"/>
            <w:szCs w:val="22"/>
            <w:lang w:eastAsia="ja-JP"/>
          </w:rPr>
          <w:tab/>
        </w:r>
        <w:r>
          <w:rPr>
            <w:webHidden/>
          </w:rPr>
          <w:fldChar w:fldCharType="begin"/>
        </w:r>
        <w:r>
          <w:rPr>
            <w:webHidden/>
          </w:rPr>
          <w:instrText>PAGEREF _Toc84598959 \h</w:instrText>
        </w:r>
        <w:r>
          <w:rPr>
            <w:webHidden/>
          </w:rPr>
          <w:fldChar w:fldCharType="separate"/>
        </w:r>
        <w:r>
          <w:rPr>
            <w:rStyle w:val="IndexLink"/>
          </w:rPr>
          <w:t>Anexo 5. Taxonomía del concepto de incertidumbre</w:t>
          <w:tab/>
          <w:t>124</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60">
        <w:r>
          <w:rPr>
            <w:webHidden/>
            <w:rStyle w:val="IndexLink"/>
            <w:vanish w:val="false"/>
          </w:rPr>
          <w:t>9.6</w:t>
        </w:r>
        <w:r>
          <w:rPr>
            <w:rStyle w:val="IndexLink"/>
            <w:rFonts w:cs="" w:cstheme="minorBidi"/>
            <w:caps w:val="false"/>
            <w:smallCaps w:val="false"/>
            <w:color w:val="00000A"/>
            <w:sz w:val="22"/>
            <w:szCs w:val="22"/>
            <w:lang w:eastAsia="ja-JP"/>
          </w:rPr>
          <w:tab/>
        </w:r>
        <w:r>
          <w:rPr>
            <w:webHidden/>
          </w:rPr>
          <w:fldChar w:fldCharType="begin"/>
        </w:r>
        <w:r>
          <w:rPr>
            <w:webHidden/>
          </w:rPr>
          <w:instrText>PAGEREF _Toc84598960 \h</w:instrText>
        </w:r>
        <w:r>
          <w:rPr>
            <w:webHidden/>
          </w:rPr>
          <w:fldChar w:fldCharType="separate"/>
        </w:r>
        <w:r>
          <w:rPr>
            <w:rStyle w:val="IndexLink"/>
          </w:rPr>
          <w:t>Anexo 6. Evolución de la teoría neutrosófica</w:t>
          <w:tab/>
          <w:t>124</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61">
        <w:r>
          <w:rPr>
            <w:webHidden/>
            <w:rStyle w:val="IndexLink"/>
            <w:vanish w:val="false"/>
          </w:rPr>
          <w:t>9.7</w:t>
        </w:r>
        <w:r>
          <w:rPr>
            <w:rStyle w:val="IndexLink"/>
            <w:rFonts w:cs="" w:cstheme="minorBidi"/>
            <w:caps w:val="false"/>
            <w:smallCaps w:val="false"/>
            <w:color w:val="00000A"/>
            <w:sz w:val="22"/>
            <w:szCs w:val="22"/>
            <w:lang w:eastAsia="ja-JP"/>
          </w:rPr>
          <w:tab/>
        </w:r>
        <w:r>
          <w:rPr>
            <w:webHidden/>
          </w:rPr>
          <w:fldChar w:fldCharType="begin"/>
        </w:r>
        <w:r>
          <w:rPr>
            <w:webHidden/>
          </w:rPr>
          <w:instrText>PAGEREF _Toc84598961 \h</w:instrText>
        </w:r>
        <w:r>
          <w:rPr>
            <w:webHidden/>
          </w:rPr>
          <w:fldChar w:fldCharType="separate"/>
        </w:r>
        <w:r>
          <w:rPr>
            <w:rStyle w:val="IndexLink"/>
          </w:rPr>
          <w:t>Anexo 7. Escenarios de pruebas para la comparación de los indicadores de calidad</w:t>
          <w:tab/>
          <w:t>125</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62">
        <w:r>
          <w:rPr>
            <w:webHidden/>
            <w:rStyle w:val="IndexLink"/>
            <w:vanish w:val="false"/>
          </w:rPr>
          <w:t>9.8</w:t>
        </w:r>
        <w:r>
          <w:rPr>
            <w:rStyle w:val="IndexLink"/>
            <w:rFonts w:cs="" w:cstheme="minorBidi"/>
            <w:caps w:val="false"/>
            <w:smallCaps w:val="false"/>
            <w:color w:val="00000A"/>
            <w:sz w:val="22"/>
            <w:szCs w:val="22"/>
            <w:lang w:eastAsia="ja-JP"/>
          </w:rPr>
          <w:tab/>
        </w:r>
        <w:r>
          <w:rPr>
            <w:rStyle w:val="IndexLink"/>
          </w:rPr>
          <w:t xml:space="preserve">Anexo 8. Resumen de </w:t>
        </w:r>
        <w:r>
          <w:rPr>
            <w:rStyle w:val="IndexLink"/>
            <w:lang w:val="en-US"/>
          </w:rPr>
          <w:t>bases de datos</w:t>
        </w:r>
        <w:r>
          <w:rPr>
            <w:webHidden/>
          </w:rPr>
          <w:fldChar w:fldCharType="begin"/>
        </w:r>
        <w:r>
          <w:rPr>
            <w:webHidden/>
          </w:rPr>
          <w:instrText>PAGEREF _Toc84598962 \h</w:instrText>
        </w:r>
        <w:r>
          <w:rPr>
            <w:webHidden/>
          </w:rPr>
          <w:fldChar w:fldCharType="separate"/>
        </w:r>
        <w:r>
          <w:rPr>
            <w:rStyle w:val="IndexLink"/>
          </w:rPr>
          <w:t xml:space="preserve"> empleadas en la experimentación</w:t>
          <w:tab/>
          <w:t>126</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63">
        <w:r>
          <w:rPr>
            <w:webHidden/>
            <w:rStyle w:val="IndexLink"/>
            <w:vanish w:val="false"/>
          </w:rPr>
          <w:t>9.9</w:t>
        </w:r>
        <w:r>
          <w:rPr>
            <w:rStyle w:val="IndexLink"/>
            <w:rFonts w:cs="" w:cstheme="minorBidi"/>
            <w:caps w:val="false"/>
            <w:smallCaps w:val="false"/>
            <w:color w:val="00000A"/>
            <w:sz w:val="22"/>
            <w:szCs w:val="22"/>
            <w:lang w:eastAsia="ja-JP"/>
          </w:rPr>
          <w:tab/>
        </w:r>
        <w:r>
          <w:rPr>
            <w:webHidden/>
          </w:rPr>
          <w:fldChar w:fldCharType="begin"/>
        </w:r>
        <w:r>
          <w:rPr>
            <w:webHidden/>
          </w:rPr>
          <w:instrText>PAGEREF _Toc84598963 \h</w:instrText>
        </w:r>
        <w:r>
          <w:rPr>
            <w:webHidden/>
          </w:rPr>
          <w:fldChar w:fldCharType="separate"/>
        </w:r>
        <w:r>
          <w:rPr>
            <w:rStyle w:val="IndexLink"/>
          </w:rPr>
          <w:t>Anexo 9. Lenguajes Naturales Controlados</w:t>
          <w:tab/>
          <w:t>127</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64">
        <w:r>
          <w:rPr>
            <w:webHidden/>
            <w:rStyle w:val="IndexLink"/>
            <w:vanish w:val="false"/>
          </w:rPr>
          <w:t>9.10</w:t>
        </w:r>
        <w:r>
          <w:rPr>
            <w:rStyle w:val="IndexLink"/>
            <w:rFonts w:cs="" w:cstheme="minorBidi"/>
            <w:caps w:val="false"/>
            <w:smallCaps w:val="false"/>
            <w:color w:val="00000A"/>
            <w:sz w:val="22"/>
            <w:szCs w:val="22"/>
            <w:lang w:eastAsia="ja-JP"/>
          </w:rPr>
          <w:tab/>
        </w:r>
        <w:r>
          <w:rPr>
            <w:webHidden/>
          </w:rPr>
          <w:fldChar w:fldCharType="begin"/>
        </w:r>
        <w:r>
          <w:rPr>
            <w:webHidden/>
          </w:rPr>
          <w:instrText>PAGEREF _Toc84598964 \h</w:instrText>
        </w:r>
        <w:r>
          <w:rPr>
            <w:webHidden/>
          </w:rPr>
          <w:fldChar w:fldCharType="separate"/>
        </w:r>
        <w:r>
          <w:rPr>
            <w:rStyle w:val="IndexLink"/>
          </w:rPr>
          <w:t>Anexo 10. Ejemplos de diccionarios</w:t>
          <w:tab/>
          <w:t>133</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65">
        <w:r>
          <w:rPr>
            <w:webHidden/>
            <w:rStyle w:val="IndexLink"/>
            <w:vanish w:val="false"/>
          </w:rPr>
          <w:t>9.11</w:t>
        </w:r>
        <w:r>
          <w:rPr>
            <w:rStyle w:val="IndexLink"/>
            <w:rFonts w:cs="" w:cstheme="minorBidi"/>
            <w:caps w:val="false"/>
            <w:smallCaps w:val="false"/>
            <w:color w:val="00000A"/>
            <w:sz w:val="22"/>
            <w:szCs w:val="22"/>
            <w:lang w:eastAsia="ja-JP"/>
          </w:rPr>
          <w:tab/>
        </w:r>
        <w:r>
          <w:rPr>
            <w:webHidden/>
          </w:rPr>
          <w:fldChar w:fldCharType="begin"/>
        </w:r>
        <w:r>
          <w:rPr>
            <w:webHidden/>
          </w:rPr>
          <w:instrText>PAGEREF _Toc84598965 \h</w:instrText>
        </w:r>
        <w:r>
          <w:rPr>
            <w:webHidden/>
          </w:rPr>
          <w:fldChar w:fldCharType="separate"/>
        </w:r>
        <w:r>
          <w:rPr>
            <w:rStyle w:val="IndexLink"/>
          </w:rPr>
          <w:t>Anexo 11. Especialistas que participaron en los casos de estudio.</w:t>
          <w:tab/>
          <w:t>135</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66">
        <w:r>
          <w:rPr>
            <w:webHidden/>
            <w:rStyle w:val="IndexLink"/>
            <w:vanish w:val="false"/>
          </w:rPr>
          <w:t>9.12</w:t>
        </w:r>
        <w:r>
          <w:rPr>
            <w:rStyle w:val="IndexLink"/>
            <w:rFonts w:cs="" w:cstheme="minorBidi"/>
            <w:caps w:val="false"/>
            <w:smallCaps w:val="false"/>
            <w:color w:val="00000A"/>
            <w:sz w:val="22"/>
            <w:szCs w:val="22"/>
            <w:lang w:eastAsia="ja-JP"/>
          </w:rPr>
          <w:tab/>
        </w:r>
        <w:r>
          <w:rPr>
            <w:webHidden/>
          </w:rPr>
          <w:fldChar w:fldCharType="begin"/>
        </w:r>
        <w:r>
          <w:rPr>
            <w:webHidden/>
          </w:rPr>
          <w:instrText>PAGEREF _Toc84598966 \h</w:instrText>
        </w:r>
        <w:r>
          <w:rPr>
            <w:webHidden/>
          </w:rPr>
          <w:fldChar w:fldCharType="separate"/>
        </w:r>
        <w:r>
          <w:rPr>
            <w:rStyle w:val="IndexLink"/>
          </w:rPr>
          <w:t>Anexo 12. Encuestas aplicadas a los especialistas de los casos de estudio</w:t>
          <w:tab/>
          <w:t>135</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67">
        <w:r>
          <w:rPr>
            <w:webHidden/>
            <w:rStyle w:val="IndexLink"/>
            <w:vanish w:val="false"/>
          </w:rPr>
          <w:t>9.13</w:t>
        </w:r>
        <w:r>
          <w:rPr>
            <w:rStyle w:val="IndexLink"/>
            <w:rFonts w:cs="" w:cstheme="minorBidi"/>
            <w:caps w:val="false"/>
            <w:smallCaps w:val="false"/>
            <w:color w:val="00000A"/>
            <w:sz w:val="22"/>
            <w:szCs w:val="22"/>
            <w:lang w:eastAsia="ja-JP"/>
          </w:rPr>
          <w:tab/>
        </w:r>
        <w:r>
          <w:rPr>
            <w:webHidden/>
          </w:rPr>
          <w:fldChar w:fldCharType="begin"/>
        </w:r>
        <w:r>
          <w:rPr>
            <w:webHidden/>
          </w:rPr>
          <w:instrText>PAGEREF _Toc84598967 \h</w:instrText>
        </w:r>
        <w:r>
          <w:rPr>
            <w:webHidden/>
          </w:rPr>
          <w:fldChar w:fldCharType="separate"/>
        </w:r>
        <w:r>
          <w:rPr>
            <w:rStyle w:val="IndexLink"/>
          </w:rPr>
          <w:t>Anexo 13. Resultado de los algoritmos.</w:t>
          <w:tab/>
          <w:t>137</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68">
        <w:r>
          <w:rPr>
            <w:webHidden/>
            <w:rStyle w:val="IndexLink"/>
            <w:i/>
            <w:vanish w:val="false"/>
            <w:lang w:val="en-US"/>
          </w:rPr>
          <w:t>9.14</w:t>
        </w:r>
        <w:r>
          <w:rPr>
            <w:rStyle w:val="IndexLink"/>
            <w:rFonts w:cs="" w:cstheme="minorBidi"/>
            <w:caps w:val="false"/>
            <w:smallCaps w:val="false"/>
            <w:color w:val="00000A"/>
            <w:sz w:val="22"/>
            <w:szCs w:val="22"/>
            <w:lang w:eastAsia="ja-JP"/>
          </w:rPr>
          <w:tab/>
        </w:r>
        <w:r>
          <w:rPr>
            <w:rStyle w:val="IndexLink"/>
          </w:rPr>
          <w:t xml:space="preserve">Anexo 14. Resultados de la aplicación del </w:t>
        </w:r>
        <w:r>
          <w:rPr>
            <w:rStyle w:val="IndexLink"/>
            <w:i/>
            <w:lang w:val="en-US"/>
          </w:rPr>
          <w:t>Page´L Trent Test</w:t>
        </w:r>
        <w:r>
          <w:rPr>
            <w:webHidden/>
          </w:rPr>
          <w:fldChar w:fldCharType="begin"/>
        </w:r>
        <w:r>
          <w:rPr>
            <w:webHidden/>
          </w:rPr>
          <w:instrText>PAGEREF _Toc84598968 \h</w:instrText>
        </w:r>
        <w:r>
          <w:rPr>
            <w:webHidden/>
          </w:rPr>
          <w:fldChar w:fldCharType="separate"/>
        </w:r>
        <w:r>
          <w:rPr>
            <w:rStyle w:val="IndexLink"/>
          </w:rPr>
          <w:tab/>
          <w:t>142</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69">
        <w:r>
          <w:rPr>
            <w:webHidden/>
            <w:rStyle w:val="IndexLink"/>
            <w:vanish w:val="false"/>
          </w:rPr>
          <w:t>9.15</w:t>
        </w:r>
        <w:r>
          <w:rPr>
            <w:rStyle w:val="IndexLink"/>
            <w:rFonts w:cs="" w:cstheme="minorBidi"/>
            <w:caps w:val="false"/>
            <w:smallCaps w:val="false"/>
            <w:color w:val="00000A"/>
            <w:sz w:val="22"/>
            <w:szCs w:val="22"/>
            <w:lang w:eastAsia="ja-JP"/>
          </w:rPr>
          <w:tab/>
        </w:r>
        <w:r>
          <w:rPr>
            <w:webHidden/>
          </w:rPr>
          <w:fldChar w:fldCharType="begin"/>
        </w:r>
        <w:r>
          <w:rPr>
            <w:webHidden/>
          </w:rPr>
          <w:instrText>PAGEREF _Toc84598969 \h</w:instrText>
        </w:r>
        <w:r>
          <w:rPr>
            <w:webHidden/>
          </w:rPr>
          <w:fldChar w:fldCharType="separate"/>
        </w:r>
        <w:r>
          <w:rPr>
            <w:rStyle w:val="IndexLink"/>
          </w:rPr>
          <w:t>Anexo 15. Expertos que participaron en la validación del enfoque multilingüe</w:t>
          <w:tab/>
          <w:t>143</w:t>
        </w:r>
        <w:r>
          <w:rPr>
            <w:webHidden/>
          </w:rPr>
          <w:fldChar w:fldCharType="end"/>
        </w:r>
      </w:hyperlink>
    </w:p>
    <w:p>
      <w:pPr>
        <w:pStyle w:val="Contents2"/>
        <w:tabs>
          <w:tab w:val="left" w:pos="880" w:leader="none"/>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70">
        <w:r>
          <w:rPr>
            <w:webHidden/>
            <w:rStyle w:val="IndexLink"/>
            <w:vanish w:val="false"/>
          </w:rPr>
          <w:t>9.16</w:t>
        </w:r>
        <w:r>
          <w:rPr>
            <w:rStyle w:val="IndexLink"/>
            <w:rFonts w:cs="" w:cstheme="minorBidi"/>
            <w:caps w:val="false"/>
            <w:smallCaps w:val="false"/>
            <w:color w:val="00000A"/>
            <w:sz w:val="22"/>
            <w:szCs w:val="22"/>
            <w:lang w:eastAsia="ja-JP"/>
          </w:rPr>
          <w:tab/>
        </w:r>
        <w:r>
          <w:rPr>
            <w:webHidden/>
          </w:rPr>
          <w:fldChar w:fldCharType="begin"/>
        </w:r>
        <w:r>
          <w:rPr>
            <w:webHidden/>
          </w:rPr>
          <w:instrText>PAGEREF _Toc84598970 \h</w:instrText>
        </w:r>
        <w:r>
          <w:rPr>
            <w:webHidden/>
          </w:rPr>
          <w:fldChar w:fldCharType="separate"/>
        </w:r>
        <w:r>
          <w:rPr>
            <w:rStyle w:val="IndexLink"/>
          </w:rPr>
          <w:t>Anexo 16. Resúmenes en múltiples idiomas generados en el caso de estudio</w:t>
          <w:tab/>
          <w:t>144</w:t>
        </w:r>
        <w:r>
          <w:rPr>
            <w:webHidden/>
          </w:rPr>
          <w:fldChar w:fldCharType="end"/>
        </w:r>
      </w:hyperlink>
    </w:p>
    <w:p>
      <w:pPr>
        <w:pStyle w:val="Normal"/>
        <w:rPr/>
      </w:pPr>
      <w:r>
        <w:rPr/>
      </w:r>
      <w:r>
        <w:fldChar w:fldCharType="end"/>
      </w:r>
    </w:p>
    <w:p>
      <w:pPr>
        <w:pStyle w:val="Normal"/>
        <w:jc w:val="center"/>
        <w:rPr/>
      </w:pPr>
      <w:r>
        <w:rPr>
          <w:b/>
          <w:sz w:val="32"/>
          <w:szCs w:val="32"/>
        </w:rPr>
        <w:t>Í</w:t>
      </w:r>
      <w:bookmarkStart w:id="24" w:name="_Toc4764770621"/>
      <w:bookmarkStart w:id="25" w:name="_Toc4842938381"/>
      <w:bookmarkEnd w:id="24"/>
      <w:bookmarkEnd w:id="25"/>
      <w:r>
        <w:rPr>
          <w:b/>
          <w:sz w:val="32"/>
          <w:szCs w:val="32"/>
        </w:rPr>
        <w:t>NDICE DE TABLAS</w:t>
      </w:r>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r>
        <w:fldChar w:fldCharType="begin"/>
      </w:r>
      <w:r>
        <w:instrText> TOC \c "Tabla" </w:instrText>
      </w:r>
      <w:r>
        <w:fldChar w:fldCharType="separate"/>
      </w:r>
      <w:hyperlink w:anchor="_Toc84598971">
        <w:r>
          <w:rPr>
            <w:webHidden/>
          </w:rPr>
          <w:fldChar w:fldCharType="begin"/>
        </w:r>
        <w:r>
          <w:rPr>
            <w:webHidden/>
          </w:rPr>
          <w:instrText>PAGEREF _Toc84598971 \h</w:instrText>
        </w:r>
        <w:r>
          <w:rPr>
            <w:webHidden/>
          </w:rPr>
          <w:fldChar w:fldCharType="separate"/>
        </w:r>
        <w:r>
          <w:rPr>
            <w:webHidden/>
            <w:rStyle w:val="IndexLink"/>
            <w:vanish w:val="false"/>
          </w:rPr>
          <w:t>Tabla 1: Operacionalización de la variable dependiente.</w:t>
          <w:tab/>
          <w:t>5</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72">
        <w:r>
          <w:rPr>
            <w:webHidden/>
          </w:rPr>
          <w:fldChar w:fldCharType="begin"/>
        </w:r>
        <w:r>
          <w:rPr>
            <w:webHidden/>
          </w:rPr>
          <w:instrText>PAGEREF _Toc84598972 \h</w:instrText>
        </w:r>
        <w:r>
          <w:rPr>
            <w:webHidden/>
          </w:rPr>
          <w:fldChar w:fldCharType="separate"/>
        </w:r>
        <w:r>
          <w:rPr>
            <w:webHidden/>
            <w:rStyle w:val="IndexLink"/>
            <w:vanish w:val="false"/>
          </w:rPr>
          <w:t>Tabla 2: Operacionalización de las variables independientes.</w:t>
          <w:tab/>
          <w:t>5</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73">
        <w:r>
          <w:rPr>
            <w:webHidden/>
          </w:rPr>
          <w:fldChar w:fldCharType="begin"/>
        </w:r>
        <w:r>
          <w:rPr>
            <w:webHidden/>
          </w:rPr>
          <w:instrText>PAGEREF _Toc84598973 \h</w:instrText>
        </w:r>
        <w:r>
          <w:rPr>
            <w:webHidden/>
          </w:rPr>
          <w:fldChar w:fldCharType="separate"/>
        </w:r>
        <w:r>
          <w:rPr>
            <w:webHidden/>
            <w:rStyle w:val="IndexLink"/>
            <w:vanish w:val="false"/>
          </w:rPr>
          <w:t>Tabla 3: Clasificación de resúmenes lingüísticos (Kacprzyk y Zadrożny 2009).</w:t>
          <w:tab/>
          <w:t>12</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74">
        <w:r>
          <w:rPr>
            <w:webHidden/>
            <w:rStyle w:val="IndexLink"/>
            <w:rFonts w:cs="Verdana"/>
            <w:vanish w:val="false"/>
          </w:rPr>
          <w:t>Tabla 4: Funciones de pertenencia que representan a los cuantificadores.</w:t>
        </w:r>
        <w:r>
          <w:rPr>
            <w:webHidden/>
          </w:rPr>
          <w:fldChar w:fldCharType="begin"/>
        </w:r>
        <w:r>
          <w:rPr>
            <w:webHidden/>
          </w:rPr>
          <w:instrText>PAGEREF _Toc84598974 \h</w:instrText>
        </w:r>
        <w:r>
          <w:rPr>
            <w:webHidden/>
          </w:rPr>
          <w:fldChar w:fldCharType="separate"/>
        </w:r>
        <w:r>
          <w:rPr>
            <w:rStyle w:val="IndexLink"/>
          </w:rPr>
          <w:tab/>
          <w:t>27</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75">
        <w:r>
          <w:rPr>
            <w:webHidden/>
          </w:rPr>
          <w:fldChar w:fldCharType="begin"/>
        </w:r>
        <w:r>
          <w:rPr>
            <w:webHidden/>
          </w:rPr>
          <w:instrText>PAGEREF _Toc84598975 \h</w:instrText>
        </w:r>
        <w:r>
          <w:rPr>
            <w:webHidden/>
          </w:rPr>
          <w:fldChar w:fldCharType="separate"/>
        </w:r>
        <w:r>
          <w:rPr>
            <w:webHidden/>
            <w:rStyle w:val="IndexLink"/>
            <w:vanish w:val="false"/>
          </w:rPr>
          <w:t>Tabla 5: Comparación teórica de los algoritmos.</w:t>
          <w:tab/>
          <w:t>45</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76">
        <w:r>
          <w:rPr>
            <w:webHidden/>
          </w:rPr>
          <w:fldChar w:fldCharType="begin"/>
        </w:r>
        <w:r>
          <w:rPr>
            <w:webHidden/>
          </w:rPr>
          <w:instrText>PAGEREF _Toc84598976 \h</w:instrText>
        </w:r>
        <w:r>
          <w:rPr>
            <w:webHidden/>
          </w:rPr>
          <w:fldChar w:fldCharType="separate"/>
        </w:r>
        <w:r>
          <w:rPr>
            <w:webHidden/>
            <w:rStyle w:val="IndexLink"/>
            <w:vanish w:val="false"/>
          </w:rPr>
          <w:t>Tabla 6: Ejemplo de descripción de un objeto de la clase de prueba ER1.</w:t>
          <w:tab/>
          <w:t>60</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77">
        <w:r>
          <w:rPr>
            <w:webHidden/>
          </w:rPr>
          <w:fldChar w:fldCharType="begin"/>
        </w:r>
        <w:r>
          <w:rPr>
            <w:webHidden/>
          </w:rPr>
          <w:instrText>PAGEREF _Toc84598977 \h</w:instrText>
        </w:r>
        <w:r>
          <w:rPr>
            <w:webHidden/>
          </w:rPr>
          <w:fldChar w:fldCharType="separate"/>
        </w:r>
        <w:r>
          <w:rPr>
            <w:webHidden/>
            <w:rStyle w:val="IndexLink"/>
            <w:vanish w:val="false"/>
          </w:rPr>
          <w:t>Tabla 7: Comparación de indicadores respecto a tratamiento de incertidumbre.</w:t>
          <w:tab/>
          <w:t>66</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78">
        <w:r>
          <w:rPr>
            <w:webHidden/>
            <w:rStyle w:val="IndexLink"/>
            <w:vanish w:val="false"/>
          </w:rPr>
          <w:t xml:space="preserve">Tabla 8: Comparación de los algoritmos respecto a la media aritmética del </w:t>
        </w:r>
        <w:r>
          <w:rPr>
            <w:rStyle w:val="IndexLink"/>
            <w:i/>
          </w:rPr>
          <w:t>T</w:t>
        </w:r>
        <w:r>
          <w:rPr>
            <w:rStyle w:val="IndexLink"/>
            <w:i/>
            <w:vertAlign w:val="subscript"/>
          </w:rPr>
          <w:t>1</w:t>
        </w:r>
        <w:r>
          <w:rPr>
            <w:webHidden/>
          </w:rPr>
          <w:fldChar w:fldCharType="begin"/>
        </w:r>
        <w:r>
          <w:rPr>
            <w:webHidden/>
          </w:rPr>
          <w:instrText>PAGEREF _Toc84598978 \h</w:instrText>
        </w:r>
        <w:r>
          <w:rPr>
            <w:webHidden/>
          </w:rPr>
          <w:fldChar w:fldCharType="separate"/>
        </w:r>
        <w:r>
          <w:rPr>
            <w:rStyle w:val="IndexLink"/>
          </w:rPr>
          <w:t>.</w:t>
          <w:tab/>
          <w:t>71</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79">
        <w:r>
          <w:rPr>
            <w:webHidden/>
            <w:rStyle w:val="IndexLink"/>
            <w:vanish w:val="false"/>
          </w:rPr>
          <w:t xml:space="preserve">Tabla 9: Comparación de los algoritmos respecto a la media aritmética del </w:t>
        </w:r>
        <w:r>
          <w:rPr>
            <w:rStyle w:val="IndexLink"/>
            <w:i/>
          </w:rPr>
          <w:t>T</w:t>
        </w:r>
        <w:r>
          <w:rPr>
            <w:rStyle w:val="IndexLink"/>
            <w:i/>
            <w:vertAlign w:val="subscript"/>
          </w:rPr>
          <w:t>2</w:t>
        </w:r>
        <w:r>
          <w:rPr>
            <w:webHidden/>
          </w:rPr>
          <w:fldChar w:fldCharType="begin"/>
        </w:r>
        <w:r>
          <w:rPr>
            <w:webHidden/>
          </w:rPr>
          <w:instrText>PAGEREF _Toc84598979 \h</w:instrText>
        </w:r>
        <w:r>
          <w:rPr>
            <w:webHidden/>
          </w:rPr>
          <w:fldChar w:fldCharType="separate"/>
        </w:r>
        <w:r>
          <w:rPr>
            <w:rStyle w:val="IndexLink"/>
          </w:rPr>
          <w:t>.</w:t>
          <w:tab/>
          <w:t>72</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80">
        <w:r>
          <w:rPr>
            <w:webHidden/>
            <w:rStyle w:val="IndexLink"/>
            <w:vanish w:val="false"/>
          </w:rPr>
          <w:t xml:space="preserve">Tabla 10: Comparación de los algoritmos respecto a la media aritmética del </w:t>
        </w:r>
        <w:r>
          <w:rPr>
            <w:rStyle w:val="IndexLink"/>
            <w:i/>
          </w:rPr>
          <w:t>T</w:t>
        </w:r>
        <w:r>
          <w:rPr>
            <w:rStyle w:val="IndexLink"/>
            <w:i/>
            <w:vertAlign w:val="subscript"/>
          </w:rPr>
          <w:t>3</w:t>
        </w:r>
        <w:r>
          <w:rPr>
            <w:webHidden/>
          </w:rPr>
          <w:fldChar w:fldCharType="begin"/>
        </w:r>
        <w:r>
          <w:rPr>
            <w:webHidden/>
          </w:rPr>
          <w:instrText>PAGEREF _Toc84598980 \h</w:instrText>
        </w:r>
        <w:r>
          <w:rPr>
            <w:webHidden/>
          </w:rPr>
          <w:fldChar w:fldCharType="separate"/>
        </w:r>
        <w:r>
          <w:rPr>
            <w:rStyle w:val="IndexLink"/>
          </w:rPr>
          <w:t>.</w:t>
          <w:tab/>
          <w:t>73</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81">
        <w:r>
          <w:rPr>
            <w:webHidden/>
            <w:rStyle w:val="IndexLink"/>
            <w:vanish w:val="false"/>
          </w:rPr>
          <w:t xml:space="preserve">Tabla 11: Comparación de los algoritmos respecto a la media aritmética del </w:t>
        </w:r>
        <w:r>
          <w:rPr>
            <w:rStyle w:val="IndexLink"/>
            <w:i/>
          </w:rPr>
          <w:t>T</w:t>
        </w:r>
        <w:r>
          <w:rPr>
            <w:rStyle w:val="IndexLink"/>
            <w:i/>
            <w:vertAlign w:val="subscript"/>
          </w:rPr>
          <w:t>4</w:t>
        </w:r>
        <w:r>
          <w:rPr>
            <w:webHidden/>
          </w:rPr>
          <w:fldChar w:fldCharType="begin"/>
        </w:r>
        <w:r>
          <w:rPr>
            <w:webHidden/>
          </w:rPr>
          <w:instrText>PAGEREF _Toc84598981 \h</w:instrText>
        </w:r>
        <w:r>
          <w:rPr>
            <w:webHidden/>
          </w:rPr>
          <w:fldChar w:fldCharType="separate"/>
        </w:r>
        <w:r>
          <w:rPr>
            <w:rStyle w:val="IndexLink"/>
          </w:rPr>
          <w:t>.</w:t>
          <w:tab/>
          <w:t>73</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82">
        <w:r>
          <w:rPr>
            <w:webHidden/>
            <w:rStyle w:val="IndexLink"/>
            <w:vanish w:val="false"/>
          </w:rPr>
          <w:t xml:space="preserve">Tabla 12: Comparación de los algoritmos respecto a la media aritmética del </w:t>
        </w:r>
        <w:r>
          <w:rPr>
            <w:rStyle w:val="IndexLink"/>
            <w:i/>
          </w:rPr>
          <w:t>T</w:t>
        </w:r>
        <w:r>
          <w:rPr>
            <w:rStyle w:val="IndexLink"/>
            <w:i/>
            <w:vertAlign w:val="subscript"/>
          </w:rPr>
          <w:t>5</w:t>
        </w:r>
        <w:r>
          <w:rPr>
            <w:webHidden/>
          </w:rPr>
          <w:fldChar w:fldCharType="begin"/>
        </w:r>
        <w:r>
          <w:rPr>
            <w:webHidden/>
          </w:rPr>
          <w:instrText>PAGEREF _Toc84598982 \h</w:instrText>
        </w:r>
        <w:r>
          <w:rPr>
            <w:webHidden/>
          </w:rPr>
          <w:fldChar w:fldCharType="separate"/>
        </w:r>
        <w:r>
          <w:rPr>
            <w:rStyle w:val="IndexLink"/>
          </w:rPr>
          <w:t>.</w:t>
          <w:tab/>
          <w:t>75</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83">
        <w:r>
          <w:rPr>
            <w:webHidden/>
            <w:rStyle w:val="IndexLink"/>
            <w:vanish w:val="false"/>
          </w:rPr>
          <w:t xml:space="preserve">Tabla 13: Comparación de los algoritmos respecto a la media aritmética del </w:t>
        </w:r>
        <w:r>
          <w:rPr>
            <w:rStyle w:val="IndexLink"/>
            <w:i/>
          </w:rPr>
          <w:t>Te</w:t>
        </w:r>
        <w:r>
          <w:rPr>
            <w:rStyle w:val="IndexLink"/>
            <w:i/>
            <w:vertAlign w:val="subscript"/>
          </w:rPr>
          <w:t>1a</w:t>
        </w:r>
        <w:r>
          <w:rPr>
            <w:webHidden/>
          </w:rPr>
          <w:fldChar w:fldCharType="begin"/>
        </w:r>
        <w:r>
          <w:rPr>
            <w:webHidden/>
          </w:rPr>
          <w:instrText>PAGEREF _Toc84598983 \h</w:instrText>
        </w:r>
        <w:r>
          <w:rPr>
            <w:webHidden/>
          </w:rPr>
          <w:fldChar w:fldCharType="separate"/>
        </w:r>
        <w:r>
          <w:rPr>
            <w:rStyle w:val="IndexLink"/>
          </w:rPr>
          <w:t>.</w:t>
          <w:tab/>
          <w:t>75</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84">
        <w:r>
          <w:rPr>
            <w:webHidden/>
            <w:rStyle w:val="IndexLink"/>
            <w:vanish w:val="false"/>
          </w:rPr>
          <w:t xml:space="preserve">Tabla 14: Comparación de los algoritmos respecto a la media aritmética del </w:t>
        </w:r>
        <w:r>
          <w:rPr>
            <w:rStyle w:val="IndexLink"/>
            <w:i/>
          </w:rPr>
          <w:t>Te</w:t>
        </w:r>
        <w:r>
          <w:rPr>
            <w:rStyle w:val="IndexLink"/>
            <w:i/>
            <w:vertAlign w:val="subscript"/>
          </w:rPr>
          <w:t>1b</w:t>
        </w:r>
        <w:r>
          <w:rPr>
            <w:webHidden/>
          </w:rPr>
          <w:fldChar w:fldCharType="begin"/>
        </w:r>
        <w:r>
          <w:rPr>
            <w:webHidden/>
          </w:rPr>
          <w:instrText>PAGEREF _Toc84598984 \h</w:instrText>
        </w:r>
        <w:r>
          <w:rPr>
            <w:webHidden/>
          </w:rPr>
          <w:fldChar w:fldCharType="separate"/>
        </w:r>
        <w:r>
          <w:rPr>
            <w:rStyle w:val="IndexLink"/>
          </w:rPr>
          <w:t>.</w:t>
          <w:tab/>
          <w:t>76</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85">
        <w:r>
          <w:rPr>
            <w:webHidden/>
            <w:rStyle w:val="IndexLink"/>
            <w:vanish w:val="false"/>
          </w:rPr>
          <w:t xml:space="preserve">Tabla 15: Comparación de los algoritmos respecto a la media aritmética del </w:t>
        </w:r>
        <w:r>
          <w:rPr>
            <w:rStyle w:val="IndexLink"/>
            <w:i/>
          </w:rPr>
          <w:t>Te</w:t>
        </w:r>
        <w:r>
          <w:rPr>
            <w:rStyle w:val="IndexLink"/>
            <w:i/>
            <w:vertAlign w:val="subscript"/>
          </w:rPr>
          <w:t>3</w:t>
        </w:r>
        <w:r>
          <w:rPr>
            <w:webHidden/>
          </w:rPr>
          <w:fldChar w:fldCharType="begin"/>
        </w:r>
        <w:r>
          <w:rPr>
            <w:webHidden/>
          </w:rPr>
          <w:instrText>PAGEREF _Toc84598985 \h</w:instrText>
        </w:r>
        <w:r>
          <w:rPr>
            <w:webHidden/>
          </w:rPr>
          <w:fldChar w:fldCharType="separate"/>
        </w:r>
        <w:r>
          <w:rPr>
            <w:rStyle w:val="IndexLink"/>
          </w:rPr>
          <w:t>.</w:t>
          <w:tab/>
          <w:t>77</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86">
        <w:r>
          <w:rPr>
            <w:webHidden/>
            <w:rStyle w:val="IndexLink"/>
            <w:vanish w:val="false"/>
          </w:rPr>
          <w:t xml:space="preserve">Tabla 16: Comparación de los algoritmos respecto a la media aritmética del </w:t>
        </w:r>
        <w:r>
          <w:rPr>
            <w:rStyle w:val="IndexLink"/>
            <w:i/>
          </w:rPr>
          <w:t>Te</w:t>
        </w:r>
        <w:r>
          <w:rPr>
            <w:rStyle w:val="IndexLink"/>
            <w:i/>
            <w:vertAlign w:val="subscript"/>
          </w:rPr>
          <w:t>4</w:t>
        </w:r>
        <w:r>
          <w:rPr>
            <w:webHidden/>
          </w:rPr>
          <w:fldChar w:fldCharType="begin"/>
        </w:r>
        <w:r>
          <w:rPr>
            <w:webHidden/>
          </w:rPr>
          <w:instrText>PAGEREF _Toc84598986 \h</w:instrText>
        </w:r>
        <w:r>
          <w:rPr>
            <w:webHidden/>
          </w:rPr>
          <w:fldChar w:fldCharType="separate"/>
        </w:r>
        <w:r>
          <w:rPr>
            <w:rStyle w:val="IndexLink"/>
          </w:rPr>
          <w:t>.</w:t>
          <w:tab/>
          <w:t>78</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87">
        <w:r>
          <w:rPr>
            <w:webHidden/>
            <w:rStyle w:val="IndexLink"/>
            <w:vanish w:val="false"/>
          </w:rPr>
          <w:t xml:space="preserve">Tabla 17: Comparación de los algoritmos respecto a la media aritmética del </w:t>
        </w:r>
        <w:r>
          <w:rPr>
            <w:rStyle w:val="IndexLink"/>
            <w:i/>
          </w:rPr>
          <w:t>Te</w:t>
        </w:r>
        <w:r>
          <w:rPr>
            <w:rStyle w:val="IndexLink"/>
            <w:i/>
            <w:vertAlign w:val="subscript"/>
          </w:rPr>
          <w:t>5</w:t>
        </w:r>
        <w:r>
          <w:rPr>
            <w:webHidden/>
          </w:rPr>
          <w:fldChar w:fldCharType="begin"/>
        </w:r>
        <w:r>
          <w:rPr>
            <w:webHidden/>
          </w:rPr>
          <w:instrText>PAGEREF _Toc84598987 \h</w:instrText>
        </w:r>
        <w:r>
          <w:rPr>
            <w:webHidden/>
          </w:rPr>
          <w:fldChar w:fldCharType="separate"/>
        </w:r>
        <w:r>
          <w:rPr>
            <w:rStyle w:val="IndexLink"/>
          </w:rPr>
          <w:t>.</w:t>
          <w:tab/>
          <w:t>79</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88">
        <w:r>
          <w:rPr>
            <w:webHidden/>
          </w:rPr>
          <w:fldChar w:fldCharType="begin"/>
        </w:r>
        <w:r>
          <w:rPr>
            <w:webHidden/>
          </w:rPr>
          <w:instrText>PAGEREF _Toc84598988 \h</w:instrText>
        </w:r>
        <w:r>
          <w:rPr>
            <w:webHidden/>
          </w:rPr>
          <w:fldChar w:fldCharType="separate"/>
        </w:r>
        <w:r>
          <w:rPr>
            <w:webHidden/>
            <w:rStyle w:val="IndexLink"/>
            <w:vanish w:val="false"/>
          </w:rPr>
          <w:t>Tabla 18: Comparación de los algoritmos respecto a la dispersión.</w:t>
          <w:tab/>
          <w:t>80</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89">
        <w:r>
          <w:rPr>
            <w:webHidden/>
          </w:rPr>
          <w:fldChar w:fldCharType="begin"/>
        </w:r>
        <w:r>
          <w:rPr>
            <w:webHidden/>
          </w:rPr>
          <w:instrText>PAGEREF _Toc84598989 \h</w:instrText>
        </w:r>
        <w:r>
          <w:rPr>
            <w:webHidden/>
          </w:rPr>
          <w:fldChar w:fldCharType="separate"/>
        </w:r>
        <w:r>
          <w:rPr>
            <w:webHidden/>
            <w:rStyle w:val="IndexLink"/>
            <w:vanish w:val="false"/>
          </w:rPr>
          <w:t>Tabla 19: Comparación de los algoritmos respecto a la fortaleza de las dependencias descubiertas.</w:t>
          <w:tab/>
          <w:t>81</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90">
        <w:r>
          <w:rPr>
            <w:webHidden/>
          </w:rPr>
          <w:fldChar w:fldCharType="begin"/>
        </w:r>
        <w:r>
          <w:rPr>
            <w:webHidden/>
          </w:rPr>
          <w:instrText>PAGEREF _Toc84598990 \h</w:instrText>
        </w:r>
        <w:r>
          <w:rPr>
            <w:webHidden/>
          </w:rPr>
          <w:fldChar w:fldCharType="separate"/>
        </w:r>
        <w:r>
          <w:rPr>
            <w:webHidden/>
            <w:rStyle w:val="IndexLink"/>
            <w:vanish w:val="false"/>
          </w:rPr>
          <w:t>Tabla 20: Comparación de los algoritmos respecto al tiempo de ejecución.</w:t>
          <w:tab/>
          <w:t>82</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91">
        <w:r>
          <w:rPr>
            <w:webHidden/>
          </w:rPr>
          <w:fldChar w:fldCharType="begin"/>
        </w:r>
        <w:r>
          <w:rPr>
            <w:webHidden/>
          </w:rPr>
          <w:instrText>PAGEREF _Toc84598991 \h</w:instrText>
        </w:r>
        <w:r>
          <w:rPr>
            <w:webHidden/>
          </w:rPr>
          <w:fldChar w:fldCharType="separate"/>
        </w:r>
        <w:r>
          <w:rPr>
            <w:webHidden/>
            <w:rStyle w:val="IndexLink"/>
            <w:vanish w:val="false"/>
          </w:rPr>
          <w:t>Tabla 21: Complejidad de los algoritmos.</w:t>
          <w:tab/>
          <w:t>83</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92">
        <w:r>
          <w:rPr>
            <w:webHidden/>
          </w:rPr>
          <w:fldChar w:fldCharType="begin"/>
        </w:r>
        <w:r>
          <w:rPr>
            <w:webHidden/>
          </w:rPr>
          <w:instrText>PAGEREF _Toc84598992 \h</w:instrText>
        </w:r>
        <w:r>
          <w:rPr>
            <w:webHidden/>
          </w:rPr>
          <w:fldChar w:fldCharType="separate"/>
        </w:r>
        <w:r>
          <w:rPr>
            <w:webHidden/>
            <w:rStyle w:val="IndexLink"/>
            <w:vanish w:val="false"/>
          </w:rPr>
          <w:t>Tabla 22: Clases de prueba para los escenarios de prueba.</w:t>
          <w:tab/>
          <w:t>125</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93">
        <w:r>
          <w:rPr>
            <w:webHidden/>
          </w:rPr>
          <w:fldChar w:fldCharType="begin"/>
        </w:r>
        <w:r>
          <w:rPr>
            <w:webHidden/>
          </w:rPr>
          <w:instrText>PAGEREF _Toc84598993 \h</w:instrText>
        </w:r>
        <w:r>
          <w:rPr>
            <w:webHidden/>
          </w:rPr>
          <w:fldChar w:fldCharType="separate"/>
        </w:r>
        <w:r>
          <w:rPr>
            <w:webHidden/>
            <w:rStyle w:val="IndexLink"/>
            <w:vanish w:val="false"/>
          </w:rPr>
          <w:t>Tabla 23: Ejemplo de objetos de la clase de prueba ER1.</w:t>
          <w:tab/>
          <w:t>126</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94">
        <w:r>
          <w:rPr>
            <w:webHidden/>
          </w:rPr>
          <w:fldChar w:fldCharType="begin"/>
        </w:r>
        <w:r>
          <w:rPr>
            <w:webHidden/>
          </w:rPr>
          <w:instrText>PAGEREF _Toc84598994 \h</w:instrText>
        </w:r>
        <w:r>
          <w:rPr>
            <w:webHidden/>
          </w:rPr>
          <w:fldChar w:fldCharType="separate"/>
        </w:r>
        <w:r>
          <w:rPr>
            <w:webHidden/>
            <w:rStyle w:val="IndexLink"/>
            <w:vanish w:val="false"/>
          </w:rPr>
          <w:t>Tabla 24: Descripción de las bases de datos.</w:t>
          <w:tab/>
          <w:t>126</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95">
        <w:r>
          <w:rPr>
            <w:webHidden/>
            <w:rStyle w:val="IndexLink"/>
            <w:rFonts w:cs="Verdana"/>
            <w:vanish w:val="false"/>
          </w:rPr>
          <w:t>Tabla 25: Ejemplo de aplicación del lenguaje controlado en resúmenes lingüísticos.</w:t>
        </w:r>
        <w:r>
          <w:rPr>
            <w:webHidden/>
          </w:rPr>
          <w:fldChar w:fldCharType="begin"/>
        </w:r>
        <w:r>
          <w:rPr>
            <w:webHidden/>
          </w:rPr>
          <w:instrText>PAGEREF _Toc84598995 \h</w:instrText>
        </w:r>
        <w:r>
          <w:rPr>
            <w:webHidden/>
          </w:rPr>
          <w:fldChar w:fldCharType="separate"/>
        </w:r>
        <w:r>
          <w:rPr>
            <w:rStyle w:val="IndexLink"/>
          </w:rPr>
          <w:tab/>
          <w:t>128</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96">
        <w:r>
          <w:rPr>
            <w:webHidden/>
          </w:rPr>
          <w:fldChar w:fldCharType="begin"/>
        </w:r>
        <w:r>
          <w:rPr>
            <w:webHidden/>
          </w:rPr>
          <w:instrText>PAGEREF _Toc84598996 \h</w:instrText>
        </w:r>
        <w:r>
          <w:rPr>
            <w:webHidden/>
          </w:rPr>
          <w:fldChar w:fldCharType="separate"/>
        </w:r>
        <w:r>
          <w:rPr>
            <w:webHidden/>
            <w:rStyle w:val="IndexLink"/>
            <w:vanish w:val="false"/>
          </w:rPr>
          <w:t>Tabla 26: Especialistas que participaron en el caso de estudio sobre embarazadas cardiópatas.</w:t>
          <w:tab/>
          <w:t>135</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97">
        <w:r>
          <w:rPr>
            <w:webHidden/>
          </w:rPr>
          <w:fldChar w:fldCharType="begin"/>
        </w:r>
        <w:r>
          <w:rPr>
            <w:webHidden/>
          </w:rPr>
          <w:instrText>PAGEREF _Toc84598997 \h</w:instrText>
        </w:r>
        <w:r>
          <w:rPr>
            <w:webHidden/>
          </w:rPr>
          <w:fldChar w:fldCharType="separate"/>
        </w:r>
        <w:r>
          <w:rPr>
            <w:webHidden/>
            <w:rStyle w:val="IndexLink"/>
            <w:vanish w:val="false"/>
          </w:rPr>
          <w:t>Tabla 27: Expertos que participaron en el caso de estudio sobre gestión de proyectos.</w:t>
          <w:tab/>
          <w:t>135</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98">
        <w:r>
          <w:rPr>
            <w:webHidden/>
          </w:rPr>
          <w:fldChar w:fldCharType="begin"/>
        </w:r>
        <w:r>
          <w:rPr>
            <w:webHidden/>
          </w:rPr>
          <w:instrText>PAGEREF _Toc84598998 \h</w:instrText>
        </w:r>
        <w:r>
          <w:rPr>
            <w:webHidden/>
          </w:rPr>
          <w:fldChar w:fldCharType="separate"/>
        </w:r>
        <w:r>
          <w:rPr>
            <w:webHidden/>
            <w:rStyle w:val="IndexLink"/>
            <w:vanish w:val="false"/>
          </w:rPr>
          <w:t>Tabla 28 Encuesta aplicada a los especialistas en el tratamiento de embarazadas cardiópatas.</w:t>
          <w:tab/>
          <w:t>135</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8999">
        <w:r>
          <w:rPr>
            <w:webHidden/>
          </w:rPr>
          <w:fldChar w:fldCharType="begin"/>
        </w:r>
        <w:r>
          <w:rPr>
            <w:webHidden/>
          </w:rPr>
          <w:instrText>PAGEREF _Toc84598999 \h</w:instrText>
        </w:r>
        <w:r>
          <w:rPr>
            <w:webHidden/>
          </w:rPr>
          <w:fldChar w:fldCharType="separate"/>
        </w:r>
        <w:r>
          <w:rPr>
            <w:webHidden/>
            <w:rStyle w:val="IndexLink"/>
            <w:vanish w:val="false"/>
          </w:rPr>
          <w:t>Tabla 29: Encuesta aplicada a los expertos en gestión de proyectos.</w:t>
          <w:tab/>
          <w:t>136</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00">
        <w:r>
          <w:rPr>
            <w:webHidden/>
          </w:rPr>
          <w:fldChar w:fldCharType="begin"/>
        </w:r>
        <w:r>
          <w:rPr>
            <w:webHidden/>
          </w:rPr>
          <w:instrText>PAGEREF _Toc84599000 \h</w:instrText>
        </w:r>
        <w:r>
          <w:rPr>
            <w:webHidden/>
          </w:rPr>
          <w:fldChar w:fldCharType="separate"/>
        </w:r>
        <w:r>
          <w:rPr>
            <w:webHidden/>
            <w:rStyle w:val="IndexLink"/>
            <w:vanish w:val="false"/>
          </w:rPr>
          <w:t>Tabla 30: Resultado de los algoritmos respecto a la media y desviación estándar de los indicadores en las bases de datos sobre gestión de proyectos.</w:t>
          <w:tab/>
          <w:t>137</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01">
        <w:r>
          <w:rPr>
            <w:webHidden/>
          </w:rPr>
          <w:fldChar w:fldCharType="begin"/>
        </w:r>
        <w:r>
          <w:rPr>
            <w:webHidden/>
          </w:rPr>
          <w:instrText>PAGEREF _Toc84599001 \h</w:instrText>
        </w:r>
        <w:r>
          <w:rPr>
            <w:webHidden/>
          </w:rPr>
          <w:fldChar w:fldCharType="separate"/>
        </w:r>
        <w:r>
          <w:rPr>
            <w:webHidden/>
            <w:rStyle w:val="IndexLink"/>
            <w:vanish w:val="false"/>
          </w:rPr>
          <w:t>Tabla 31: Resultado de los algoritmos respecto a la media y desviación estándar de los indicadores en las bases de datos sobre auditorías.</w:t>
          <w:tab/>
          <w:t>139</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02">
        <w:r>
          <w:rPr>
            <w:webHidden/>
          </w:rPr>
          <w:fldChar w:fldCharType="begin"/>
        </w:r>
        <w:r>
          <w:rPr>
            <w:webHidden/>
          </w:rPr>
          <w:instrText>PAGEREF _Toc84599002 \h</w:instrText>
        </w:r>
        <w:r>
          <w:rPr>
            <w:webHidden/>
          </w:rPr>
          <w:fldChar w:fldCharType="separate"/>
        </w:r>
        <w:r>
          <w:rPr>
            <w:webHidden/>
            <w:rStyle w:val="IndexLink"/>
            <w:vanish w:val="false"/>
          </w:rPr>
          <w:t>Tabla 32: Resultado de los algoritmos respecto a la media y desviación estándar de los indicadores en las bases de datos médicas.</w:t>
          <w:tab/>
          <w:t>140</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03">
        <w:r>
          <w:rPr>
            <w:webHidden/>
          </w:rPr>
          <w:fldChar w:fldCharType="begin"/>
        </w:r>
        <w:r>
          <w:rPr>
            <w:webHidden/>
          </w:rPr>
          <w:instrText>PAGEREF _Toc84599003 \h</w:instrText>
        </w:r>
        <w:r>
          <w:rPr>
            <w:webHidden/>
          </w:rPr>
          <w:fldChar w:fldCharType="separate"/>
        </w:r>
        <w:r>
          <w:rPr>
            <w:webHidden/>
            <w:rStyle w:val="IndexLink"/>
            <w:vanish w:val="false"/>
          </w:rPr>
          <w:t>Tabla 33: Resultado de los algoritmos respecto al tiempo de ejecución.</w:t>
          <w:tab/>
          <w:t>141</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04">
        <w:r>
          <w:rPr>
            <w:webHidden/>
          </w:rPr>
          <w:fldChar w:fldCharType="begin"/>
        </w:r>
        <w:r>
          <w:rPr>
            <w:webHidden/>
          </w:rPr>
          <w:instrText>PAGEREF _Toc84599004 \h</w:instrText>
        </w:r>
        <w:r>
          <w:rPr>
            <w:webHidden/>
          </w:rPr>
          <w:fldChar w:fldCharType="separate"/>
        </w:r>
        <w:r>
          <w:rPr>
            <w:webHidden/>
            <w:rStyle w:val="IndexLink"/>
            <w:vanish w:val="false"/>
          </w:rPr>
          <w:t>Tabla 34: Resultado de los algoritmos respecto al Cubrimiento de diferentes situaciones en las bases de datos.</w:t>
          <w:tab/>
          <w:t>141</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05">
        <w:r>
          <w:rPr>
            <w:webHidden/>
          </w:rPr>
          <w:fldChar w:fldCharType="begin"/>
        </w:r>
        <w:r>
          <w:rPr>
            <w:webHidden/>
          </w:rPr>
          <w:instrText>PAGEREF _Toc84599005 \h</w:instrText>
        </w:r>
        <w:r>
          <w:rPr>
            <w:webHidden/>
          </w:rPr>
          <w:fldChar w:fldCharType="separate"/>
        </w:r>
        <w:r>
          <w:rPr>
            <w:webHidden/>
            <w:rStyle w:val="IndexLink"/>
            <w:vanish w:val="false"/>
          </w:rPr>
          <w:t>Tabla 35: Resultado de los algoritmos respecto a la Fortaleza de las dependencias en los resúmenes.</w:t>
          <w:tab/>
          <w:t>142</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06">
        <w:r>
          <w:rPr>
            <w:webHidden/>
          </w:rPr>
          <w:fldChar w:fldCharType="begin"/>
        </w:r>
        <w:r>
          <w:rPr>
            <w:webHidden/>
          </w:rPr>
          <w:instrText>PAGEREF _Toc84599006 \h</w:instrText>
        </w:r>
        <w:r>
          <w:rPr>
            <w:webHidden/>
          </w:rPr>
          <w:fldChar w:fldCharType="separate"/>
        </w:r>
        <w:r>
          <w:rPr>
            <w:webHidden/>
            <w:rStyle w:val="IndexLink"/>
            <w:vanish w:val="false"/>
          </w:rPr>
          <w:t>Tabla 36: Resumen de posiciones de los algoritmos respecto a cada indicador de comparación.</w:t>
          <w:tab/>
          <w:t>142</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07">
        <w:r>
          <w:rPr>
            <w:webHidden/>
          </w:rPr>
          <w:fldChar w:fldCharType="begin"/>
        </w:r>
        <w:r>
          <w:rPr>
            <w:webHidden/>
          </w:rPr>
          <w:instrText>PAGEREF _Toc84599007 \h</w:instrText>
        </w:r>
        <w:r>
          <w:rPr>
            <w:webHidden/>
          </w:rPr>
          <w:fldChar w:fldCharType="separate"/>
        </w:r>
        <w:r>
          <w:rPr>
            <w:webHidden/>
            <w:rStyle w:val="IndexLink"/>
            <w:vanish w:val="false"/>
          </w:rPr>
          <w:t>Tabla 37: Expertos que participaron en la revisión de los resúmenes lingüísticos en diferentes idiomas.</w:t>
          <w:tab/>
          <w:t>143</w:t>
        </w:r>
        <w:r>
          <w:rPr>
            <w:webHidden/>
          </w:rPr>
          <w:fldChar w:fldCharType="end"/>
        </w:r>
      </w:hyperlink>
      <w:r>
        <w:br w:type="page"/>
      </w:r>
    </w:p>
    <w:p>
      <w:pPr>
        <w:pStyle w:val="Normal"/>
        <w:rPr/>
      </w:pPr>
      <w:bookmarkStart w:id="26" w:name="_Toc476477063"/>
      <w:bookmarkStart w:id="27" w:name="_Toc484293839"/>
      <w:r>
        <w:rPr>
          <w:rFonts w:eastAsia="MS Gothic" w:cs="Times New Roman"/>
          <w:b/>
          <w:bCs w:val="false"/>
          <w:caps/>
          <w:sz w:val="32"/>
          <w:szCs w:val="28"/>
        </w:rPr>
        <w:t>Í</w:t>
      </w:r>
      <w:bookmarkEnd w:id="26"/>
      <w:bookmarkEnd w:id="27"/>
      <w:r>
        <w:rPr>
          <w:rFonts w:eastAsia="MS Gothic" w:cs="Times New Roman"/>
          <w:b/>
          <w:bCs w:val="false"/>
          <w:caps/>
          <w:sz w:val="32"/>
          <w:szCs w:val="28"/>
        </w:rPr>
        <w:t>NDICE DE FIGURAS</w:t>
      </w:r>
      <w:r>
        <w:fldChar w:fldCharType="end"/>
      </w:r>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r>
        <w:fldChar w:fldCharType="begin"/>
      </w:r>
      <w:r>
        <w:instrText> TOC \c "Figura" </w:instrText>
      </w:r>
      <w:r>
        <w:fldChar w:fldCharType="separate"/>
      </w:r>
      <w:hyperlink w:anchor="_Toc84599008">
        <w:r>
          <w:rPr>
            <w:webHidden/>
            <w:rStyle w:val="IndexLink"/>
            <w:rFonts w:cs="Verdana"/>
            <w:vanish w:val="false"/>
          </w:rPr>
          <w:t xml:space="preserve">Figura 1: Variable </w:t>
        </w:r>
        <w:r>
          <w:rPr>
            <w:rStyle w:val="IndexLink"/>
          </w:rPr>
          <w:t>lingüística de los cuantificadores (</w:t>
        </w:r>
        <w:r>
          <w:rPr>
            <w:rStyle w:val="IndexLink"/>
            <w:i/>
          </w:rPr>
          <w:t>Q</w:t>
        </w:r>
        <w:r>
          <w:rPr>
            <w:webHidden/>
          </w:rPr>
          <w:fldChar w:fldCharType="begin"/>
        </w:r>
        <w:r>
          <w:rPr>
            <w:webHidden/>
          </w:rPr>
          <w:instrText>PAGEREF _Toc84599008 \h</w:instrText>
        </w:r>
        <w:r>
          <w:rPr>
            <w:webHidden/>
          </w:rPr>
          <w:fldChar w:fldCharType="separate"/>
        </w:r>
        <w:r>
          <w:rPr>
            <w:rStyle w:val="IndexLink"/>
          </w:rPr>
          <w:t>) basadas en funciones campana Gauss.</w:t>
          <w:tab/>
          <w:t>28</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09">
        <w:r>
          <w:rPr>
            <w:webHidden/>
            <w:rStyle w:val="IndexLink"/>
            <w:rFonts w:cs="Verdana"/>
            <w:vanish w:val="false"/>
          </w:rPr>
          <w:t xml:space="preserve">Figura 2: Variable </w:t>
        </w:r>
        <w:r>
          <w:rPr>
            <w:rStyle w:val="IndexLink"/>
          </w:rPr>
          <w:t>lingüística de los cuantificadores (</w:t>
        </w:r>
        <w:r>
          <w:rPr>
            <w:rStyle w:val="IndexLink"/>
            <w:i/>
          </w:rPr>
          <w:t>Q</w:t>
        </w:r>
        <w:r>
          <w:rPr>
            <w:webHidden/>
          </w:rPr>
          <w:fldChar w:fldCharType="begin"/>
        </w:r>
        <w:r>
          <w:rPr>
            <w:webHidden/>
          </w:rPr>
          <w:instrText>PAGEREF _Toc84599009 \h</w:instrText>
        </w:r>
        <w:r>
          <w:rPr>
            <w:webHidden/>
          </w:rPr>
          <w:fldChar w:fldCharType="separate"/>
        </w:r>
        <w:r>
          <w:rPr>
            <w:rStyle w:val="IndexLink"/>
          </w:rPr>
          <w:t>) basada en funciones triangulares.</w:t>
          <w:tab/>
          <w:t>29</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10">
        <w:r>
          <w:rPr>
            <w:webHidden/>
            <w:rStyle w:val="IndexLink"/>
          </w:rPr>
          <w:t xml:space="preserve">Figura 3: Comportamiento del </w:t>
        </w:r>
      </w:hyperlink>
      <w:r>
        <w:rPr>
          <w:rStyle w:val="IndexLink"/>
          <w:i/>
        </w:rPr>
        <w:t>T</w:t>
      </w:r>
      <w:r>
        <w:rPr>
          <w:rStyle w:val="IndexLink"/>
          <w:vertAlign w:val="subscript"/>
        </w:rPr>
        <w:t>5</w:t>
      </w:r>
      <w:r>
        <w:rPr>
          <w:rStyle w:val="IndexLink"/>
        </w:rPr>
        <w:t>.</w:t>
        <w:tab/>
        <w:t>52</w:t>
      </w:r>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11">
        <w:r>
          <w:rPr>
            <w:webHidden/>
            <w:rStyle w:val="IndexLink"/>
          </w:rPr>
          <w:t>Figura 4: Conjunto borroso incorporando los valores de veracidad, neutralidad y falsedad</w:t>
        </w:r>
      </w:hyperlink>
      <w:r>
        <w:rPr>
          <w:rStyle w:val="IndexLink"/>
        </w:rPr>
        <w:tab/>
        <w:t>54</w:t>
      </w:r>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12">
        <w:r>
          <w:rPr>
            <w:webHidden/>
            <w:rStyle w:val="IndexLink"/>
            <w:vanish w:val="false"/>
          </w:rPr>
          <w:t xml:space="preserve">Figura 5: Comportamiento del </w:t>
        </w:r>
        <w:r>
          <w:rPr>
            <w:rStyle w:val="IndexLink"/>
            <w:i/>
          </w:rPr>
          <w:t>T</w:t>
        </w:r>
        <w:r>
          <w:rPr>
            <w:rStyle w:val="IndexLink"/>
            <w:vertAlign w:val="subscript"/>
          </w:rPr>
          <w:t>1</w:t>
        </w:r>
        <w:r>
          <w:rPr>
            <w:rStyle w:val="IndexLink"/>
          </w:rPr>
          <w:t xml:space="preserve"> y </w:t>
        </w:r>
        <w:r>
          <w:rPr>
            <w:rStyle w:val="IndexLink"/>
            <w:i/>
            <w:iCs/>
          </w:rPr>
          <w:t>Te</w:t>
        </w:r>
        <w:r>
          <w:rPr>
            <w:rStyle w:val="IndexLink"/>
            <w:i/>
            <w:iCs/>
            <w:vertAlign w:val="subscript"/>
          </w:rPr>
          <w:t>1a</w:t>
        </w:r>
        <w:r>
          <w:rPr>
            <w:rStyle w:val="IndexLink"/>
            <w:i/>
            <w:iCs/>
          </w:rPr>
          <w:t xml:space="preserve"> </w:t>
        </w:r>
        <w:r>
          <w:rPr>
            <w:rStyle w:val="IndexLink"/>
            <w:iCs/>
          </w:rPr>
          <w:t>en resúmenes con filtro.</w:t>
        </w:r>
        <w:r>
          <w:rPr>
            <w:webHidden/>
          </w:rPr>
          <w:fldChar w:fldCharType="begin"/>
        </w:r>
        <w:r>
          <w:rPr>
            <w:webHidden/>
          </w:rPr>
          <w:instrText>PAGEREF _Toc84599012 \h</w:instrText>
        </w:r>
        <w:r>
          <w:rPr>
            <w:webHidden/>
          </w:rPr>
          <w:fldChar w:fldCharType="separate"/>
        </w:r>
        <w:r>
          <w:rPr>
            <w:rStyle w:val="IndexLink"/>
          </w:rPr>
          <w:tab/>
          <w:t>61</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13">
        <w:r>
          <w:rPr>
            <w:webHidden/>
            <w:rStyle w:val="IndexLink"/>
            <w:vanish w:val="false"/>
          </w:rPr>
          <w:t xml:space="preserve">Figura 6: Comportamiento del </w:t>
        </w:r>
        <w:r>
          <w:rPr>
            <w:rStyle w:val="IndexLink"/>
            <w:i/>
          </w:rPr>
          <w:t>T</w:t>
        </w:r>
        <w:r>
          <w:rPr>
            <w:rStyle w:val="IndexLink"/>
            <w:i/>
            <w:vertAlign w:val="subscript"/>
          </w:rPr>
          <w:t>1</w:t>
        </w:r>
        <w:r>
          <w:rPr>
            <w:rStyle w:val="IndexLink"/>
          </w:rPr>
          <w:t xml:space="preserve"> y </w:t>
        </w:r>
        <w:r>
          <w:rPr>
            <w:rStyle w:val="IndexLink"/>
            <w:i/>
            <w:iCs/>
          </w:rPr>
          <w:t>Te</w:t>
        </w:r>
        <w:r>
          <w:rPr>
            <w:rStyle w:val="IndexLink"/>
            <w:i/>
            <w:iCs/>
            <w:vertAlign w:val="subscript"/>
          </w:rPr>
          <w:t>1a</w:t>
        </w:r>
        <w:r>
          <w:rPr>
            <w:rStyle w:val="IndexLink"/>
            <w:i/>
            <w:iCs/>
          </w:rPr>
          <w:t xml:space="preserve"> </w:t>
        </w:r>
        <w:r>
          <w:rPr>
            <w:rStyle w:val="IndexLink"/>
            <w:iCs/>
          </w:rPr>
          <w:t>en resúmenes sin filtro.</w:t>
        </w:r>
        <w:r>
          <w:rPr>
            <w:webHidden/>
          </w:rPr>
          <w:fldChar w:fldCharType="begin"/>
        </w:r>
        <w:r>
          <w:rPr>
            <w:webHidden/>
          </w:rPr>
          <w:instrText>PAGEREF _Toc84599013 \h</w:instrText>
        </w:r>
        <w:r>
          <w:rPr>
            <w:webHidden/>
          </w:rPr>
          <w:fldChar w:fldCharType="separate"/>
        </w:r>
        <w:r>
          <w:rPr>
            <w:rStyle w:val="IndexLink"/>
          </w:rPr>
          <w:tab/>
          <w:t>62</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14">
        <w:r>
          <w:rPr>
            <w:webHidden/>
            <w:rStyle w:val="IndexLink"/>
            <w:vanish w:val="false"/>
          </w:rPr>
          <w:t>Figura 7: Comportamiento del T</w:t>
        </w:r>
        <w:r>
          <w:rPr>
            <w:rStyle w:val="IndexLink"/>
            <w:vertAlign w:val="subscript"/>
          </w:rPr>
          <w:t>3</w:t>
        </w:r>
        <w:r>
          <w:rPr>
            <w:rStyle w:val="IndexLink"/>
          </w:rPr>
          <w:t xml:space="preserve"> y Te</w:t>
        </w:r>
        <w:r>
          <w:rPr>
            <w:rStyle w:val="IndexLink"/>
            <w:vertAlign w:val="subscript"/>
          </w:rPr>
          <w:t>3</w:t>
        </w:r>
        <w:r>
          <w:rPr>
            <w:webHidden/>
          </w:rPr>
          <w:fldChar w:fldCharType="begin"/>
        </w:r>
        <w:r>
          <w:rPr>
            <w:webHidden/>
          </w:rPr>
          <w:instrText>PAGEREF _Toc84599014 \h</w:instrText>
        </w:r>
        <w:r>
          <w:rPr>
            <w:webHidden/>
          </w:rPr>
          <w:fldChar w:fldCharType="separate"/>
        </w:r>
        <w:r>
          <w:rPr>
            <w:rStyle w:val="IndexLink"/>
          </w:rPr>
          <w:t>.</w:t>
          <w:tab/>
          <w:t>64</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15">
        <w:r>
          <w:rPr>
            <w:webHidden/>
            <w:rStyle w:val="IndexLink"/>
            <w:vanish w:val="false"/>
          </w:rPr>
          <w:t>Figura 8: Comportamiento del T</w:t>
        </w:r>
        <w:r>
          <w:rPr>
            <w:rStyle w:val="IndexLink"/>
            <w:vertAlign w:val="subscript"/>
          </w:rPr>
          <w:t>4</w:t>
        </w:r>
        <w:r>
          <w:rPr>
            <w:rStyle w:val="IndexLink"/>
          </w:rPr>
          <w:t xml:space="preserve"> y Te</w:t>
        </w:r>
        <w:r>
          <w:rPr>
            <w:rStyle w:val="IndexLink"/>
            <w:vertAlign w:val="subscript"/>
          </w:rPr>
          <w:t>4</w:t>
        </w:r>
        <w:r>
          <w:rPr>
            <w:webHidden/>
          </w:rPr>
          <w:fldChar w:fldCharType="begin"/>
        </w:r>
        <w:r>
          <w:rPr>
            <w:webHidden/>
          </w:rPr>
          <w:instrText>PAGEREF _Toc84599015 \h</w:instrText>
        </w:r>
        <w:r>
          <w:rPr>
            <w:webHidden/>
          </w:rPr>
          <w:fldChar w:fldCharType="separate"/>
        </w:r>
        <w:r>
          <w:rPr>
            <w:rStyle w:val="IndexLink"/>
          </w:rPr>
          <w:t>.</w:t>
          <w:tab/>
          <w:t>65</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16">
        <w:r>
          <w:rPr>
            <w:webHidden/>
            <w:rStyle w:val="IndexLink"/>
            <w:vanish w:val="false"/>
          </w:rPr>
          <w:t xml:space="preserve">Figura 9: Curvas del </w:t>
        </w:r>
        <w:r>
          <w:rPr>
            <w:rStyle w:val="IndexLink"/>
            <w:i/>
          </w:rPr>
          <w:t>T</w:t>
        </w:r>
        <w:r>
          <w:rPr>
            <w:rStyle w:val="IndexLink"/>
            <w:vertAlign w:val="subscript"/>
          </w:rPr>
          <w:t>5</w:t>
        </w:r>
        <w:r>
          <w:rPr>
            <w:rStyle w:val="IndexLink"/>
          </w:rPr>
          <w:t xml:space="preserve"> tradicional y </w:t>
        </w:r>
        <w:r>
          <w:rPr>
            <w:rStyle w:val="IndexLink"/>
            <w:i/>
          </w:rPr>
          <w:t>Te</w:t>
        </w:r>
        <w:r>
          <w:rPr>
            <w:rStyle w:val="IndexLink"/>
            <w:vertAlign w:val="subscript"/>
          </w:rPr>
          <w:t>5</w:t>
        </w:r>
        <w:r>
          <w:rPr>
            <w:webHidden/>
          </w:rPr>
          <w:fldChar w:fldCharType="begin"/>
        </w:r>
        <w:r>
          <w:rPr>
            <w:webHidden/>
          </w:rPr>
          <w:instrText>PAGEREF _Toc84599016 \h</w:instrText>
        </w:r>
        <w:r>
          <w:rPr>
            <w:webHidden/>
          </w:rPr>
          <w:fldChar w:fldCharType="separate"/>
        </w:r>
        <w:r>
          <w:rPr>
            <w:rStyle w:val="IndexLink"/>
          </w:rPr>
          <w:t xml:space="preserve"> extendido.</w:t>
          <w:tab/>
          <w:t>66</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17">
        <w:r>
          <w:rPr>
            <w:webHidden/>
            <w:rStyle w:val="IndexLink"/>
          </w:rPr>
          <w:t xml:space="preserve">Figura 10: Media aritmética del indicador </w:t>
        </w:r>
      </w:hyperlink>
      <w:r>
        <w:rPr>
          <w:rStyle w:val="IndexLink"/>
          <w:i/>
          <w:iCs/>
        </w:rPr>
        <w:t>T</w:t>
      </w:r>
      <w:r>
        <w:rPr>
          <w:rStyle w:val="IndexLink"/>
          <w:i/>
          <w:iCs/>
          <w:vertAlign w:val="subscript"/>
        </w:rPr>
        <w:t>1</w:t>
      </w:r>
      <w:r>
        <w:rPr>
          <w:rStyle w:val="IndexLink"/>
        </w:rPr>
        <w:t>.</w:t>
        <w:tab/>
        <w:t>70</w:t>
      </w:r>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18">
        <w:r>
          <w:rPr>
            <w:webHidden/>
            <w:rStyle w:val="IndexLink"/>
          </w:rPr>
          <w:t xml:space="preserve">Figura 11: Media aritmética del indicador </w:t>
        </w:r>
      </w:hyperlink>
      <w:r>
        <w:rPr>
          <w:rStyle w:val="IndexLink"/>
          <w:i/>
        </w:rPr>
        <w:t>T</w:t>
      </w:r>
      <w:r>
        <w:rPr>
          <w:rStyle w:val="IndexLink"/>
          <w:i/>
          <w:vertAlign w:val="subscript"/>
        </w:rPr>
        <w:t>2</w:t>
      </w:r>
      <w:r>
        <w:rPr>
          <w:rStyle w:val="IndexLink"/>
        </w:rPr>
        <w:t>.</w:t>
        <w:tab/>
        <w:t>71</w:t>
      </w:r>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19">
        <w:r>
          <w:rPr>
            <w:webHidden/>
            <w:rStyle w:val="IndexLink"/>
          </w:rPr>
          <w:t xml:space="preserve">Figura 12: Media aritmética del indicador </w:t>
        </w:r>
      </w:hyperlink>
      <w:r>
        <w:rPr>
          <w:rStyle w:val="IndexLink"/>
          <w:i/>
        </w:rPr>
        <w:t>T</w:t>
      </w:r>
      <w:r>
        <w:rPr>
          <w:rStyle w:val="IndexLink"/>
          <w:i/>
          <w:vertAlign w:val="subscript"/>
        </w:rPr>
        <w:t>3</w:t>
      </w:r>
      <w:r>
        <w:rPr>
          <w:rStyle w:val="IndexLink"/>
        </w:rPr>
        <w:t>.</w:t>
        <w:tab/>
        <w:t>72</w:t>
      </w:r>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20">
        <w:r>
          <w:rPr>
            <w:webHidden/>
            <w:rStyle w:val="IndexLink"/>
          </w:rPr>
          <w:t xml:space="preserve">Figura 13: Media aritmética del indicador </w:t>
        </w:r>
      </w:hyperlink>
      <w:r>
        <w:rPr>
          <w:rStyle w:val="IndexLink"/>
          <w:i/>
        </w:rPr>
        <w:t>T</w:t>
      </w:r>
      <w:r>
        <w:rPr>
          <w:rStyle w:val="IndexLink"/>
          <w:i/>
          <w:vertAlign w:val="subscript"/>
        </w:rPr>
        <w:t>4</w:t>
      </w:r>
      <w:r>
        <w:rPr>
          <w:rStyle w:val="IndexLink"/>
        </w:rPr>
        <w:t>.</w:t>
        <w:tab/>
        <w:t>74</w:t>
      </w:r>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21">
        <w:r>
          <w:rPr>
            <w:webHidden/>
            <w:rStyle w:val="IndexLink"/>
          </w:rPr>
          <w:t xml:space="preserve">Figura 14: Comportamiento del indicador </w:t>
        </w:r>
      </w:hyperlink>
      <w:r>
        <w:rPr>
          <w:rStyle w:val="IndexLink"/>
          <w:i/>
          <w:iCs/>
        </w:rPr>
        <w:t>T</w:t>
      </w:r>
      <w:r>
        <w:rPr>
          <w:rStyle w:val="IndexLink"/>
          <w:i/>
          <w:iCs/>
          <w:vertAlign w:val="subscript"/>
        </w:rPr>
        <w:t>5</w:t>
      </w:r>
      <w:r>
        <w:rPr>
          <w:rStyle w:val="IndexLink"/>
        </w:rPr>
        <w:tab/>
        <w:t>74</w:t>
      </w:r>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22">
        <w:r>
          <w:rPr>
            <w:webHidden/>
            <w:rStyle w:val="IndexLink"/>
          </w:rPr>
          <w:t xml:space="preserve">Figura 15: Comportamiento del indicador </w:t>
        </w:r>
      </w:hyperlink>
      <w:r>
        <w:rPr>
          <w:rStyle w:val="IndexLink"/>
          <w:i/>
          <w:iCs/>
        </w:rPr>
        <w:t>Te</w:t>
      </w:r>
      <w:r>
        <w:rPr>
          <w:rStyle w:val="IndexLink"/>
          <w:i/>
          <w:iCs/>
          <w:vertAlign w:val="subscript"/>
        </w:rPr>
        <w:t>1a</w:t>
      </w:r>
      <w:r>
        <w:rPr>
          <w:rStyle w:val="IndexLink"/>
        </w:rPr>
        <w:tab/>
        <w:t>75</w:t>
      </w:r>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23">
        <w:r>
          <w:rPr>
            <w:webHidden/>
            <w:rStyle w:val="IndexLink"/>
          </w:rPr>
          <w:t xml:space="preserve">Figura 16: Media aritmética del indicador </w:t>
        </w:r>
      </w:hyperlink>
      <w:r>
        <w:rPr>
          <w:rStyle w:val="IndexLink"/>
          <w:i/>
        </w:rPr>
        <w:t>Te</w:t>
      </w:r>
      <w:r>
        <w:rPr>
          <w:rStyle w:val="IndexLink"/>
          <w:i/>
          <w:vertAlign w:val="subscript"/>
        </w:rPr>
        <w:t>1b</w:t>
      </w:r>
      <w:r>
        <w:rPr>
          <w:rStyle w:val="IndexLink"/>
        </w:rPr>
        <w:t>.</w:t>
        <w:tab/>
        <w:t>76</w:t>
      </w:r>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24">
        <w:r>
          <w:rPr>
            <w:webHidden/>
            <w:rStyle w:val="IndexLink"/>
          </w:rPr>
          <w:t xml:space="preserve">Figura 17: Media aritmética del indicador </w:t>
        </w:r>
      </w:hyperlink>
      <w:r>
        <w:rPr>
          <w:rStyle w:val="IndexLink"/>
          <w:i/>
        </w:rPr>
        <w:t>Te</w:t>
      </w:r>
      <w:r>
        <w:rPr>
          <w:rStyle w:val="IndexLink"/>
          <w:i/>
          <w:vertAlign w:val="subscript"/>
        </w:rPr>
        <w:t>3</w:t>
      </w:r>
      <w:r>
        <w:rPr>
          <w:rStyle w:val="IndexLink"/>
        </w:rPr>
        <w:t>.</w:t>
        <w:tab/>
        <w:t>77</w:t>
      </w:r>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25">
        <w:r>
          <w:rPr>
            <w:webHidden/>
            <w:rStyle w:val="IndexLink"/>
          </w:rPr>
          <w:t xml:space="preserve">Figura 18: Media aritmética del indicador </w:t>
        </w:r>
      </w:hyperlink>
      <w:r>
        <w:rPr>
          <w:rStyle w:val="IndexLink"/>
          <w:i/>
        </w:rPr>
        <w:t>Te</w:t>
      </w:r>
      <w:r>
        <w:rPr>
          <w:rStyle w:val="IndexLink"/>
          <w:i/>
          <w:vertAlign w:val="subscript"/>
        </w:rPr>
        <w:t>4</w:t>
      </w:r>
      <w:r>
        <w:rPr>
          <w:rStyle w:val="IndexLink"/>
        </w:rPr>
        <w:t>.</w:t>
        <w:tab/>
        <w:t>78</w:t>
      </w:r>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26">
        <w:r>
          <w:rPr>
            <w:webHidden/>
            <w:rStyle w:val="IndexLink"/>
          </w:rPr>
          <w:t xml:space="preserve">Figura 19: Media aritmética del indicador </w:t>
        </w:r>
      </w:hyperlink>
      <w:r>
        <w:rPr>
          <w:rStyle w:val="IndexLink"/>
          <w:i/>
        </w:rPr>
        <w:t>Te</w:t>
      </w:r>
      <w:r>
        <w:rPr>
          <w:rStyle w:val="IndexLink"/>
          <w:i/>
          <w:vertAlign w:val="subscript"/>
        </w:rPr>
        <w:t>5</w:t>
      </w:r>
      <w:r>
        <w:rPr>
          <w:rStyle w:val="IndexLink"/>
        </w:rPr>
        <w:t>.</w:t>
        <w:tab/>
        <w:t>79</w:t>
      </w:r>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27">
        <w:r>
          <w:rPr>
            <w:webHidden/>
            <w:rStyle w:val="IndexLink"/>
          </w:rPr>
          <w:t>Figura 20: Complementariedad de los algoritmos en el caso de estudio sobre embarazadas cardiópatas.</w:t>
        </w:r>
      </w:hyperlink>
      <w:r>
        <w:rPr>
          <w:rStyle w:val="IndexLink"/>
        </w:rPr>
        <w:tab/>
        <w:t>86</w:t>
      </w:r>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28">
        <w:r>
          <w:rPr>
            <w:webHidden/>
            <w:rStyle w:val="IndexLink"/>
          </w:rPr>
          <w:t>Figura 21: Resultados de la agregación de las preferencias de los especialistas médicos sobre embarazadas cardiópatas.</w:t>
        </w:r>
      </w:hyperlink>
      <w:r>
        <w:rPr>
          <w:rStyle w:val="IndexLink"/>
        </w:rPr>
        <w:tab/>
        <w:t>88</w:t>
      </w:r>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29">
        <w:r>
          <w:rPr>
            <w:webHidden/>
            <w:rStyle w:val="IndexLink"/>
          </w:rPr>
          <w:t>Figura 22: Dispersión de opiniones de especialistas por criterio, en el caso de estudio sobre embarazadas cardiópatas.</w:t>
        </w:r>
      </w:hyperlink>
      <w:r>
        <w:rPr>
          <w:rStyle w:val="IndexLink"/>
        </w:rPr>
        <w:tab/>
        <w:t>88</w:t>
      </w:r>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30">
        <w:r>
          <w:rPr>
            <w:webHidden/>
            <w:rStyle w:val="IndexLink"/>
          </w:rPr>
          <w:t>Figura 23: Complementariedad de los algoritmos en el caso de estudio sobre proyectos.</w:t>
        </w:r>
      </w:hyperlink>
      <w:r>
        <w:rPr>
          <w:rStyle w:val="IndexLink"/>
        </w:rPr>
        <w:tab/>
        <w:t>89</w:t>
      </w:r>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31">
        <w:r>
          <w:rPr>
            <w:webHidden/>
            <w:rStyle w:val="IndexLink"/>
          </w:rPr>
          <w:t>Figura 24: Resultados de la agregación de las preferencias de los expertos en gestión de proyectos.</w:t>
        </w:r>
      </w:hyperlink>
      <w:r>
        <w:rPr>
          <w:rStyle w:val="IndexLink"/>
        </w:rPr>
        <w:tab/>
        <w:t>95</w:t>
      </w:r>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32">
        <w:r>
          <w:rPr>
            <w:webHidden/>
            <w:rStyle w:val="IndexLink"/>
          </w:rPr>
          <w:t>Figura 25: Dispersión de opiniones de expertos por criterio, en el caso de estudio sobre gestión de proyectos.</w:t>
        </w:r>
      </w:hyperlink>
      <w:r>
        <w:rPr>
          <w:rStyle w:val="IndexLink"/>
        </w:rPr>
        <w:tab/>
        <w:t>95</w:t>
      </w:r>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33">
        <w:r>
          <w:rPr>
            <w:webHidden/>
            <w:rStyle w:val="IndexLink"/>
          </w:rPr>
          <w:t>Figura 26: Resultado de la evaluación asignada por los expertos, a los resúmenes lingüísticos en los idiomas inglés, japonés y árabe.</w:t>
        </w:r>
      </w:hyperlink>
      <w:r>
        <w:rPr>
          <w:rStyle w:val="IndexLink"/>
        </w:rPr>
        <w:tab/>
        <w:t>96</w:t>
      </w:r>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34">
        <w:r>
          <w:rPr>
            <w:webHidden/>
          </w:rPr>
          <w:fldChar w:fldCharType="begin"/>
        </w:r>
        <w:r>
          <w:rPr>
            <w:webHidden/>
          </w:rPr>
          <w:instrText>PAGEREF _Toc84599034 \h</w:instrText>
        </w:r>
        <w:r>
          <w:rPr>
            <w:webHidden/>
          </w:rPr>
          <w:fldChar w:fldCharType="separate"/>
        </w:r>
        <w:r>
          <w:rPr>
            <w:webHidden/>
            <w:rStyle w:val="IndexLink"/>
            <w:vanish w:val="false"/>
          </w:rPr>
          <w:t>Figura 27: Publicaciones por países de la bibliografía consultada.</w:t>
          <w:tab/>
          <w:t>121</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35">
        <w:r>
          <w:rPr>
            <w:webHidden/>
            <w:rStyle w:val="IndexLink"/>
            <w:rFonts w:cs="Verdana"/>
            <w:vanish w:val="false"/>
          </w:rPr>
          <w:t>Figura 28</w:t>
        </w:r>
        <w:r>
          <w:rPr>
            <w:rStyle w:val="IndexLink"/>
          </w:rPr>
          <w:t>:</w:t>
        </w:r>
        <w:r>
          <w:rPr>
            <w:rStyle w:val="IndexLink"/>
            <w:rFonts w:cs="Verdana"/>
          </w:rPr>
          <w:t xml:space="preserve"> Bibliografía por tipo de publicación e indexado.</w:t>
        </w:r>
        <w:r>
          <w:rPr>
            <w:webHidden/>
          </w:rPr>
          <w:fldChar w:fldCharType="begin"/>
        </w:r>
        <w:r>
          <w:rPr>
            <w:webHidden/>
          </w:rPr>
          <w:instrText>PAGEREF _Toc84599035 \h</w:instrText>
        </w:r>
        <w:r>
          <w:rPr>
            <w:webHidden/>
          </w:rPr>
          <w:fldChar w:fldCharType="separate"/>
        </w:r>
        <w:r>
          <w:rPr>
            <w:rStyle w:val="IndexLink"/>
          </w:rPr>
          <w:tab/>
          <w:t>121</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36">
        <w:r>
          <w:rPr>
            <w:webHidden/>
            <w:rStyle w:val="IndexLink"/>
            <w:rFonts w:cs="Verdana"/>
            <w:vanish w:val="false"/>
          </w:rPr>
          <w:t>Figura 29</w:t>
        </w:r>
        <w:r>
          <w:rPr>
            <w:rStyle w:val="IndexLink"/>
          </w:rPr>
          <w:t>:</w:t>
        </w:r>
        <w:r>
          <w:rPr>
            <w:rStyle w:val="IndexLink"/>
            <w:rFonts w:cs="Verdana"/>
          </w:rPr>
          <w:t xml:space="preserve"> Fuentes y editoriales principales de la bibliografía analizada en profundidad</w:t>
        </w:r>
        <w:r>
          <w:rPr>
            <w:webHidden/>
          </w:rPr>
          <w:fldChar w:fldCharType="begin"/>
        </w:r>
        <w:r>
          <w:rPr>
            <w:webHidden/>
          </w:rPr>
          <w:instrText>PAGEREF _Toc84599036 \h</w:instrText>
        </w:r>
        <w:r>
          <w:rPr>
            <w:webHidden/>
          </w:rPr>
          <w:fldChar w:fldCharType="separate"/>
        </w:r>
        <w:r>
          <w:rPr>
            <w:rStyle w:val="IndexLink"/>
          </w:rPr>
          <w:tab/>
          <w:t>121</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37">
        <w:r>
          <w:rPr>
            <w:webHidden/>
          </w:rPr>
          <w:fldChar w:fldCharType="begin"/>
        </w:r>
        <w:r>
          <w:rPr>
            <w:webHidden/>
          </w:rPr>
          <w:instrText>PAGEREF _Toc84599037 \h</w:instrText>
        </w:r>
        <w:r>
          <w:rPr>
            <w:webHidden/>
          </w:rPr>
          <w:fldChar w:fldCharType="separate"/>
        </w:r>
        <w:r>
          <w:rPr>
            <w:webHidden/>
            <w:rStyle w:val="IndexLink"/>
            <w:vanish w:val="false"/>
          </w:rPr>
          <w:t>Figura 30: Tendencias de los métodos o técnicas para generar resúmenes lingüísticos de datos.</w:t>
          <w:tab/>
          <w:t>122</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38">
        <w:r>
          <w:rPr>
            <w:webHidden/>
          </w:rPr>
          <w:fldChar w:fldCharType="begin"/>
        </w:r>
        <w:r>
          <w:rPr>
            <w:webHidden/>
          </w:rPr>
          <w:instrText>PAGEREF _Toc84599038 \h</w:instrText>
        </w:r>
        <w:r>
          <w:rPr>
            <w:webHidden/>
          </w:rPr>
          <w:fldChar w:fldCharType="separate"/>
        </w:r>
        <w:r>
          <w:rPr>
            <w:webHidden/>
            <w:rStyle w:val="IndexLink"/>
            <w:vanish w:val="false"/>
          </w:rPr>
          <w:t>Figura 31: Estrategias y técnicas de validación empleadas en la bibliografía estudiada.</w:t>
          <w:tab/>
          <w:t>122</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39">
        <w:r>
          <w:rPr>
            <w:webHidden/>
          </w:rPr>
          <w:fldChar w:fldCharType="begin"/>
        </w:r>
        <w:r>
          <w:rPr>
            <w:webHidden/>
          </w:rPr>
          <w:instrText>PAGEREF _Toc84599039 \h</w:instrText>
        </w:r>
        <w:r>
          <w:rPr>
            <w:webHidden/>
          </w:rPr>
          <w:fldChar w:fldCharType="separate"/>
        </w:r>
        <w:r>
          <w:rPr>
            <w:webHidden/>
            <w:rStyle w:val="IndexLink"/>
            <w:vanish w:val="false"/>
          </w:rPr>
          <w:t>Figura 32: Alcance de la validación empleada en la bibliografía estudiada.</w:t>
          <w:tab/>
          <w:t>123</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40">
        <w:r>
          <w:rPr>
            <w:webHidden/>
          </w:rPr>
          <w:fldChar w:fldCharType="begin"/>
        </w:r>
        <w:r>
          <w:rPr>
            <w:webHidden/>
          </w:rPr>
          <w:instrText>PAGEREF _Toc84599040 \h</w:instrText>
        </w:r>
        <w:r>
          <w:rPr>
            <w:webHidden/>
          </w:rPr>
          <w:fldChar w:fldCharType="separate"/>
        </w:r>
        <w:r>
          <w:rPr>
            <w:webHidden/>
            <w:rStyle w:val="IndexLink"/>
            <w:vanish w:val="false"/>
          </w:rPr>
          <w:t>Figura 33: Análisis de publicaciones respecto a los entornos de aplicación.</w:t>
          <w:tab/>
          <w:t>123</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41">
        <w:r>
          <w:rPr>
            <w:webHidden/>
          </w:rPr>
          <w:fldChar w:fldCharType="begin"/>
        </w:r>
        <w:r>
          <w:rPr>
            <w:webHidden/>
          </w:rPr>
          <w:instrText>PAGEREF _Toc84599041 \h</w:instrText>
        </w:r>
        <w:r>
          <w:rPr>
            <w:webHidden/>
          </w:rPr>
          <w:fldChar w:fldCharType="separate"/>
        </w:r>
        <w:r>
          <w:rPr>
            <w:webHidden/>
            <w:rStyle w:val="IndexLink"/>
            <w:vanish w:val="false"/>
          </w:rPr>
          <w:t>Figura 34: Taxonomía de técnicas para el descubrimiento de datos anómalos.</w:t>
          <w:tab/>
          <w:t>124</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42">
        <w:r>
          <w:rPr>
            <w:webHidden/>
          </w:rPr>
          <w:fldChar w:fldCharType="begin"/>
        </w:r>
        <w:r>
          <w:rPr>
            <w:webHidden/>
          </w:rPr>
          <w:instrText>PAGEREF _Toc84599042 \h</w:instrText>
        </w:r>
        <w:r>
          <w:rPr>
            <w:webHidden/>
          </w:rPr>
          <w:fldChar w:fldCharType="separate"/>
        </w:r>
        <w:r>
          <w:rPr>
            <w:webHidden/>
            <w:rStyle w:val="IndexLink"/>
            <w:vanish w:val="false"/>
          </w:rPr>
          <w:t>Figura 35: Taxonomía que representa el concepto de incertidumbre.</w:t>
          <w:tab/>
          <w:t>124</w:t>
        </w:r>
        <w:r>
          <w:rPr>
            <w:webHidden/>
          </w:rPr>
          <w:fldChar w:fldCharType="end"/>
        </w:r>
      </w:hyperlink>
    </w:p>
    <w:p>
      <w:p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43">
        <w:r>
          <w:rPr>
            <w:webHidden/>
          </w:rPr>
          <w:fldChar w:fldCharType="begin"/>
        </w:r>
        <w:r>
          <w:rPr>
            <w:webHidden/>
          </w:rPr>
          <w:instrText>PAGEREF _Toc84599043 \h</w:instrText>
        </w:r>
        <w:r>
          <w:rPr>
            <w:webHidden/>
          </w:rPr>
          <w:fldChar w:fldCharType="separate"/>
        </w:r>
        <w:r>
          <w:rPr>
            <w:webHidden/>
            <w:rStyle w:val="IndexLink"/>
            <w:vanish w:val="false"/>
          </w:rPr>
          <w:t>Figura 36: Evolución de la teoría neutrosófica.</w:t>
          <w:tab/>
          <w:t>124</w:t>
        </w:r>
        <w:r>
          <w:rPr>
            <w:webHidden/>
          </w:rPr>
          <w:fldChar w:fldCharType="end"/>
        </w:r>
      </w:hyperlink>
    </w:p>
    <w:p>
      <w:pPr>
        <w:sectPr>
          <w:type w:val="nextPage"/>
          <w:pgSz w:w="11906" w:h="16838"/>
          <w:pgMar w:left="1985" w:right="1134" w:header="0" w:top="2268" w:footer="0" w:bottom="1418" w:gutter="0"/>
          <w:pgNumType w:fmt="decimal"/>
          <w:formProt w:val="false"/>
          <w:textDirection w:val="lrTb"/>
          <w:docGrid w:type="default" w:linePitch="312" w:charSpace="4294965247"/>
        </w:sectPr>
        <w:pStyle w:val="Tableoffigures"/>
        <w:tabs>
          <w:tab w:val="right" w:pos="8777" w:leader="dot"/>
        </w:tabs>
        <w:rPr>
          <w:rFonts w:ascii="Calibri" w:hAnsi="Calibri" w:cs="" w:asciiTheme="minorHAnsi" w:cstheme="minorBidi" w:hAnsiTheme="minorHAnsi"/>
          <w:caps w:val="false"/>
          <w:smallCaps w:val="false"/>
          <w:color w:val="00000A"/>
          <w:sz w:val="22"/>
          <w:szCs w:val="22"/>
          <w:lang w:eastAsia="ja-JP"/>
        </w:rPr>
      </w:pPr>
      <w:hyperlink w:anchor="_Toc84599044">
        <w:r>
          <w:rPr>
            <w:webHidden/>
          </w:rPr>
          <w:fldChar w:fldCharType="begin"/>
        </w:r>
        <w:r>
          <w:rPr>
            <w:webHidden/>
          </w:rPr>
          <w:instrText>PAGEREF _Toc84599044 \h</w:instrText>
        </w:r>
        <w:r>
          <w:rPr>
            <w:webHidden/>
          </w:rPr>
          <w:fldChar w:fldCharType="separate"/>
        </w:r>
        <w:r>
          <w:rPr>
            <w:webHidden/>
            <w:rStyle w:val="IndexLink"/>
            <w:vanish w:val="false"/>
          </w:rPr>
          <w:t>Figura 37: Variable lingüística de los cuantificadores usados en las pruebas.</w:t>
          <w:tab/>
          <w:t>126</w:t>
        </w:r>
        <w:r>
          <w:rPr>
            <w:webHidden/>
          </w:rPr>
          <w:fldChar w:fldCharType="end"/>
        </w:r>
      </w:hyperlink>
    </w:p>
    <w:p>
      <w:pPr>
        <w:pStyle w:val="Heading1"/>
        <w:numPr>
          <w:ilvl w:val="0"/>
          <w:numId w:val="0"/>
        </w:numPr>
        <w:ind w:left="432" w:hanging="432"/>
        <w:rPr/>
      </w:pPr>
      <w:bookmarkStart w:id="28" w:name="_Toc476476083"/>
      <w:bookmarkStart w:id="29" w:name="_Toc484293840"/>
      <w:bookmarkStart w:id="30" w:name="_Toc84598920"/>
      <w:bookmarkEnd w:id="28"/>
      <w:bookmarkEnd w:id="29"/>
      <w:bookmarkEnd w:id="30"/>
      <w:r>
        <w:rPr/>
        <w:t>Introducción</w:t>
      </w:r>
      <w:r>
        <w:fldChar w:fldCharType="end"/>
      </w:r>
    </w:p>
    <w:p>
      <w:pPr>
        <w:pStyle w:val="Normal"/>
        <w:rPr/>
      </w:pPr>
      <w:bookmarkStart w:id="31" w:name="_Hlk75786077"/>
      <w:bookmarkStart w:id="32" w:name="_Hlk70747271"/>
      <w:bookmarkStart w:id="33" w:name="__RefHeading__324_1220193368"/>
      <w:bookmarkEnd w:id="33"/>
      <w:r>
        <w:rPr/>
        <w:t xml:space="preserve">Varios autores </w:t>
      </w:r>
      <w:r>
        <w:fldChar w:fldCharType="begin"/>
      </w:r>
      <w:r>
        <w:instrText>ADDIN ZOTERO_ITEM CSL_CITATION {"citationID":"tvUcgjBz","properties":{"formattedCitation":"(Dijkman y Wilbik 2017)","plainCitation":"(Dijkman y Wilbik 2017)","noteIndex":0},"citationItems":[{"id":"NJclqhNX/tUNDshry","uris":["http://zotero.org/users/local/rsuvzjK6/items/8GWFVIKD"],"uri":["http://zotero.org/users/local/rsuvzjK6/items/8GWFVIKD"],"itemData":{"id":3297,"type":"article-journal","abstract":"The amount of data that is generated during the execution of a business process is growing. As a consequence it is increasingly hard to extract useful information from the large amount of data that is produced. Linguistic summarization helps to point business analysts in the direction of useful information, by verbalizing interesting patterns that exist in the data. In previous work we showed how linguistic summarization can be used to automatically generate diagnostic statements about event logs, such as ‘for most cases that contained the sequence ABC, the throughput time was long’. However, we also showed that our technique produced too many of these statements to be useful in a practical setting. Therefore this paper presents a novel technique for linguistic summarization of event logs, which generates linguistic summaries that are concise enough to be used in a practical setting, while at the same time enriching the summaries that are produced by also enabling conjunctive statements. The improved technique is based on pruning and clustering of linguistic summaries. We show that it can be used to reduce the number of summary statements 80–100% compared to previous work. In a survey among 51 practitioners, we found that practitioners consider linguistic summarization useful and easy to use and intend to use it if it were commercially available.","container-title":"Information Systems","DOI":"10.1016/j.is.2017.03.009","ISSN":"0306-4379","language":"en","page":"114–125","title":"Linguistic summarization of event logs – A practical approach","volume":"67","author":[{"family":"Dijkman","given":"Remco"},{"family":"Wilbik","given":"Anna"}],"issued":{"date-parts":[["2017",7]]}}}],"schema":"https://github.com/citation-style-language/schema/raw/master/csl-citation.json"}</w:instrText>
      </w:r>
      <w:r>
        <w:fldChar w:fldCharType="separate"/>
      </w:r>
      <w:bookmarkStart w:id="34" w:name="__Fieldmark__1602_2067855929"/>
      <w:r>
        <w:rPr/>
        <w:t>(</w:t>
      </w:r>
      <w:bookmarkStart w:id="35" w:name="__Fieldmark__1547_498839314"/>
      <w:r>
        <w:rPr/>
        <w:t>D</w:t>
      </w:r>
      <w:bookmarkStart w:id="36" w:name="__Fieldmark__1557_998588997"/>
      <w:r>
        <w:rPr/>
        <w:t>i</w:t>
      </w:r>
      <w:bookmarkStart w:id="37" w:name="__Fieldmark__3208_118561941"/>
      <w:r>
        <w:rPr/>
        <w:t>jkman y Wilbik 2017)</w:t>
      </w:r>
      <w:r>
        <w:rPr/>
      </w:r>
      <w:r>
        <w:fldChar w:fldCharType="end"/>
      </w:r>
      <w:bookmarkEnd w:id="34"/>
      <w:bookmarkEnd w:id="35"/>
      <w:bookmarkEnd w:id="36"/>
      <w:bookmarkEnd w:id="37"/>
      <w:r>
        <w:rPr/>
        <w:t xml:space="preserve"> </w:t>
      </w:r>
      <w:r>
        <w:fldChar w:fldCharType="begin"/>
      </w:r>
      <w:r>
        <w:instrText>ADDIN ZOTERO_ITEM CSL_CITATION {"citationID":"TyGRJTiU","properties":{"formattedCitation":"(Amghar y Chikh 2018)","plainCitation":"(Amghar y Chikh 2018)","noteIndex":0},"citationItems":[{"id":"NJclqhNX/6Z03zroz","uris":["http://zotero.org/users/local/rsuvzjK6/items/2ED8USB4"],"uri":["http://zotero.org/users/local/rsuvzjK6/items/2ED8USB4"],"itemData":{"id":3339,"type":"article-journal","abstract":"In general, medical clustering concerns a big database. The present paper aims at extracting a fuzzy linguistic summary from a large medical database. A linguistic summary is used to reduce large volumes of data to simple sentences. It is worth noting that with the increase of the amount of medical data, different techniques of machine learning have been developed recently.","container-title":"International Journal of Intelligent Systems and Applications","DOI":"10.5815/ijisa.2018.12.02","ISSN":"2074904X, 20749058","issue":"12","language":"en","page":"16–26","title":"Extracting a Linguistic Summary from a Medical Database","volume":"10","author":[{"family":"Amghar","given":"Djazia"},{"family":"Chikh","given":"Amine.M."}],"issued":{"date-parts":[["2018",12]]}}}],"schema":"https://github.com/citation-style-language/schema/raw/master/csl-citation.json"}</w:instrText>
      </w:r>
      <w:r>
        <w:fldChar w:fldCharType="separate"/>
      </w:r>
      <w:bookmarkStart w:id="38" w:name="__Fieldmark__1617_2067855929"/>
      <w:r>
        <w:rPr/>
        <w:t>(</w:t>
      </w:r>
      <w:bookmarkStart w:id="39" w:name="__Fieldmark__1558_498839314"/>
      <w:r>
        <w:rPr/>
        <w:t>A</w:t>
      </w:r>
      <w:bookmarkStart w:id="40" w:name="__Fieldmark__1564_998588997"/>
      <w:r>
        <w:rPr/>
        <w:t>m</w:t>
      </w:r>
      <w:bookmarkStart w:id="41" w:name="__Fieldmark__3213_118561941"/>
      <w:r>
        <w:rPr/>
        <w:t>ghar y Chikh 2018)</w:t>
      </w:r>
      <w:r>
        <w:rPr/>
      </w:r>
      <w:r>
        <w:fldChar w:fldCharType="end"/>
      </w:r>
      <w:bookmarkEnd w:id="38"/>
      <w:bookmarkEnd w:id="39"/>
      <w:bookmarkEnd w:id="40"/>
      <w:bookmarkEnd w:id="41"/>
      <w:r>
        <w:rPr/>
        <w:t xml:space="preserve"> </w:t>
      </w:r>
      <w:r>
        <w:fldChar w:fldCharType="begin"/>
      </w:r>
      <w:r>
        <w:instrText>ADDIN ZOTERO_ITEM CSL_CITATION {"citationID":"mvdZnC6g","properties":{"formattedCitation":"(Kaczmarek-Majer et\\uc0\\u160{}al. 2019)","plainCitation":"(Kaczmarek-Majer et al. 2019)","noteIndex":0},"citationItems":[{"id":"NJclqhNX/dqnG33mX","uris":["http://zotero.org/users/local/rsuvzjK6/items/Z2YPXP9K"],"uri":["http://zotero.org/users/local/rsuvzjK6/items/Z2YPXP9K"],"itemData":{"id":3250,"type":"paper-conference","abstract":"Personalized linguistic summaries are developed with the use of protoforms in the sense of Yager and Kacprzyk. We discuss the construction and usefulness of such patient-dependent and disease-state-dependent linguistic summaries that may be examplified as `Most outgoing calls in mania state (disease period) are short compared to the calls recorded in...","DOI":"10.2991/eusflat-19.2019.56","ISBN":"978-94-6252-770-6","language":"en","publisher":"Atlantis Press","title":"Personalized linguistic summaries in smartphone-based monitoring of bipolar disorder patients","URL":"https://www.atlantis-press.com/proceedings/eusflat-19/125914826","author":[{"family":"Kaczmarek-Majer","given":"Katarzyna"},{"family":"Hryniewicz","given":"Olgierd"},{"family":"Dominiak","given":"Monika"},{"family":"Święcicki","given":"Łukasz"}],"accessed":{"date-parts":[["2019",12,11]]},"issued":{"date-parts":[["2019",8]]}}}],"schema":"https://github.com/citation-style-language/schema/raw/master/csl-citation.json"}</w:instrText>
      </w:r>
      <w:r>
        <w:fldChar w:fldCharType="separate"/>
      </w:r>
      <w:bookmarkStart w:id="42" w:name="__Fieldmark__1632_2067855929"/>
      <w:r>
        <w:rPr/>
      </w:r>
      <w:r>
        <w:rPr>
          <w:szCs w:val="24"/>
        </w:rPr>
        <w:t>(</w:t>
      </w:r>
      <w:bookmarkStart w:id="43" w:name="__Fieldmark__1569_498839314"/>
      <w:r>
        <w:rPr>
          <w:szCs w:val="24"/>
        </w:rPr>
        <w:t>K</w:t>
      </w:r>
      <w:bookmarkStart w:id="44" w:name="__Fieldmark__1571_998588997"/>
      <w:r>
        <w:rPr>
          <w:szCs w:val="24"/>
        </w:rPr>
        <w:t>a</w:t>
      </w:r>
      <w:bookmarkStart w:id="45" w:name="__Fieldmark__3218_118561941"/>
      <w:r>
        <w:rPr>
          <w:szCs w:val="24"/>
        </w:rPr>
        <w:t>czmarek-Majer et al. 2019)</w:t>
      </w:r>
      <w:r>
        <w:rPr/>
      </w:r>
      <w:r>
        <w:fldChar w:fldCharType="end"/>
      </w:r>
      <w:bookmarkEnd w:id="42"/>
      <w:bookmarkEnd w:id="43"/>
      <w:bookmarkEnd w:id="44"/>
      <w:bookmarkEnd w:id="45"/>
      <w:r>
        <w:rPr/>
        <w:t xml:space="preserve"> </w:t>
      </w:r>
      <w:r>
        <w:fldChar w:fldCharType="begin"/>
      </w:r>
      <w:r>
        <w:instrText>ADDIN ZOTERO_ITEM CSL_CITATION {"citationID":"UDnc9x50","properties":{"formattedCitation":"(Pel\\uc0\\u225{}ez-Aguilera et\\uc0\\u160{}al. 2019)","plainCitation":"(Peláez-Aguilera et al. 2019)","noteIndex":0},"citationItems":[{"id":"NJclqhNX/5UqkzAsn","uris":["http://zotero.org/users/local/rsuvzjK6/items/FBBJLLBV"],"uri":["http://zotero.org/users/local/rsuvzjK6/items/FBBJLLBV"],"itemData":{"id":3249,"type":"article-journal","container-title":"Hindawi","DOI":"0.1155/2019/2694126","page":"11","title":"Fuzzy Linguistic Protoforms to Summarize Heart Rate Streams of Patients with Ischemic Heart Disease","volume":"2019","author":[{"family":"Peláez-Aguilera","given":"María Dolores"},{"family":"Espinilla","given":"Macarena"},{"family":"Fernández","given":"M. R."},{"family":"Medina","given":"Javier"}],"issued":{"date-parts":[["2019"]]}}}],"schema":"https://github.com/citation-style-language/schema/raw/master/csl-citation.json"}</w:instrText>
      </w:r>
      <w:r>
        <w:fldChar w:fldCharType="separate"/>
      </w:r>
      <w:bookmarkStart w:id="46" w:name="__Fieldmark__1647_2067855929"/>
      <w:r>
        <w:rPr/>
      </w:r>
      <w:r>
        <w:rPr>
          <w:szCs w:val="24"/>
        </w:rPr>
        <w:t>(</w:t>
      </w:r>
      <w:bookmarkStart w:id="47" w:name="__Fieldmark__1580_498839314"/>
      <w:r>
        <w:rPr>
          <w:szCs w:val="24"/>
        </w:rPr>
        <w:t>P</w:t>
      </w:r>
      <w:bookmarkStart w:id="48" w:name="__Fieldmark__1578_998588997"/>
      <w:r>
        <w:rPr>
          <w:szCs w:val="24"/>
        </w:rPr>
        <w:t>e</w:t>
      </w:r>
      <w:bookmarkStart w:id="49" w:name="__Fieldmark__3223_118561941"/>
      <w:r>
        <w:rPr>
          <w:szCs w:val="24"/>
        </w:rPr>
        <w:t>láez-Aguilera et al. 2019)</w:t>
      </w:r>
      <w:r>
        <w:rPr/>
      </w:r>
      <w:r>
        <w:fldChar w:fldCharType="end"/>
      </w:r>
      <w:bookmarkEnd w:id="46"/>
      <w:bookmarkEnd w:id="47"/>
      <w:bookmarkEnd w:id="48"/>
      <w:bookmarkEnd w:id="49"/>
      <w:r>
        <w:rPr/>
        <w:t xml:space="preserve"> aseveran que uno de los problemas latentes en los procesos de toma de decisiones no estructuradas, está asociado al descubrimiento de patrones de comportamiento en datos provenientes de sistemas de información</w:t>
      </w:r>
      <w:bookmarkEnd w:id="32"/>
      <w:r>
        <w:rPr/>
        <w:t xml:space="preserve">. Por lo general estos datos no son legibles ni entendibles a simple vista por los decisores, lo cual unido al volumen de datos que se genera, dificulta los procesos de toma de decisiones </w:t>
      </w:r>
      <w:r>
        <w:fldChar w:fldCharType="begin"/>
      </w:r>
      <w:r>
        <w:instrText>ADDIN ZOTERO_ITEM CSL_CITATION {"citationID":"a1t2qj73kru","properties":{"formattedCitation":"(Wilbik, Barreto y Backus 2020)","plainCitation":"(Wilbik, Barreto y Backus 2020)","noteIndex":0},"citationItems":[{"id":3253,"uris":["http://zotero.org/users/local/EJ15hJE2/items/5AUJ9J8Q"],"uri":["http://zotero.org/users/local/EJ15hJE2/items/5AUJ9J8Q"],"itemData":{"id":3253,"type":"paper-conference","abstract":"We present an application of linguistic summaries in the agro-food domain. We focus on the relevance aspect. Using the interviews we determine which linguistic summaries are useful and appropriate for target users (farmers). The user evaluation with a TAM survey indicates that linguistic summaries allow farmers to understand quickly the past performance of their pig barns.","container-title":"International Conference on Information Processing and Management of Uncertainty in Knowledge-Based Systems","DOI":"10.1007/978-3-030-50146-4_22","ISBN":"978-3-030-50146-4","page":"289–300","publisher":"Springer","title":"On Relevance of Linguistic Summaries–A Case Study from the Agro-Food Domain","author":[{"family":"Wilbik","given":"Anna"},{"family":"Barreto","given":"Diego"},{"family":"Backus","given":"Ge"}],"issued":{"date-parts":[["2020"]]}}}],"schema":"https://github.com/citation-style-language/schema/raw/master/csl-citation.json"}</w:instrText>
      </w:r>
      <w:r>
        <w:fldChar w:fldCharType="separate"/>
      </w:r>
      <w:bookmarkStart w:id="50" w:name="__Fieldmark__1666_2067855929"/>
      <w:r>
        <w:rPr/>
      </w:r>
      <w:r>
        <w:rPr>
          <w:szCs w:val="24"/>
        </w:rPr>
        <w:t>(</w:t>
      </w:r>
      <w:bookmarkStart w:id="51" w:name="__Fieldmark__1593_498839314"/>
      <w:r>
        <w:rPr>
          <w:szCs w:val="24"/>
        </w:rPr>
        <w:t>W</w:t>
      </w:r>
      <w:bookmarkStart w:id="52" w:name="__Fieldmark__1587_998588997"/>
      <w:r>
        <w:rPr>
          <w:szCs w:val="24"/>
        </w:rPr>
        <w:t>i</w:t>
      </w:r>
      <w:bookmarkStart w:id="53" w:name="__Fieldmark__3248_118561941"/>
      <w:r>
        <w:rPr>
          <w:szCs w:val="24"/>
        </w:rPr>
        <w:t>lbik, Barreto y Backus 2020)</w:t>
      </w:r>
      <w:r>
        <w:rPr/>
      </w:r>
      <w:r>
        <w:fldChar w:fldCharType="end"/>
      </w:r>
      <w:bookmarkEnd w:id="50"/>
      <w:bookmarkEnd w:id="51"/>
      <w:bookmarkEnd w:id="52"/>
      <w:bookmarkEnd w:id="53"/>
      <w:r>
        <w:rPr/>
        <w:t xml:space="preserve">. En este sentido, constituye objeto de interés, el desarrollo de técnicas y herramientas que permitan el descubrimiento de las dependencias no triviales ocultas en los datos que faciliten su interpretabilidad </w:t>
      </w:r>
      <w:r>
        <w:fldChar w:fldCharType="begin"/>
      </w:r>
      <w:r>
        <w:instrText>ADDIN ZOTERO_ITEM CSL_CITATION {"citationID":"RsBco1NX","properties":{"formattedCitation":"(Wu y Mendel 2010)","plainCitation":"(Wu y Mendel 2010)","noteIndex":0},"citationItems":[{"id":"NJclqhNX/udaTmsY9","uris":["http://zotero.org/users/local/rsuvzjK6/items/JLYAPKUQ"],"uri":["http://zotero.org/users/local/rsuvzjK6/items/JLYAPKUQ"],"itemData":{"id":3352,"type":"article-journal","abstract":"Linguistic summarization (LS) is a data mining or knowledge discovery approach to extract patterns from databases. Many authors have used this technique to generate summaries like “Most senior workers have high salary,” which can be used to better understand and communicate about data; however, few of them have used it to generate IF-THEN rules like “IF X is large and Y is medium, THEN Z is small,” which not only facilitate understanding and communication of data but can also be used in decision-making. In this paper, an LS approach to generate IF-THEN rules for causal databases is proposed. Both type-1 and interval type-2 fuzzy sets are considered. Five quality measures-the degrees of truth, sufficient coverage, reliability, outlier, and simplicity-are defined. Among them, the degree of reliability is especially valuable for finding the most reliable and representative rules, and the degree of outlier can be used to identify outlier rules and data for close-up investigation. An improved parallel coordinates approach for visualizing the IF-THEN rules is also proposed. Experiments on two datasets demonstrate our LS and rule visualization approaches. Finally, the relationships between our LS approach and the Wang-Mendel (WM) method, perceptual reasoning, and granular computing are pointed out","container-title":"IEEE Transactions on Fuzzy Systems","DOI":"10.1109/TFUZZ.2010.2088128","ISSN":"1063-6706","issue":"1","page":"136–151","title":"Linguistic summarization using IF–THEN rules and interval type-2 fuzzy sets","volume":"19","author":[{"family":"Wu","given":"Dongrui"},{"family":"Mendel","given":"Jerry M"}],"issued":{"date-parts":[["2010"]]}}}],"schema":"https://github.com/citation-style-language/schema/raw/master/csl-citation.json"}</w:instrText>
      </w:r>
      <w:r>
        <w:fldChar w:fldCharType="separate"/>
      </w:r>
      <w:bookmarkStart w:id="54" w:name="__Fieldmark__1682_2067855929"/>
      <w:r>
        <w:rPr/>
        <w:t>(</w:t>
      </w:r>
      <w:bookmarkStart w:id="55" w:name="__Fieldmark__1604_498839314"/>
      <w:r>
        <w:rPr/>
        <w:t>W</w:t>
      </w:r>
      <w:bookmarkStart w:id="56" w:name="__Fieldmark__1594_998588997"/>
      <w:r>
        <w:rPr/>
        <w:t>u</w:t>
      </w:r>
      <w:bookmarkStart w:id="57" w:name="__Fieldmark__3263_118561941"/>
      <w:r>
        <w:rPr/>
        <w:t xml:space="preserve"> y Mendel 2010)</w:t>
      </w:r>
      <w:r>
        <w:rPr/>
      </w:r>
      <w:r>
        <w:fldChar w:fldCharType="end"/>
      </w:r>
      <w:bookmarkEnd w:id="54"/>
      <w:bookmarkEnd w:id="55"/>
      <w:bookmarkEnd w:id="56"/>
      <w:bookmarkEnd w:id="57"/>
      <w:r>
        <w:rPr/>
        <w:t xml:space="preserve"> </w:t>
      </w:r>
      <w:r>
        <w:fldChar w:fldCharType="begin"/>
      </w:r>
      <w:r>
        <w:instrText>ADDIN ZOTERO_ITEM CSL_CITATION {"citationID":"aoqs1f7d5n","properties":{"formattedCitation":"(Igde et\\uc0\\u160{}al. 2017)","plainCitation":"(Igde et al. 2017)","noteIndex":0},"citationItems":[{"id":"NJclqhNX/1g9Mba5C","uris":["http://zotero.org/users/local/rsuvzjK6/items/896F7NIB"],"uri":["http://zotero.org/users/local/rsuvzjK6/items/896F7NIB"],"itemData":{"id":3296,"type":"paper-conference","abstract":"Abstract—Patent data have an increasingly important role in economic growth, innovation, technical advantages and business strategies and even in countries competitions. Analyzing of patent data is crucial since patents cover large part of all technological information of the world. In this paper, we have used the linguistic summarization technique to prove the validity of the hypotheses related to patent data stated in the literature.","collection-title":"9","container-title":"International Scholarly and Scientific Research &amp; Innovation","page":"1062-1065","title":"Linguistic Summarization of Structured Patent Data","volume":"11","author":[{"family":"Igde","given":"E. Y."},{"family":"Aydoğan","given":"Sami"},{"family":"Boran","given":"Fatih Emre"},{"family":"Akay","given":"Diyar"}],"issued":{"date-parts":[["2017"]]}}}],"schema":"https://github.com/citation-style-language/schema/raw/master/csl-citation.json"}</w:instrText>
      </w:r>
      <w:r>
        <w:fldChar w:fldCharType="separate"/>
      </w:r>
      <w:bookmarkStart w:id="58" w:name="__Fieldmark__1697_2067855929"/>
      <w:r>
        <w:rPr/>
      </w:r>
      <w:r>
        <w:rPr>
          <w:szCs w:val="24"/>
        </w:rPr>
        <w:t>(</w:t>
      </w:r>
      <w:bookmarkStart w:id="59" w:name="__Fieldmark__1615_498839314"/>
      <w:r>
        <w:rPr>
          <w:szCs w:val="24"/>
        </w:rPr>
        <w:t>I</w:t>
      </w:r>
      <w:bookmarkStart w:id="60" w:name="__Fieldmark__1601_998588997"/>
      <w:r>
        <w:rPr>
          <w:szCs w:val="24"/>
        </w:rPr>
        <w:t>g</w:t>
      </w:r>
      <w:bookmarkStart w:id="61" w:name="__Fieldmark__3268_118561941"/>
      <w:r>
        <w:rPr>
          <w:szCs w:val="24"/>
        </w:rPr>
        <w:t>de et al. 2017)</w:t>
      </w:r>
      <w:r>
        <w:rPr/>
      </w:r>
      <w:r>
        <w:fldChar w:fldCharType="end"/>
      </w:r>
      <w:bookmarkEnd w:id="58"/>
      <w:bookmarkEnd w:id="59"/>
      <w:bookmarkEnd w:id="60"/>
      <w:bookmarkEnd w:id="61"/>
      <w:r>
        <w:rPr/>
        <w:t xml:space="preserve"> </w:t>
      </w:r>
      <w:r>
        <w:fldChar w:fldCharType="begin"/>
      </w:r>
      <w:r>
        <w:instrText>ADDIN ZOTERO_ITEM CSL_CITATION {"citationID":"Ts8fYH13","properties":{"formattedCitation":"(Amghar y Chikh 2018)","plainCitation":"(Amghar y Chikh 2018)","noteIndex":0},"citationItems":[{"id":"NJclqhNX/6Z03zroz","uris":["http://zotero.org/users/local/rsuvzjK6/items/2ED8USB4"],"uri":["http://zotero.org/users/local/rsuvzjK6/items/2ED8USB4"],"itemData":{"id":3339,"type":"article-journal","abstract":"In general, medical clustering concerns a big database. The present paper aims at extracting a fuzzy linguistic summary from a large medical database. A linguistic summary is used to reduce large volumes of data to simple sentences. It is worth noting that with the increase of the amount of medical data, different techniques of machine learning have been developed recently.","container-title":"International Journal of Intelligent Systems and Applications","DOI":"10.5815/ijisa.2018.12.02","ISSN":"2074904X, 20749058","issue":"12","language":"en","page":"16–26","title":"Extracting a Linguistic Summary from a Medical Database","volume":"10","author":[{"family":"Amghar","given":"Djazia"},{"family":"Chikh","given":"Amine.M."}],"issued":{"date-parts":[["2018",12]]}}}],"schema":"https://github.com/citation-style-language/schema/raw/master/csl-citation.json"}</w:instrText>
      </w:r>
      <w:r>
        <w:fldChar w:fldCharType="separate"/>
      </w:r>
      <w:bookmarkStart w:id="62" w:name="__Fieldmark__1712_2067855929"/>
      <w:r>
        <w:rPr/>
        <w:t>(</w:t>
      </w:r>
      <w:bookmarkStart w:id="63" w:name="__Fieldmark__1626_498839314"/>
      <w:r>
        <w:rPr/>
        <w:t>A</w:t>
      </w:r>
      <w:bookmarkStart w:id="64" w:name="__Fieldmark__1608_998588997"/>
      <w:r>
        <w:rPr/>
        <w:t>m</w:t>
      </w:r>
      <w:bookmarkStart w:id="65" w:name="__Fieldmark__3273_118561941"/>
      <w:r>
        <w:rPr/>
        <w:t>ghar y Chikh 2018)</w:t>
      </w:r>
      <w:r>
        <w:rPr/>
      </w:r>
      <w:r>
        <w:fldChar w:fldCharType="end"/>
      </w:r>
      <w:bookmarkEnd w:id="62"/>
      <w:bookmarkEnd w:id="63"/>
      <w:bookmarkEnd w:id="64"/>
      <w:bookmarkEnd w:id="65"/>
      <w:r>
        <w:rPr/>
        <w:t xml:space="preserve"> </w:t>
      </w:r>
      <w:r>
        <w:fldChar w:fldCharType="begin"/>
      </w:r>
      <w:r>
        <w:instrText>ADDIN ZOTERO_ITEM CSL_CITATION {"citationID":"lzZJbl84","properties":{"formattedCitation":"(Wilbik, Barreto y Backus 2020)","plainCitation":"(Wilbik, Barreto y Backus 2020)","noteIndex":0},"citationItems":[{"id":3253,"uris":["http://zotero.org/users/local/EJ15hJE2/items/5AUJ9J8Q"],"uri":["http://zotero.org/users/local/EJ15hJE2/items/5AUJ9J8Q"],"itemData":{"id":3253,"type":"paper-conference","abstract":"We present an application of linguistic summaries in the agro-food domain. We focus on the relevance aspect. Using the interviews we determine which linguistic summaries are useful and appropriate for target users (farmers). The user evaluation with a TAM survey indicates that linguistic summaries allow farmers to understand quickly the past performance of their pig barns.","container-title":"International Conference on Information Processing and Management of Uncertainty in Knowledge-Based Systems","DOI":"10.1007/978-3-030-50146-4_22","ISBN":"978-3-030-50146-4","page":"289–300","publisher":"Springer","title":"On Relevance of Linguistic Summaries–A Case Study from the Agro-Food Domain","author":[{"family":"Wilbik","given":"Anna"},{"family":"Barreto","given":"Diego"},{"family":"Backus","given":"Ge"}],"issued":{"date-parts":[["2020"]]}}}],"schema":"https://github.com/citation-style-language/schema/raw/master/csl-citation.json"}</w:instrText>
      </w:r>
      <w:r>
        <w:fldChar w:fldCharType="separate"/>
      </w:r>
      <w:bookmarkStart w:id="66" w:name="__Fieldmark__1727_2067855929"/>
      <w:r>
        <w:rPr/>
      </w:r>
      <w:r>
        <w:rPr>
          <w:szCs w:val="24"/>
        </w:rPr>
        <w:t>(</w:t>
      </w:r>
      <w:bookmarkStart w:id="67" w:name="__Fieldmark__1637_498839314"/>
      <w:r>
        <w:rPr>
          <w:szCs w:val="24"/>
        </w:rPr>
        <w:t>W</w:t>
      </w:r>
      <w:bookmarkStart w:id="68" w:name="__Fieldmark__1615_998588997"/>
      <w:r>
        <w:rPr>
          <w:szCs w:val="24"/>
        </w:rPr>
        <w:t>i</w:t>
      </w:r>
      <w:bookmarkStart w:id="69" w:name="__Fieldmark__3278_118561941"/>
      <w:r>
        <w:rPr>
          <w:szCs w:val="24"/>
        </w:rPr>
        <w:t>lbik, Barreto y Backus 2020)</w:t>
      </w:r>
      <w:r>
        <w:rPr/>
      </w:r>
      <w:r>
        <w:fldChar w:fldCharType="end"/>
      </w:r>
      <w:bookmarkEnd w:id="31"/>
      <w:bookmarkEnd w:id="66"/>
      <w:bookmarkEnd w:id="67"/>
      <w:bookmarkEnd w:id="68"/>
      <w:bookmarkEnd w:id="69"/>
      <w:r>
        <w:rPr/>
        <w:t>. Pues los escenarios donde se disponga de estas técnicas, pueden obtener mejores resultados respecto a aquellos que no lo hacen.</w:t>
      </w:r>
    </w:p>
    <w:p>
      <w:pPr>
        <w:pStyle w:val="Normal"/>
        <w:rPr/>
      </w:pPr>
      <w:r>
        <w:rPr/>
        <w:t>En este contexto, dentro de la inteligencia artificial</w:t>
      </w:r>
      <w:r>
        <w:rPr>
          <w:rStyle w:val="FootnoteAnchor"/>
        </w:rPr>
        <w:footnoteReference w:id="2"/>
      </w:r>
      <w:r>
        <w:rPr/>
        <w:t xml:space="preserve"> se han creado técnicas como la Sumarización Lingüística de Dato</w:t>
      </w:r>
      <w:r>
        <w:rPr>
          <w:rStyle w:val="FootnoteAnchor"/>
        </w:rPr>
        <w:footnoteReference w:id="3"/>
      </w:r>
      <w:r>
        <w:rPr/>
        <w:t xml:space="preserve"> (SLD) que permiten identificar las relaciones subyacentes en los datos, tales como: correlaciones, tendencias, agrupaciones o anomalías </w:t>
      </w:r>
      <w:r>
        <w:fldChar w:fldCharType="begin"/>
      </w:r>
      <w:r>
        <w:instrText>ADDIN ZOTERO_ITEM CSL_CITATION {"citationID":"e8wyjmxx","properties":{"formattedCitation":"(Kacprzyk y Zadro\\uc0\\u380{}ny 2000)","plainCitation":"(Kacprzyk y Zadrożny 2000)","noteIndex":0},"citationItems":[{"id":"NJclqhNX/R1euJRME","uris":["http://zotero.org/users/local/rsuvzjK6/items/HEBPVMMX"],"uri":["http://zotero.org/users/local/rsuvzjK6/items/HEBPVMMX"],"itemData":{"id":18,"type":"article-journal","container-title":"Kybernetika","issue":"6","page":"657–670","title":"On a fuzzy querying and data mining interface","volume":"36","author":[{"family":"Kacprzyk","given":"Janusz"},{"family":"Zadrożny","given":"S\\lawomir"}],"issued":{"date-parts":[["2000"]]}}}],"schema":"https://github.com/citation-style-language/schema/raw/master/csl-citation.json"}</w:instrText>
      </w:r>
      <w:r>
        <w:fldChar w:fldCharType="separate"/>
      </w:r>
      <w:bookmarkStart w:id="70" w:name="__Fieldmark__1775_2067855929"/>
      <w:r>
        <w:rPr/>
      </w:r>
      <w:r>
        <w:rPr>
          <w:szCs w:val="24"/>
        </w:rPr>
        <w:t>(Kacprzyk y Zadrożny 2000)</w:t>
      </w:r>
      <w:bookmarkStart w:id="71" w:name="__Fieldmark__1679_498839314"/>
      <w:bookmarkStart w:id="72" w:name="__Fieldmark__3335_118561941"/>
      <w:bookmarkStart w:id="73" w:name="__Fieldmark__1653_998588997"/>
      <w:bookmarkEnd w:id="71"/>
      <w:bookmarkEnd w:id="72"/>
      <w:bookmarkEnd w:id="73"/>
      <w:r>
        <w:rPr/>
      </w:r>
      <w:r>
        <w:fldChar w:fldCharType="end"/>
      </w:r>
      <w:bookmarkEnd w:id="70"/>
      <w:r>
        <w:rPr/>
        <w:t xml:space="preserve">. Estas técnicas se caracterizan por generar resúmenes lingüísticos a partir de bases de datos estructuradas utilizando lenguaje natural </w:t>
      </w:r>
      <w:r>
        <w:fldChar w:fldCharType="begin"/>
      </w:r>
      <w:r>
        <w:instrText>ADDIN ZOTERO_ITEM CSL_CITATION {"citationID":"afc4gupsum","properties":{"formattedCitation":"(Yager 1991)","plainCitation":"(Yager 1991)","noteIndex":0},"citationItems":[{"id":"NJclqhNX/QPr4BQ32","uris":["http://zotero.org/users/local/X7i2mGyy/items/TWG5B7F8"],"uri":["http://zotero.org/users/local/X7i2mGyy/items/TWG5B7F8"],"itemData":{"id":"wYY9Q75z/RKdv1dr5","type":"article-journal","container-title":"Knowledge Discovery in Databases","page":"378–389","title":"On Linguistic Summaries of Data","author":[{"family":"Yager","given":"R. R."}],"issued":{"date-parts":[["1991"]]}}}],"schema":"https://github.com/citation-style-language/schema/raw/master/csl-citation.json"}</w:instrText>
      </w:r>
      <w:r>
        <w:fldChar w:fldCharType="separate"/>
      </w:r>
      <w:bookmarkStart w:id="74" w:name="__Fieldmark__1790_2067855929"/>
      <w:r>
        <w:rPr/>
        <w:t>(Yager 1991)</w:t>
      </w:r>
      <w:bookmarkStart w:id="75" w:name="__Fieldmark__1690_498839314"/>
      <w:bookmarkStart w:id="76" w:name="__Fieldmark__3345_118561941"/>
      <w:bookmarkStart w:id="77" w:name="__Fieldmark__1661_998588997"/>
      <w:bookmarkEnd w:id="75"/>
      <w:bookmarkEnd w:id="76"/>
      <w:bookmarkEnd w:id="77"/>
      <w:r>
        <w:rPr/>
      </w:r>
      <w:r>
        <w:fldChar w:fldCharType="end"/>
      </w:r>
      <w:bookmarkEnd w:id="74"/>
      <w:r>
        <w:rPr/>
        <w:t xml:space="preserve"> facilitando por su naturaleza la toma de decisiones. </w:t>
      </w:r>
    </w:p>
    <w:p>
      <w:pPr>
        <w:pStyle w:val="Normal"/>
        <w:rPr/>
      </w:pPr>
      <w:r>
        <w:rPr/>
        <w:t xml:space="preserve">Como </w:t>
      </w:r>
      <w:r>
        <w:rPr>
          <w:lang w:val="en-US"/>
        </w:rPr>
        <w:t>parte de esta investigación,</w:t>
      </w:r>
      <w:r>
        <w:rPr/>
        <w:t xml:space="preserve"> </w:t>
      </w:r>
      <w:r>
        <w:rPr>
          <w:lang w:val="en-US"/>
        </w:rPr>
        <w:t xml:space="preserve">se desarrolló una revisión sistemática </w:t>
      </w:r>
      <w:r>
        <w:fldChar w:fldCharType="begin"/>
      </w:r>
      <w:r>
        <w:instrText>ADDIN ZOTERO_ITEM CSL_CITATION {"citationID":"a1l77e0ls8r","properties":{"formattedCitation":"(P\\uc0\\u233{}rez Pupo et\\uc0\\u160{}al. 2021)","plainCitation":"(Pérez Pupo et al. 2021)","noteIndex":0},"citationItems":[{"id":"NJclqhNX/SbUuLVaP","uris":["http://zotero.org/users/local/rsuvzjK6/items/GIUZ22HL"],"uri":["http://zotero.org/users/local/rsuvzjK6/items/GIUZ22HL"],"itemData":{"id":3437,"type":"article-journal","abstract":"Las técnicas de sumarización lingüística de datos han surgido para ayudar a descubrir relaciones complejas entre variables y presentar la información en lenguaje natural. En el desarrollo de estas técnicas se combinan la inteligencia artificial, la estadística, el aprendizaje automático, entre otras áreas del conocimiento humano. Esta investigación tiene como objetivo realizar un marco teórico referencial de la temática que permita a los investigadores analizar las tendencias en los métodos de generación de resúmenes lingüísticos de datos, las estrategias de validación empleadas en las investigaciones y las principales áreas de aplicación. Como conclusiones se identifica la necesidad de mejora de los métodos de validación, las técnicas emergentes en la generación de resúmenes y la posibilidad del empleo de los resúmenes en problemas de predicción entre otro.","container-title":"Revista cubana de transformación digital","ISSN":"2708-3411","issue":"1","page":"79-101","title":"Tendencias en la sumarización lingüística de datos","volume":"2","author":[{"family":"Pérez Pupo","given":"Iliana"},{"family":"Piñero Pérez","given":"Pedro Yobani"},{"family":"Martín","given":"Nayma"},{"family":"Bello Pérez","given":"Rafael Esteban"}],"issued":{"date-parts":[["2021"]]}}}],"schema":"https://github.com/citation-style-language/schema/raw/master/csl-citation.json"}</w:instrText>
      </w:r>
      <w:r>
        <w:fldChar w:fldCharType="separate"/>
      </w:r>
      <w:bookmarkStart w:id="78" w:name="__Fieldmark__1810_2067855929"/>
      <w:r>
        <w:rPr>
          <w:lang w:val="en-US"/>
        </w:rPr>
      </w:r>
      <w:r>
        <w:rPr>
          <w:szCs w:val="24"/>
          <w:lang w:val="en-US"/>
        </w:rPr>
        <w:t>(</w:t>
      </w:r>
      <w:bookmarkStart w:id="79" w:name="__Fieldmark__1706_498839314"/>
      <w:r>
        <w:rPr>
          <w:szCs w:val="24"/>
          <w:lang w:val="en-US"/>
        </w:rPr>
        <w:t>P</w:t>
      </w:r>
      <w:bookmarkStart w:id="80" w:name="__Fieldmark__1674_998588997"/>
      <w:r>
        <w:rPr>
          <w:szCs w:val="24"/>
          <w:lang w:val="en-US"/>
        </w:rPr>
        <w:t>é</w:t>
      </w:r>
      <w:bookmarkStart w:id="81" w:name="__Fieldmark__3360_118561941"/>
      <w:r>
        <w:rPr>
          <w:szCs w:val="24"/>
          <w:lang w:val="en-US"/>
        </w:rPr>
        <w:t>rez Pupo et al. 2021)</w:t>
      </w:r>
      <w:r>
        <w:rPr>
          <w:lang w:val="en-US"/>
        </w:rPr>
      </w:r>
      <w:r>
        <w:fldChar w:fldCharType="end"/>
      </w:r>
      <w:bookmarkEnd w:id="78"/>
      <w:bookmarkEnd w:id="79"/>
      <w:bookmarkEnd w:id="80"/>
      <w:bookmarkEnd w:id="81"/>
      <w:r>
        <w:rPr>
          <w:szCs w:val="24"/>
        </w:rPr>
        <w:t xml:space="preserve"> </w:t>
      </w:r>
      <w:r>
        <w:rPr>
          <w:lang w:val="en-US"/>
        </w:rPr>
        <w:t>que abarcó el análisis de más de 71 trabajos, p</w:t>
      </w:r>
      <w:r>
        <w:rPr/>
        <w:t xml:space="preserve">ara caracterizar las diferentes técnicas de SLD. En este estudio se identifica que autores como Yager </w:t>
      </w:r>
      <w:r>
        <w:fldChar w:fldCharType="begin"/>
      </w:r>
      <w:r>
        <w:instrText>ADDIN ZOTERO_ITEM CSL_CITATION {"citationID":"YZ9KtSBZ","properties":{"formattedCitation":"(Yager 1982)","plainCitation":"(Yager 1982)","noteIndex":0},"citationItems":[{"id":"NJclqhNX/E1eUvurW","uris":["http://zotero.org/users/local/rsuvzjK6/items/YR5JT4VR"],"uri":["http://zotero.org/users/local/rsuvzjK6/items/YR5JT4VR"],"itemData":{"id":3204,"type":"article-journal","container-title":"Information Sciences","DOI":"10.1016/0020-0255(82)90033-0","issue":"1","page":"69–86","title":"A new approach to the summarization of data","volume":"28","author":[{"family":"Yager","given":"Ronald R"}],"issued":{"date-parts":[["1982"]]}}}],"schema":"https://github.com/citation-style-language/schema/raw/master/csl-citation.json"}</w:instrText>
      </w:r>
      <w:r>
        <w:fldChar w:fldCharType="separate"/>
      </w:r>
      <w:bookmarkStart w:id="82" w:name="__Fieldmark__1828_2067855929"/>
      <w:r>
        <w:rPr/>
        <w:t>(</w:t>
      </w:r>
      <w:bookmarkStart w:id="83" w:name="__Fieldmark__1719_498839314"/>
      <w:r>
        <w:rPr/>
        <w:t>Y</w:t>
      </w:r>
      <w:bookmarkStart w:id="84" w:name="__Fieldmark__1683_998588997"/>
      <w:r>
        <w:rPr/>
        <w:t>a</w:t>
      </w:r>
      <w:bookmarkStart w:id="85" w:name="__Fieldmark__3371_118561941"/>
      <w:r>
        <w:rPr/>
        <w:t>ger 1982)</w:t>
      </w:r>
      <w:r>
        <w:rPr/>
      </w:r>
      <w:r>
        <w:fldChar w:fldCharType="end"/>
      </w:r>
      <w:bookmarkEnd w:id="82"/>
      <w:bookmarkEnd w:id="83"/>
      <w:bookmarkEnd w:id="84"/>
      <w:bookmarkEnd w:id="85"/>
      <w:r>
        <w:rPr/>
        <w:t xml:space="preserve">, Zadeh </w:t>
      </w:r>
      <w:r>
        <w:fldChar w:fldCharType="begin"/>
      </w:r>
      <w:r>
        <w:instrText>ADDIN ZOTERO_ITEM CSL_CITATION {"citationID":"ZUrDc6Bm","properties":{"formattedCitation":"(Zadeh 1983)","plainCitation":"(Zadeh 1983)","noteIndex":0},"citationItems":[{"id":"NJclqhNX/oiCPLXAg","uris":["http://zotero.org/users/local/rsuvzjK6/items/JNTI42JZ"],"uri":["http://zotero.org/users/local/rsuvzjK6/items/JNTI42JZ"],"itemData":{"id":"uidGOmto/DXE91UJD","type":"article-journal","title":"A computational approach to fuzzy quantifiers in natural languages","container-title":"Computers &amp; Mathematics with applications","page":"149–184","volume":"9","issue":"1","author":[{"family":"Zadeh","given":"Lotfi A"}],"issued":{"date-parts":[["1983"]]}}}],"schema":"https://github.com/citation-style-language/schema/raw/master/csl-citation.json"}</w:instrText>
      </w:r>
      <w:r>
        <w:fldChar w:fldCharType="separate"/>
      </w:r>
      <w:bookmarkStart w:id="86" w:name="__Fieldmark__1843_2067855929"/>
      <w:r>
        <w:rPr/>
        <w:t>(</w:t>
      </w:r>
      <w:bookmarkStart w:id="87" w:name="__Fieldmark__1730_498839314"/>
      <w:r>
        <w:rPr/>
        <w:t>Z</w:t>
      </w:r>
      <w:bookmarkStart w:id="88" w:name="__Fieldmark__1690_998588997"/>
      <w:r>
        <w:rPr/>
        <w:t>a</w:t>
      </w:r>
      <w:bookmarkStart w:id="89" w:name="__Fieldmark__3377_118561941"/>
      <w:r>
        <w:rPr/>
        <w:t>deh 1983)</w:t>
      </w:r>
      <w:r>
        <w:rPr/>
      </w:r>
      <w:r>
        <w:fldChar w:fldCharType="end"/>
      </w:r>
      <w:bookmarkEnd w:id="86"/>
      <w:bookmarkEnd w:id="87"/>
      <w:bookmarkEnd w:id="88"/>
      <w:bookmarkEnd w:id="89"/>
      <w:r>
        <w:rPr/>
        <w:t xml:space="preserve"> y Kacprzyk </w:t>
      </w:r>
      <w:r>
        <w:fldChar w:fldCharType="begin"/>
      </w:r>
      <w:r>
        <w:instrText>ADDIN ZOTERO_ITEM CSL_CITATION {"citationID":"yxW3IOWl","properties":{"formattedCitation":"(Kacprzyk, J. 1999)","plainCitation":"(Kacprzyk, J. 1999)","noteIndex":0},"citationItems":[{"id":"NJclqhNX/skmL6fKJ","uris":["http://zotero.org/users/local/rsuvzjK6/items/LX2BBAVA"],"uri":["http://zotero.org/users/local/rsuvzjK6/items/LX2BBAVA"],"itemData":{"id":3283,"type":"paper-conference","abstract":"We present an interactive approach to the linguistic summarization of databases in Yager's (1982, 1991) sense in which fuzzy logic with linguistic quantifiers is employed. For an implementation of such an interactive approach, a human-friendly database querying interface (FQUERY for Access) is used. An implementation at a computer retailer is shown.","container-title":"FUZZ-IEEE'99. 1999 IEEE International Fuzzy Systems. Conference Proceedings (Cat. No.99CH36315)","DOI":"10.1109/FUZZY.1999.793053","page":"813–818 vol.2","title":"Fuzzy logic for linguistic summarization of databases","volume":"2","author":[{"family":"Kacprzyk","given":"J."}],"issued":{"date-parts":[["1999"]]}}}],"schema":"https://github.com/citation-style-language/schema/raw/master/csl-citation.json"}</w:instrText>
      </w:r>
      <w:r>
        <w:fldChar w:fldCharType="separate"/>
      </w:r>
      <w:bookmarkStart w:id="90" w:name="__Fieldmark__1858_2067855929"/>
      <w:r>
        <w:rPr/>
        <w:t>(</w:t>
      </w:r>
      <w:bookmarkStart w:id="91" w:name="__Fieldmark__1741_498839314"/>
      <w:r>
        <w:rPr/>
        <w:t>K</w:t>
      </w:r>
      <w:bookmarkStart w:id="92" w:name="__Fieldmark__1697_998588997"/>
      <w:r>
        <w:rPr/>
        <w:t>a</w:t>
      </w:r>
      <w:bookmarkStart w:id="93" w:name="__Fieldmark__3383_118561941"/>
      <w:r>
        <w:rPr/>
        <w:t>cprzyk, J. 1999)</w:t>
      </w:r>
      <w:r>
        <w:rPr/>
      </w:r>
      <w:r>
        <w:fldChar w:fldCharType="end"/>
      </w:r>
      <w:bookmarkEnd w:id="90"/>
      <w:bookmarkEnd w:id="91"/>
      <w:bookmarkEnd w:id="92"/>
      <w:bookmarkEnd w:id="93"/>
      <w:r>
        <w:rPr/>
        <w:t xml:space="preserve"> han sido precursores en el desarrollo de estas técnicas, cuyas publicaciones marcaron pautas en su conceptualización y desarrollo. Según Yager </w:t>
      </w:r>
      <w:r>
        <w:fldChar w:fldCharType="begin"/>
      </w:r>
      <w:r>
        <w:instrText>ADDIN ZOTERO_ITEM CSL_CITATION {"citationID":"2zt7ObIX","properties":{"formattedCitation":"(Yager 1982)","plainCitation":"(Yager 1982)","noteIndex":0},"citationItems":[{"id":"NJclqhNX/E1eUvurW","uris":["http://zotero.org/users/local/rsuvzjK6/items/YR5JT4VR"],"uri":["http://zotero.org/users/local/rsuvzjK6/items/YR5JT4VR"],"itemData":{"id":3204,"type":"article-journal","container-title":"Information Sciences","DOI":"10.1016/0020-0255(82)90033-0","issue":"1","page":"69–86","title":"A new approach to the summarization of data","volume":"28","author":[{"family":"Yager","given":"Ronald R"}],"issued":{"date-parts":[["1982"]]}}}],"schema":"https://github.com/citation-style-language/schema/raw/master/csl-citation.json"}</w:instrText>
      </w:r>
      <w:r>
        <w:fldChar w:fldCharType="separate"/>
      </w:r>
      <w:bookmarkStart w:id="94" w:name="__Fieldmark__1874_2067855929"/>
      <w:r>
        <w:rPr/>
        <w:t>(</w:t>
      </w:r>
      <w:bookmarkStart w:id="95" w:name="__Fieldmark__1752_498839314"/>
      <w:r>
        <w:rPr/>
        <w:t>Y</w:t>
      </w:r>
      <w:bookmarkStart w:id="96" w:name="__Fieldmark__1704_998588997"/>
      <w:r>
        <w:rPr/>
        <w:t>a</w:t>
      </w:r>
      <w:bookmarkStart w:id="97" w:name="__Fieldmark__3400_118561941"/>
      <w:r>
        <w:rPr/>
        <w:t>ger 1982)</w:t>
      </w:r>
      <w:r>
        <w:rPr/>
      </w:r>
      <w:r>
        <w:fldChar w:fldCharType="end"/>
      </w:r>
      <w:bookmarkEnd w:id="94"/>
      <w:bookmarkEnd w:id="95"/>
      <w:bookmarkEnd w:id="96"/>
      <w:bookmarkEnd w:id="97"/>
      <w:r>
        <w:rPr/>
        <w:t xml:space="preserve">, las técnicas de sumarización lingüística de datos constituyen un importante método para entender el comportamiento de grandes volúmenes de datos, diseñadas para ayudar a los humanos a entender el entorno de aplicación de una manera sencilla, generando conocimiento descriptivo útil para su empleo futuro. En general, estas técnicas son reconocidas como parte de las técnicas de </w:t>
      </w:r>
      <w:r>
        <w:rPr>
          <w:i/>
        </w:rPr>
        <w:t>soft computing</w:t>
      </w:r>
      <w:r>
        <w:rPr/>
        <w:t xml:space="preserve"> y son empleadas para la ayuda a la toma de decisiones </w:t>
      </w:r>
      <w:r>
        <w:fldChar w:fldCharType="begin"/>
      </w:r>
      <w:r>
        <w:instrText>ADDIN ZOTERO_ITEM CSL_CITATION {"citationID":"Ij2ab7uM","properties":{"formattedCitation":"(Wilbik et\\uc0\\u160{}al. 2018)","plainCitation":"(Wilbik et al. 2018)","noteIndex":0},"citationItems":[{"id":"NJclqhNX/FD4ZOc26","uris":["http://zotero.org/users/local/rsuvzjK6/items/DG2G3LYW"],"uri":["http://zotero.org/users/local/rsuvzjK6/items/DG2G3LYW"],"itemData":{"id":3270,"type":"paper-conference","abstract":"Clinical protocols are introduced in hospitals to standardize the care delivery process. Compliance is a measure used to determine whether the protocol has been followed. However compliance measures do not provide enough insight to be used in daily practice. In this paper we propose to use linguistic summaries to analyze the compliance to clinical protocols. As our case we examine a glucose management protocol at ICU. We will demonstrate that linguistic summaries can provide insight, that is actionable and comprehensible by the health-care providers.","container-title":"2018 IEEE International Conference on Fuzzy Systems (FUZZ-IEEE)","DOI":"10.1109/FUZZ-IEEE.2018.8491449","page":"1–7","title":"Linguistic Summaries for Compliance Analysis of a Glucose Management Clinical Protocol","author":[{"family":"Wilbik","given":"Anna"},{"family":"Vanderfeesten","given":"Irene"},{"family":"Bergmans","given":"Dennis"},{"family":"Heines","given":"Serge"},{"family":"Mook","given":"Walther","dropping-particle":"van"}],"issued":{"date-parts":[["2018",7]]}}}],"schema":"https://github.com/citation-style-language/schema/raw/master/csl-citation.json"}</w:instrText>
      </w:r>
      <w:r>
        <w:fldChar w:fldCharType="separate"/>
      </w:r>
      <w:bookmarkStart w:id="98" w:name="__Fieldmark__1892_2067855929"/>
      <w:r>
        <w:rPr/>
      </w:r>
      <w:r>
        <w:rPr>
          <w:szCs w:val="24"/>
        </w:rPr>
        <w:t>(</w:t>
      </w:r>
      <w:bookmarkStart w:id="99" w:name="__Fieldmark__1765_498839314"/>
      <w:r>
        <w:rPr>
          <w:szCs w:val="24"/>
        </w:rPr>
        <w:t>W</w:t>
      </w:r>
      <w:bookmarkStart w:id="100" w:name="__Fieldmark__1713_998588997"/>
      <w:r>
        <w:rPr>
          <w:szCs w:val="24"/>
        </w:rPr>
        <w:t>i</w:t>
      </w:r>
      <w:bookmarkStart w:id="101" w:name="__Fieldmark__3418_118561941"/>
      <w:r>
        <w:rPr>
          <w:szCs w:val="24"/>
        </w:rPr>
        <w:t>lbik et al. 2018)</w:t>
      </w:r>
      <w:r>
        <w:rPr/>
      </w:r>
      <w:r>
        <w:fldChar w:fldCharType="end"/>
      </w:r>
      <w:bookmarkEnd w:id="98"/>
      <w:bookmarkEnd w:id="99"/>
      <w:bookmarkEnd w:id="100"/>
      <w:bookmarkEnd w:id="101"/>
      <w:r>
        <w:rPr/>
        <w:t xml:space="preserve">. </w:t>
      </w:r>
    </w:p>
    <w:p>
      <w:pPr>
        <w:pStyle w:val="Normal"/>
        <w:rPr/>
      </w:pPr>
      <w:r>
        <w:rPr/>
        <w:t xml:space="preserve">En la revisión se puede identificar que las técnicas de SLD han sido empleadas en diferentes escenarios, entre los que se destacan la gestión de ventas </w:t>
      </w:r>
      <w:r>
        <w:fldChar w:fldCharType="begin"/>
      </w:r>
      <w:r>
        <w:instrText>ADDIN ZOTERO_ITEM CSL_CITATION {"citationID":"RLT9KKGa","properties":{"formattedCitation":"(Kacprzyk y Strykowski 1999)","plainCitation":"(Kacprzyk y Strykowski 1999)","noteIndex":0},"citationItems":[{"id":"NJclqhNX/f5cwgFPZ","uris":["http://zotero.org/users/local/rsuvzjK6/items/82TIG4HA"],"uri":["http://zotero.org/users/local/rsuvzjK6/items/82TIG4HA"],"itemData":{"id":3359,"type":"article-journal","abstract":"We present an implementation (as an add-in to the DBMS) of fuzzy linguistic summaries of sales data of a small-to-medium size computer retailer in Southern Poland. The system derives linguistic summaries exemplified by \"about a half of sales of accessories is in autumn\" or \"about 1/3 of sales of network elements is in the beginning of the year\". An inherent imprecision of natural language is accounted for by using elements of fuzzy logic, and to effectively and efficiently search the company's database, a genetic algorithm is employed. The fitting function represents a multiaspect measure of the quality of a linguistic summary. The results obtained turned out to be useful to the owner, and suggested some changes in sales policy, determining the staff size, negotiation of commissions, etc. A combination of fuzzy logic and a genetic algorithm proved to be effective, efficient and synergistic.","container-title":"Proceedings of the 1999 Congress on Evolutionary Computation-CEC99 (Cat. No. 99TH8406)","DOI":"10.1109/CEC.1999.782523","page":"937–943","title":"Linguistic summaries of sales data at a computer retailer via fuzzy logic and a genetic algorithm","volume":"2","author":[{"family":"Kacprzyk","given":"J"},{"family":"Strykowski","given":"P"}],"issued":{"date-parts":[["1999"]]}}}],"schema":"https://github.com/citation-style-language/schema/raw/master/csl-citation.json"}</w:instrText>
      </w:r>
      <w:r>
        <w:fldChar w:fldCharType="separate"/>
      </w:r>
      <w:bookmarkStart w:id="102" w:name="__Fieldmark__1910_2067855929"/>
      <w:r>
        <w:rPr/>
        <w:t>(</w:t>
      </w:r>
      <w:bookmarkStart w:id="103" w:name="__Fieldmark__1778_498839314"/>
      <w:r>
        <w:rPr/>
        <w:t>K</w:t>
      </w:r>
      <w:bookmarkStart w:id="104" w:name="__Fieldmark__1722_998588997"/>
      <w:r>
        <w:rPr/>
        <w:t>a</w:t>
      </w:r>
      <w:bookmarkStart w:id="105" w:name="__Fieldmark__3426_118561941"/>
      <w:r>
        <w:rPr/>
        <w:t>cprzyk y Strykowski 1999)</w:t>
      </w:r>
      <w:r>
        <w:rPr/>
      </w:r>
      <w:r>
        <w:fldChar w:fldCharType="end"/>
      </w:r>
      <w:bookmarkEnd w:id="102"/>
      <w:bookmarkEnd w:id="103"/>
      <w:bookmarkEnd w:id="104"/>
      <w:bookmarkEnd w:id="105"/>
      <w:r>
        <w:rPr/>
        <w:t xml:space="preserve">, análisis financiero </w:t>
      </w:r>
      <w:r>
        <w:fldChar w:fldCharType="begin"/>
      </w:r>
      <w:r>
        <w:instrText>ADDIN ZOTERO_ITEM CSL_CITATION {"citationID":"a167t4utg5o","properties":{"formattedCitation":"(Kacprzyk y Zadro\\uc0\\u380{}ny 2016a)","plainCitation":"(Kacprzyk y Zadrożny 2016a)","noteIndex":0},"citationItems":[{"id":3330,"uris":["http://zotero.org/users/local/EJ15hJE2/items/GKSSLAB9"],"uri":["http://zotero.org/users/local/EJ15hJE2/items/GKSSLAB9"],"itemData":{"id":3330,"type":"article-journal","abstract":"We present a novel approach to linguistic data summarization for numeric data, i.e., of the numbers to text type. Linguistic summarization is meant as a process of a comprehensive description of big and complex datasets via short statements in natural language. First, we briefly survey main developments in the traditional, well developed, and powerful approach to linguistic data summarization based on tools and techniques of natural language generation (NLG), notably due to Reiter and his collaborators. We indicate that this approach has a serious limitation on the representation and processing of imprecision that is characteristic for natural languages. We show that a fuzzy logic‐based approach to linguistic data summarization can be a simple yet efficient solution in this respect. We present the linguistic summaries represented by protoforms in the form of linguistically quantified propositions dealt with using tools and techniques of fuzzy logic to grasp an inherent imprecision of natural language. Such linguistic data summaries can provide a human user, whose only natural means of articulation and communication is natural language, with a simple yet effective and efficient means for the representation and manipulation of knowledge about processes and systems. We concentrate on the linguistic summarization of dynamic processes and systems, dealing with data represented as time series. We extend the basic, static data‐oriented concept of a linguistic data summary to the case of time series data, present various possible protoforms of linguistic summaries, and an analysis of their properties and ways of generation. We show two our own real applications of the new tools of linguistic summarization of time series, for the summarization of quotations of an investment (mutual) fund, and of Web server logs, to show the power of the tool. We also mention some other applications known from the literature. We conclude with some remarks on the strength of the linguistic summarization for broadly perceived data mining and knowledge discovery and some possible further research directions. WIREs Data Mining Knowl Discov 2016, 6:37–46. doi: 10.1002/widm.1175","container-title":"Wiley Interdisciplinary Reviews: Data Mining and Knowledge Discovery","DOI":"10.1002/widm.1175","issue":"1","page":"37–46","title":"Fuzzy logic-based linguistic summaries of time series: a powerful tool for discovering knowledge on time varying processes and systems under imprecision","volume":"6","author":[{"family":"Kacprzyk","given":"Janusz"},{"family":"Zadrożny","given":"Sławomir"}],"issued":{"date-parts":[["2016"]]}}}],"schema":"https://github.com/citation-style-language/schema/raw/master/csl-citation.json"}</w:instrText>
      </w:r>
      <w:r>
        <w:fldChar w:fldCharType="separate"/>
      </w:r>
      <w:bookmarkStart w:id="106" w:name="__Fieldmark__1925_2067855929"/>
      <w:r>
        <w:rPr/>
      </w:r>
      <w:r>
        <w:rPr>
          <w:szCs w:val="24"/>
        </w:rPr>
        <w:t>(</w:t>
      </w:r>
      <w:bookmarkStart w:id="107" w:name="__Fieldmark__1789_498839314"/>
      <w:r>
        <w:rPr>
          <w:szCs w:val="24"/>
        </w:rPr>
        <w:t>K</w:t>
      </w:r>
      <w:bookmarkStart w:id="108" w:name="__Fieldmark__1729_998588997"/>
      <w:r>
        <w:rPr>
          <w:szCs w:val="24"/>
        </w:rPr>
        <w:t>a</w:t>
      </w:r>
      <w:bookmarkStart w:id="109" w:name="__Fieldmark__3432_118561941"/>
      <w:r>
        <w:rPr>
          <w:szCs w:val="24"/>
        </w:rPr>
        <w:t>cprzyk y Zadrożny 2016a)</w:t>
      </w:r>
      <w:r>
        <w:rPr/>
      </w:r>
      <w:r>
        <w:fldChar w:fldCharType="end"/>
      </w:r>
      <w:bookmarkEnd w:id="106"/>
      <w:bookmarkEnd w:id="107"/>
      <w:bookmarkEnd w:id="108"/>
      <w:bookmarkEnd w:id="109"/>
      <w:r>
        <w:rPr/>
        <w:t xml:space="preserve">, la salud </w:t>
      </w:r>
      <w:r>
        <w:fldChar w:fldCharType="begin"/>
      </w:r>
      <w:r>
        <w:instrText>ADDIN ZOTERO_ITEM CSL_CITATION {"citationID":"PWluWs8P","properties":{"formattedCitation":"(Wilbik et\\uc0\\u160{}al. 2018)","plainCitation":"(Wilbik et al. 2018)","noteIndex":0},"citationItems":[{"id":"NJclqhNX/FD4ZOc26","uris":["http://zotero.org/users/local/rsuvzjK6/items/DG2G3LYW"],"uri":["http://zotero.org/users/local/rsuvzjK6/items/DG2G3LYW"],"itemData":{"id":3270,"type":"paper-conference","abstract":"Clinical protocols are introduced in hospitals to standardize the care delivery process. Compliance is a measure used to determine whether the protocol has been followed. However compliance measures do not provide enough insight to be used in daily practice. In this paper we propose to use linguistic summaries to analyze the compliance to clinical protocols. As our case we examine a glucose management protocol at ICU. We will demonstrate that linguistic summaries can provide insight, that is actionable and comprehensible by the health-care providers.","container-title":"2018 IEEE International Conference on Fuzzy Systems (FUZZ-IEEE)","DOI":"10.1109/FUZZ-IEEE.2018.8491449","page":"1–7","title":"Linguistic Summaries for Compliance Analysis of a Glucose Management Clinical Protocol","author":[{"family":"Wilbik","given":"Anna"},{"family":"Vanderfeesten","given":"Irene"},{"family":"Bergmans","given":"Dennis"},{"family":"Heines","given":"Serge"},{"family":"Mook","given":"Walther","dropping-particle":"van"}],"issued":{"date-parts":[["2018",7]]}}}],"schema":"https://github.com/citation-style-language/schema/raw/master/csl-citation.json"}</w:instrText>
      </w:r>
      <w:r>
        <w:fldChar w:fldCharType="separate"/>
      </w:r>
      <w:bookmarkStart w:id="110" w:name="__Fieldmark__1940_2067855929"/>
      <w:r>
        <w:rPr/>
      </w:r>
      <w:r>
        <w:rPr>
          <w:szCs w:val="24"/>
        </w:rPr>
        <w:t>(</w:t>
      </w:r>
      <w:bookmarkStart w:id="111" w:name="__Fieldmark__1800_498839314"/>
      <w:r>
        <w:rPr>
          <w:szCs w:val="24"/>
        </w:rPr>
        <w:t>W</w:t>
      </w:r>
      <w:bookmarkStart w:id="112" w:name="__Fieldmark__1736_998588997"/>
      <w:r>
        <w:rPr>
          <w:szCs w:val="24"/>
        </w:rPr>
        <w:t>i</w:t>
      </w:r>
      <w:bookmarkStart w:id="113" w:name="__Fieldmark__3437_118561941"/>
      <w:r>
        <w:rPr>
          <w:szCs w:val="24"/>
        </w:rPr>
        <w:t>lbik et al. 2018)</w:t>
      </w:r>
      <w:r>
        <w:rPr/>
      </w:r>
      <w:r>
        <w:fldChar w:fldCharType="end"/>
      </w:r>
      <w:bookmarkEnd w:id="110"/>
      <w:bookmarkEnd w:id="111"/>
      <w:bookmarkEnd w:id="112"/>
      <w:bookmarkEnd w:id="113"/>
      <w:r>
        <w:rPr/>
        <w:t xml:space="preserve"> y el análisis de logs </w:t>
      </w:r>
      <w:r>
        <w:fldChar w:fldCharType="begin"/>
      </w:r>
      <w:r>
        <w:instrText>ADDIN ZOTERO_ITEM CSL_CITATION {"citationID":"BnAPbDGz","properties":{"formattedCitation":"(Kacprzyk y Zadro\\uc0\\u380{}ny 2016b)","plainCitation":"(Kacprzyk y Zadrożny 2016b)","noteIndex":0},"citationItems":[{"id":"NJclqhNX/TvrmL5pV","uris":["http://zotero.org/users/local/rsuvzjK6/items/76NQ7FM4"],"uri":["http://zotero.org/users/local/rsuvzjK6/items/76NQ7FM4"],"itemData":{"id":3402,"type":"article-journal","abstract":"Analyses of Web server logs may be very useful and are often needed for designers and analysts of computer networks who try to design and optimize the functioning of the systems, safeguard them against attacks, provide for the most effective and efficient access path for the users/customers, etc. Obviously, they are also an interesting research problem that can be viewed from many perspectives, ranging from just a general analyses to topic focused analyses that are aimed at just a specific aspect. In traditional approaches, various statistics are computed and used for analytic and design purposes. Sometimes, visualization tools are also employed. In this paper we present the use of verbalization of results of Web server log data analysis/mining through linguistic data summaries based on fuzzy logic with linguistic quantifiers. Linguistic summaries of both static and dynamic analyses are presented, with an emphasis on the latter. We extend our previous works by employing as an aggregation tool the Ordered Weighted Averaging (OWA) operators due to Yager [52]. We present some examples of potentially interesting linguistic summaries of Web server logs, and indicate their possible assignment to different classes.","container-title":"Fuzzy Sets and Systems","DOI":"10.1016/j.fss.2015.07.020","page":"182–198","title":"Linguistic summarization of the contents of Web server logs via the Ordered Weighted Averaging (OWA) operators","volume":"285","author":[{"family":"Kacprzyk","given":"Janusz"},{"family":"Zadrożny","given":"Sławomir"}],"issued":{"date-parts":[["2016"]]}}}],"schema":"https://github.com/citation-style-language/schema/raw/master/csl-citation.json"}</w:instrText>
      </w:r>
      <w:r>
        <w:fldChar w:fldCharType="separate"/>
      </w:r>
      <w:bookmarkStart w:id="114" w:name="__Fieldmark__1955_2067855929"/>
      <w:r>
        <w:rPr/>
      </w:r>
      <w:r>
        <w:rPr>
          <w:szCs w:val="24"/>
        </w:rPr>
        <w:t>(</w:t>
      </w:r>
      <w:bookmarkStart w:id="115" w:name="__Fieldmark__1811_498839314"/>
      <w:r>
        <w:rPr>
          <w:szCs w:val="24"/>
        </w:rPr>
        <w:t>K</w:t>
      </w:r>
      <w:bookmarkStart w:id="116" w:name="__Fieldmark__1743_998588997"/>
      <w:r>
        <w:rPr>
          <w:szCs w:val="24"/>
        </w:rPr>
        <w:t>a</w:t>
      </w:r>
      <w:bookmarkStart w:id="117" w:name="__Fieldmark__3442_118561941"/>
      <w:r>
        <w:rPr>
          <w:szCs w:val="24"/>
        </w:rPr>
        <w:t>cprzyk y Zadrożny 2016b)</w:t>
      </w:r>
      <w:r>
        <w:rPr/>
      </w:r>
      <w:r>
        <w:fldChar w:fldCharType="end"/>
      </w:r>
      <w:bookmarkEnd w:id="114"/>
      <w:bookmarkEnd w:id="115"/>
      <w:bookmarkEnd w:id="116"/>
      <w:bookmarkEnd w:id="117"/>
      <w:r>
        <w:rPr/>
        <w:t>, en este sentido se identifican los siguientes elementos:</w:t>
      </w:r>
    </w:p>
    <w:p>
      <w:pPr>
        <w:pStyle w:val="ListParagraph"/>
        <w:numPr>
          <w:ilvl w:val="0"/>
          <w:numId w:val="81"/>
        </w:numPr>
        <w:ind w:left="567" w:hanging="360"/>
        <w:rPr/>
      </w:pPr>
      <w:r>
        <w:rPr>
          <w:lang w:val="es-ES"/>
        </w:rPr>
        <w:t>L</w:t>
      </w:r>
      <w:r>
        <w:rPr/>
        <w:t xml:space="preserve">os entornos de toma de decisiones donde se han aplicado </w:t>
      </w:r>
      <w:r>
        <w:rPr>
          <w:lang w:val="es-ES"/>
        </w:rPr>
        <w:t>estas técnicas</w:t>
      </w:r>
      <w:r>
        <w:rPr/>
        <w:t>, se caracterizan por ser entornos bajo incertidumbre</w:t>
      </w:r>
      <w:r>
        <w:rPr>
          <w:rStyle w:val="FootnoteAnchor"/>
        </w:rPr>
        <w:footnoteReference w:id="4"/>
      </w:r>
      <w:r>
        <w:rPr/>
        <w:t xml:space="preserve"> con presencia de fenómenos como: ambigüedad, indeterminación</w:t>
      </w:r>
      <w:r>
        <w:rPr>
          <w:lang w:val="es-ES"/>
        </w:rPr>
        <w:t xml:space="preserve"> o </w:t>
      </w:r>
      <w:r>
        <w:rPr/>
        <w:t xml:space="preserve">imprecisión </w:t>
      </w:r>
      <w:r>
        <w:fldChar w:fldCharType="begin"/>
      </w:r>
      <w:r>
        <w:instrText>ADDIN ZOTERO_ITEM CSL_CITATION {"citationID":"a2k4f1n0jb","properties":{"formattedCitation":"(Garc\\uc0\\u237{}a et\\uc0\\u160{}al. 2017)","plainCitation":"(García et al. 2017)","noteIndex":0},"citationItems":[{"id":2651,"uris":["http://zotero.org/users/local/EJ15hJE2/items/CRWUCLT7"],"uri":["http://zotero.org/users/local/EJ15hJE2/items/CRWUCLT7"],"itemData":{"id":2651,"type":"article-journal","abstract":"Project monitoring and control by using key performance indicators has become a widespread method for decision-making in project-oriented organizations. However, the current schools and IT tools created for this purpose require an upgrade in design due to imprecision, vagueness or uncertainty present in the raw data and changing conditions in management...","container-title":"International Journal of Computational Intelligence Systems","DOI":"10.2991/ijcis.2017.10.1.22","ISSN":"1875-6883","issue":"1","language":"en","page":"320–335","title":"Project Control and Computational Intelligence: Trends and Challenges","title-short":"Project Control and Computational Intelligence","volume":"10","author":[{"family":"García","given":"José Alejandro Lugo"},{"family":"Peña","given":"Anié Bermudez"},{"family":"Piñero Pérez","given":"Pedro Yobanis"},{"family":"Pérez","given":"Rafael Bello"}],"issued":{"date-parts":[["2017"]]}}}],"schema":"https://github.com/citation-style-language/schema/raw/master/csl-citation.json"}</w:instrText>
      </w:r>
      <w:r>
        <w:fldChar w:fldCharType="separate"/>
      </w:r>
      <w:bookmarkStart w:id="118" w:name="__Fieldmark__1993_2067855929"/>
      <w:r>
        <w:rPr/>
      </w:r>
      <w:r>
        <w:rPr>
          <w:szCs w:val="24"/>
        </w:rPr>
        <w:t>(García et al. 2017)</w:t>
      </w:r>
      <w:bookmarkStart w:id="119" w:name="__Fieldmark__1842_498839314"/>
      <w:bookmarkStart w:id="120" w:name="__Fieldmark__3467_118561941"/>
      <w:bookmarkStart w:id="121" w:name="__Fieldmark__1770_998588997"/>
      <w:bookmarkEnd w:id="119"/>
      <w:bookmarkEnd w:id="120"/>
      <w:bookmarkEnd w:id="121"/>
      <w:r>
        <w:rPr/>
      </w:r>
      <w:r>
        <w:fldChar w:fldCharType="end"/>
      </w:r>
      <w:bookmarkEnd w:id="118"/>
      <w:r>
        <w:rPr>
          <w:szCs w:val="24"/>
        </w:rPr>
        <w:t xml:space="preserve">. Sin embargo, en las técnicas reportadas en la bibliografía se aprecia que solo analizan el grado de certeza en la información obviando el tratamiento de la indeterminación o la falsedad.   </w:t>
      </w:r>
    </w:p>
    <w:p>
      <w:pPr>
        <w:pStyle w:val="ListParagraph"/>
        <w:numPr>
          <w:ilvl w:val="0"/>
          <w:numId w:val="81"/>
        </w:numPr>
        <w:ind w:left="567" w:hanging="360"/>
        <w:rPr/>
      </w:pPr>
      <w:r>
        <w:rPr>
          <w:szCs w:val="24"/>
          <w:lang w:val="es-ES"/>
        </w:rPr>
        <w:t xml:space="preserve">La </w:t>
      </w:r>
      <w:r>
        <w:rPr>
          <w:szCs w:val="24"/>
        </w:rPr>
        <w:t xml:space="preserve">mayoría de los algoritmos reportados en la bibliografía se concentran en la construcción de resúmenes que reflejen comportamientos frecuentes en los datos, </w:t>
      </w:r>
      <w:r>
        <w:rPr>
          <w:szCs w:val="24"/>
          <w:lang w:val="es-ES"/>
        </w:rPr>
        <w:t xml:space="preserve">pero </w:t>
      </w:r>
      <w:r>
        <w:rPr>
          <w:szCs w:val="24"/>
        </w:rPr>
        <w:t xml:space="preserve">no </w:t>
      </w:r>
      <w:r>
        <w:rPr>
          <w:szCs w:val="24"/>
          <w:lang w:val="es-ES"/>
        </w:rPr>
        <w:t xml:space="preserve">los </w:t>
      </w:r>
      <w:r>
        <w:rPr>
          <w:szCs w:val="24"/>
        </w:rPr>
        <w:t xml:space="preserve">de baja frecuencia. </w:t>
      </w:r>
      <w:r>
        <w:rPr>
          <w:lang w:val="es-ES"/>
        </w:rPr>
        <w:t xml:space="preserve">Esto afecta su aplicabilidad en entornos donde se necesite detectar datos anómalos como detección de fraudes en aseguramiento de ingresos, detección de errores </w:t>
      </w:r>
      <w:r>
        <w:rPr/>
        <w:t xml:space="preserve">en la planificación de proyectos </w:t>
      </w:r>
      <w:r>
        <w:fldChar w:fldCharType="begin"/>
      </w:r>
      <w:r>
        <w:instrText>ADDIN ZOTERO_ITEM CSL_CITATION {"citationID":"afidr52qm9","properties":{"formattedCitation":"(Castro Aguilar 2017)","plainCitation":"(Castro Aguilar 2017)","noteIndex":0},"citationItems":[{"id":"NJclqhNX/FJ27pKB2","uris":["http://zotero.org/users/local/rsuvzjK6/items/NUCICDAI"],"uri":["http://zotero.org/users/local/rsuvzjK6/items/NUCICDAI"],"itemData":{"id":3493,"type":"thesis","abstract":"El incremento de la competitividad en los mercados globales ha provocado la necesidad de mejoras en las organizaciones orientadas a proyectos, dirigidas a mejorar la salud financiera y los ingresos de las mismas. En este contexto, surge el aseguramiento de ingresos, como un campo interdisciplinar que combina técnicas de estadística, bases de datos, soft computing y minería de datos anómalos, orientado a la reducción de los costos y la maximización de los ingresos en las organizaciones que los apliquen. Se propone en este trabajo un modelo para el aseguramiento de ingresos para organizaciones orientadas a proyectos, que permita la detección de errores de planificación y la maximización de los ingresos durante el desarrollo de proyectos. Como parte de la novedad del trabajo el modelo propuesto combina técnicas de gestión de riesgos, alcance, tiempo, minería de datos anómalos y técnicas de soft computing. En el trabajo se realizan pruebas de validación cruzada comparando diferentes técnicas, para la detección de situaciones anómalas, en la planificación de los proyectos. En la comparación se emplean bases de datos de gestión de proyectos de desarrollo de soluciones informáticas. El modelo propuesto se introduce como un módulo en la plataforma para la dirección integrada de proyectos GESPRO y se presentan los resultados de su aplicación.","event-place":"La Habana, Cuba","genre":"Doctoral","language":"spa","note":"Accepted: 2019-05-20T19:52:00Z\npublisher: Universidad de las Ciencias Informaticas. Facultad-4.","publisher":"Universidad de las Ciencias Informáticas","publisher-place":"La Habana, Cuba","source":"repositorio.uci.cu","title":"Modelo para el aseguramiento de ingresos en organizaciones orientadas a proyectos basado en minería de datos anómalos","URL":"https://repositorio.uci.cu/jspui/handle/123456789/7933","author":[{"family":"Castro Aguilar","given":"Gilberto Fernando"}],"accessed":{"date-parts":[["2021",4,2]]},"issued":{"date-parts":[["2017"]]}}}],"schema":"https://github.com/citation-style-language/schema/raw/master/csl-citation.json"}</w:instrText>
      </w:r>
      <w:r>
        <w:fldChar w:fldCharType="separate"/>
      </w:r>
      <w:bookmarkStart w:id="122" w:name="__Fieldmark__2018_2067855929"/>
      <w:r>
        <w:rPr/>
        <w:t>(</w:t>
      </w:r>
      <w:bookmarkStart w:id="123" w:name="__Fieldmark__1862_498839314"/>
      <w:r>
        <w:rPr/>
        <w:t>C</w:t>
      </w:r>
      <w:bookmarkStart w:id="124" w:name="__Fieldmark__1787_998588997"/>
      <w:r>
        <w:rPr/>
        <w:t>a</w:t>
      </w:r>
      <w:bookmarkStart w:id="125" w:name="__Fieldmark__3484_118561941"/>
      <w:r>
        <w:rPr/>
        <w:t>stro Aguilar 2017)</w:t>
      </w:r>
      <w:r>
        <w:rPr/>
      </w:r>
      <w:r>
        <w:fldChar w:fldCharType="end"/>
      </w:r>
      <w:bookmarkEnd w:id="122"/>
      <w:bookmarkEnd w:id="123"/>
      <w:bookmarkEnd w:id="124"/>
      <w:bookmarkEnd w:id="125"/>
      <w:r>
        <w:rPr>
          <w:lang w:val="es-ES"/>
        </w:rPr>
        <w:t>, entre otros</w:t>
      </w:r>
      <w:r>
        <w:rPr/>
        <w:t>.</w:t>
      </w:r>
      <w:r>
        <w:rPr>
          <w:lang w:val="es-ES"/>
        </w:rPr>
        <w:t xml:space="preserve"> </w:t>
      </w:r>
    </w:p>
    <w:p>
      <w:pPr>
        <w:pStyle w:val="ListParagraph"/>
        <w:numPr>
          <w:ilvl w:val="0"/>
          <w:numId w:val="81"/>
        </w:numPr>
        <w:ind w:left="567" w:hanging="360"/>
        <w:rPr/>
      </w:pPr>
      <w:r>
        <w:rPr>
          <w:lang w:val="es-ES"/>
        </w:rPr>
        <w:t xml:space="preserve">A </w:t>
      </w:r>
      <w:r>
        <w:rPr/>
        <w:t>pesar de la alta aplicabilidad de la gestión de proyectos en dis</w:t>
      </w:r>
      <w:r>
        <w:rPr>
          <w:lang w:val="es-ES"/>
        </w:rPr>
        <w:t xml:space="preserve">ímiles </w:t>
      </w:r>
      <w:r>
        <w:rPr/>
        <w:t>sectores de la sociedad, hay pocas investigaciones de SLD en este contexto</w:t>
      </w:r>
      <w:r>
        <w:rPr>
          <w:lang w:val="es-ES"/>
        </w:rPr>
        <w:t xml:space="preserve">; lo cual es una de las </w:t>
      </w:r>
      <w:r>
        <w:rPr/>
        <w:t>motivaciones de esta investigación</w:t>
      </w:r>
      <w:r>
        <w:rPr>
          <w:lang w:val="es-ES"/>
        </w:rPr>
        <w:t>,</w:t>
      </w:r>
      <w:r>
        <w:rPr/>
        <w:t xml:space="preserve"> considerando que se dispone de un repositorio de bases de datos </w:t>
      </w:r>
      <w:r>
        <w:fldChar w:fldCharType="begin"/>
      </w:r>
      <w:r>
        <w:instrText>ADDIN ZOTERO_ITEM CSL_CITATION {"citationID":"a41craop5","properties":{"formattedCitation":"(Pi\\uc0\\u241{}ero et\\uc0\\u160{}al. 2019)","plainCitation":"(Piñero et al. 2019)","noteIndex":0},"citationItems":[{"id":"NJclqhNX/j2L6UaC9","uris":["http://zotero.org/users/local/rsuvzjK6/items/WYIWE43D"],"uri":["http://zotero.org/users/local/rsuvzjK6/items/WYIWE43D"],"itemData":{"id":2198,"type":"article-journal","container-title":"Revista Cubana de Ciencias Informáticas","ISSN":"2227-1899","issue":"1","page":"176–191","title":"Repositorio de datos para investigaciones en gestión de proyectos","volume":"13","author":[{"family":"Piñero","given":"Pedro"},{"family":"Pupo","given":"Iliana"},{"family":"Rivero Hechavarría","given":"Claudia Celeste"},{"family":"Rojas","given":"Clarisbel"},{"family":"Sosa","given":"Rosel"},{"family":"Torres","given":"Surayne"}],"issued":{"date-parts":[["2019"]]}}}],"schema":"https://github.com/citation-style-language/schema/raw/master/csl-citation.json"}</w:instrText>
      </w:r>
      <w:r>
        <w:fldChar w:fldCharType="separate"/>
      </w:r>
      <w:bookmarkStart w:id="126" w:name="__Fieldmark__2045_2067855929"/>
      <w:r>
        <w:rPr/>
      </w:r>
      <w:r>
        <w:rPr>
          <w:szCs w:val="24"/>
        </w:rPr>
        <w:t>(</w:t>
      </w:r>
      <w:bookmarkStart w:id="127" w:name="__Fieldmark__1884_498839314"/>
      <w:r>
        <w:rPr>
          <w:szCs w:val="24"/>
        </w:rPr>
        <w:t>P</w:t>
      </w:r>
      <w:bookmarkStart w:id="128" w:name="__Fieldmark__1805_998588997"/>
      <w:r>
        <w:rPr>
          <w:szCs w:val="24"/>
        </w:rPr>
        <w:t>i</w:t>
      </w:r>
      <w:bookmarkStart w:id="129" w:name="__Fieldmark__3504_118561941"/>
      <w:r>
        <w:rPr>
          <w:szCs w:val="24"/>
        </w:rPr>
        <w:t>ñero et al. 2019)</w:t>
      </w:r>
      <w:r>
        <w:rPr/>
      </w:r>
      <w:r>
        <w:fldChar w:fldCharType="end"/>
      </w:r>
      <w:bookmarkEnd w:id="126"/>
      <w:bookmarkEnd w:id="127"/>
      <w:bookmarkEnd w:id="128"/>
      <w:bookmarkEnd w:id="129"/>
      <w:r>
        <w:rPr>
          <w:lang w:val="es-ES"/>
        </w:rPr>
        <w:t xml:space="preserve"> que facilitan la </w:t>
      </w:r>
      <w:r>
        <w:rPr/>
        <w:t>validación de los resultados.</w:t>
      </w:r>
    </w:p>
    <w:p>
      <w:pPr>
        <w:pStyle w:val="Normal"/>
        <w:rPr/>
      </w:pPr>
      <w:r>
        <w:rPr>
          <w:lang w:val="en-US"/>
        </w:rPr>
        <w:t xml:space="preserve">También, se realizó un análisis respecto a la eficacia de los algoritmos para la generación de resúmenes lingüísticos. Entendiendo la eficacia como la </w:t>
      </w:r>
      <w:r>
        <w:rPr/>
        <w:t>capacidad de los algoritmos para generar resúmenes con calidad, interpretables y que faciliten la toma de decisiones bajo un enfoque multilingüe.</w:t>
      </w:r>
    </w:p>
    <w:p>
      <w:pPr>
        <w:pStyle w:val="Normal"/>
        <w:rPr/>
      </w:pPr>
      <w:r>
        <w:rPr/>
        <w:t xml:space="preserve">Como resultado de este análisis se identificó que la mayoría de los trabajos, se basan en el tratamiento simple de cadenas en idioma inglés </w:t>
      </w:r>
      <w:r>
        <w:fldChar w:fldCharType="begin"/>
      </w:r>
      <w:r>
        <w:instrText>ADDIN ZOTERO_ITEM CSL_CITATION {"citationID":"cEWIIb9H","properties":{"formattedCitation":"(Dijkman y Wilbik 2017)","plainCitation":"(Dijkman y Wilbik 2017)","noteIndex":0},"citationItems":[{"id":"NJclqhNX/tUNDshry","uris":["http://zotero.org/users/local/rsuvzjK6/items/8GWFVIKD"],"uri":["http://zotero.org/users/local/rsuvzjK6/items/8GWFVIKD"],"itemData":{"id":3297,"type":"article-journal","abstract":"The amount of data that is generated during the execution of a business process is growing. As a consequence it is increasingly hard to extract useful information from the large amount of data that is produced. Linguistic summarization helps to point business analysts in the direction of useful information, by verbalizing interesting patterns that exist in the data. In previous work we showed how linguistic summarization can be used to automatically generate diagnostic statements about event logs, such as ‘for most cases that contained the sequence ABC, the throughput time was long’. However, we also showed that our technique produced too many of these statements to be useful in a practical setting. Therefore this paper presents a novel technique for linguistic summarization of event logs, which generates linguistic summaries that are concise enough to be used in a practical setting, while at the same time enriching the summaries that are produced by also enabling conjunctive statements. The improved technique is based on pruning and clustering of linguistic summaries. We show that it can be used to reduce the number of summary statements 80–100% compared to previous work. In a survey among 51 practitioners, we found that practitioners consider linguistic summarization useful and easy to use and intend to use it if it were commercially available.","container-title":"Information Systems","DOI":"10.1016/j.is.2017.03.009","ISSN":"0306-4379","language":"en","page":"114–125","title":"Linguistic summarization of event logs – A practical approach","volume":"67","author":[{"family":"Dijkman","given":"Remco"},{"family":"Wilbik","given":"Anna"}],"issued":{"date-parts":[["2017",7]]}}}],"schema":"https://github.com/citation-style-language/schema/raw/master/csl-citation.json"}</w:instrText>
      </w:r>
      <w:r>
        <w:fldChar w:fldCharType="separate"/>
      </w:r>
      <w:bookmarkStart w:id="130" w:name="__Fieldmark__2067_2067855929"/>
      <w:r>
        <w:rPr/>
        <w:t>(</w:t>
      </w:r>
      <w:bookmarkStart w:id="131" w:name="__Fieldmark__1900_498839314"/>
      <w:r>
        <w:rPr/>
        <w:t>D</w:t>
      </w:r>
      <w:bookmarkStart w:id="132" w:name="__Fieldmark__1817_998588997"/>
      <w:r>
        <w:rPr/>
        <w:t>i</w:t>
      </w:r>
      <w:bookmarkStart w:id="133" w:name="__Fieldmark__3529_118561941"/>
      <w:r>
        <w:rPr/>
        <w:t>jkman y Wilbik 2017)</w:t>
      </w:r>
      <w:r>
        <w:rPr/>
      </w:r>
      <w:r>
        <w:fldChar w:fldCharType="end"/>
      </w:r>
      <w:bookmarkEnd w:id="130"/>
      <w:bookmarkEnd w:id="131"/>
      <w:bookmarkEnd w:id="132"/>
      <w:bookmarkEnd w:id="133"/>
      <w:r>
        <w:rPr/>
        <w:t xml:space="preserve"> </w:t>
      </w:r>
      <w:r>
        <w:fldChar w:fldCharType="begin"/>
      </w:r>
      <w:r>
        <w:instrText>ADDIN ZOTERO_ITEM CSL_CITATION {"citationID":"ZuVlgNmG","properties":{"formattedCitation":"(Mar\\uc0\\u237{}n y S\\uc0\\u225{}nchez 2016)","plainCitation":"(Marín y Sánchez 2016)","noteIndex":0},"citationItems":[{"id":"NJclqhNX/sykFdGBG","uris":["http://zotero.org/users/local/rsuvzjK6/items/U4ZLPM3D"],"uri":["http://zotero.org/users/local/rsuvzjK6/items/U4ZLPM3D"],"itemData":{"id":3381,"type":"article-journal","abstract":"In this paper we provide a general approach for the concepts and processes related to the generation of linguistic descriptions of time series. As we will see, this approach consists of two main tasks, namely, a knowledge extraction task, which can be seen as a Knowledge Discovery in Databases (KDD) procedure, and a linguistic expression process. The presented approach incorporates as a core element a description model, which is based on three pillars: a knowledge representation formalism, an expression language, and a quality framework. In the paper, we also analyze the main tools and techniques that can be used regarding the mentioned tasks and pillars of the generation of linguistic descriptions of time series. Additionally, we provide a deep review of the main contributions in the area, which come mainly from the fields of Natural Language Generation (NLG) and Fuzzy Sets and Systems. The existing and potential contributions of fuzzy sets and extensions are discussed in detail. Together with the application of KDD techniques, we encourage the cooperation of the Fuzzy Sets and the NLG communities in order to provide a significant step forward in the development of systems for providing linguistic descriptions of time series data.","container-title":"Fuzzy Sets and Systems","DOI":"10.1016/j.fss.2015.04.014","page":"6–30","title":"On generating linguistic descriptions of time series","volume":"285","author":[{"family":"Marín","given":"Nicolás"},{"family":"Sánchez","given":"Daniel"}],"issued":{"date-parts":[["2016"]]}}}],"schema":"https://github.com/citation-style-language/schema/raw/master/csl-citation.json"}</w:instrText>
      </w:r>
      <w:r>
        <w:fldChar w:fldCharType="separate"/>
      </w:r>
      <w:bookmarkStart w:id="134" w:name="__Fieldmark__2082_2067855929"/>
      <w:r>
        <w:rPr/>
      </w:r>
      <w:r>
        <w:rPr>
          <w:szCs w:val="24"/>
        </w:rPr>
        <w:t>(</w:t>
      </w:r>
      <w:bookmarkStart w:id="135" w:name="__Fieldmark__1911_498839314"/>
      <w:r>
        <w:rPr>
          <w:szCs w:val="24"/>
        </w:rPr>
        <w:t>M</w:t>
      </w:r>
      <w:bookmarkStart w:id="136" w:name="__Fieldmark__1824_998588997"/>
      <w:r>
        <w:rPr>
          <w:szCs w:val="24"/>
        </w:rPr>
        <w:t>a</w:t>
      </w:r>
      <w:bookmarkStart w:id="137" w:name="__Fieldmark__3534_118561941"/>
      <w:r>
        <w:rPr>
          <w:szCs w:val="24"/>
        </w:rPr>
        <w:t>rín y Sánchez 2016)</w:t>
      </w:r>
      <w:r>
        <w:rPr/>
      </w:r>
      <w:r>
        <w:fldChar w:fldCharType="end"/>
      </w:r>
      <w:bookmarkEnd w:id="134"/>
      <w:bookmarkEnd w:id="135"/>
      <w:bookmarkEnd w:id="136"/>
      <w:bookmarkEnd w:id="137"/>
      <w:r>
        <w:rPr>
          <w:lang w:val="en-US"/>
        </w:rPr>
        <w:t xml:space="preserve"> </w:t>
      </w:r>
      <w:r>
        <w:fldChar w:fldCharType="begin"/>
      </w:r>
      <w:r>
        <w:instrText>ADDIN ZOTERO_ITEM CSL_CITATION {"citationID":"zXkQkvzj","properties":{"formattedCitation":"(Ramos-Soto y Martin-Rodillab 2019)","plainCitation":"(Ramos-Soto y Martin-Rodillab 2019)","noteIndex":0},"citationItems":[{"id":"NJclqhNX/pcBT0Go8","uris":["http://zotero.org/users/local/rsuvzjK6/items/2C5NWUAX"],"uri":["http://zotero.org/users/local/rsuvzjK6/items/2C5NWUAX"],"itemData":{"id":3288,"type":"article-journal","abstract":"One of the current limitations of fuzzy linguistic descriptions of data is the lack of diversity of protoforms that can be used to linguistically summarize data. Despite an important effort in providing protoforms with improved semantics that are applicable to time series data or specific application domains, type-I and type-II fuzzy quantified sentences are still predominant in the literature. In this context, we propose a different approach for defining new types of protoforms. Instead of understanding protoforms as individual primitives, our proposal draws inspiration from Rhetorical Structure Theory to provide a framework that allows to define new types of complex protoforms based on semantic relations among simpler protoforms. Based on this framework, we propose an initial taxonomy of relations among protoforms and provide an illustrative use case based on real data and evaluated by human users.","container-title":"Fuzzy Sets and Systems","DOI":"10.1016/j.fss.2019.11.013","page":"26","title":"Enriching linguistic descriptions of data: A framework for composite protoforms","author":[{"family":"Ramos-Soto","given":"A."},{"family":"Martin-Rodillab","given":"P."}],"issued":{"date-parts":[["2019"]]}}}],"schema":"https://github.com/citation-style-language/schema/raw/master/csl-citation.json"}</w:instrText>
      </w:r>
      <w:r>
        <w:fldChar w:fldCharType="separate"/>
      </w:r>
      <w:bookmarkStart w:id="138" w:name="__Fieldmark__2097_2067855929"/>
      <w:r>
        <w:rPr>
          <w:lang w:val="en-US"/>
        </w:rPr>
        <w:t>(</w:t>
      </w:r>
      <w:bookmarkStart w:id="139" w:name="__Fieldmark__1922_498839314"/>
      <w:r>
        <w:rPr>
          <w:lang w:val="en-US"/>
        </w:rPr>
        <w:t>R</w:t>
      </w:r>
      <w:bookmarkStart w:id="140" w:name="__Fieldmark__1831_998588997"/>
      <w:r>
        <w:rPr>
          <w:lang w:val="en-US"/>
        </w:rPr>
        <w:t>a</w:t>
      </w:r>
      <w:bookmarkStart w:id="141" w:name="__Fieldmark__3539_118561941"/>
      <w:r>
        <w:rPr>
          <w:lang w:val="en-US"/>
        </w:rPr>
        <w:t>mos-Soto y Martin-Rodillab 2019)</w:t>
      </w:r>
      <w:r>
        <w:rPr>
          <w:lang w:val="en-US"/>
        </w:rPr>
      </w:r>
      <w:r>
        <w:fldChar w:fldCharType="end"/>
      </w:r>
      <w:bookmarkEnd w:id="138"/>
      <w:bookmarkEnd w:id="139"/>
      <w:bookmarkEnd w:id="140"/>
      <w:bookmarkEnd w:id="141"/>
      <w:r>
        <w:rPr/>
        <w:t xml:space="preserve">. Esta situación afecta la eficacia de los algoritmos para la generación de los resúmenes respecto a su interpretabilidad y presentación en múltiples idiomas. Se identifican en la bibliografía tres enfoques fundamentales para la generación de resúmenes lingüísticos: </w:t>
      </w:r>
    </w:p>
    <w:p>
      <w:pPr>
        <w:pStyle w:val="ListParagraph"/>
        <w:numPr>
          <w:ilvl w:val="0"/>
          <w:numId w:val="82"/>
        </w:numPr>
        <w:ind w:left="426" w:hanging="284"/>
        <w:rPr/>
      </w:pPr>
      <w:r>
        <w:rPr>
          <w:lang w:val="es-ES"/>
        </w:rPr>
        <w:t>E</w:t>
      </w:r>
      <w:r>
        <w:rPr/>
        <w:t xml:space="preserve">xtensiones a lenguajes de consultas de bases de datos </w:t>
      </w:r>
      <w:r>
        <w:fldChar w:fldCharType="begin"/>
      </w:r>
      <w:r>
        <w:instrText>ADDIN ZOTERO_ITEM CSL_CITATION {"citationID":"ahbh0gigiq","properties":{"formattedCitation":"(Kacprzyk, J. y Zadro\\uc0\\u380{}ny 2005)","plainCitation":"(Kacprzyk, J. y Zadrożny 2005)","noteIndex":0},"citationItems":[{"id":92,"uris":["http://zotero.org/users/local/EJ15hJE2/items/5NJU8UWN"],"uri":["http://zotero.org/users/local/EJ15hJE2/items/5NJU8UWN"],"itemData":{"id":92,"type":"chapter","abstract":"16.5 Concluding RemarksIn this chapter we have presented an interactive, fuzzy logic based approach to the linguistic summarization of databases, and have advocated it as a means to obtain human consistent summaries of (large) sets of data. Such “raw” sets of data are incomprehensible by the human being, while they linguistic summaries are easily comprehensible. Our intention was to show it as an example of a simple inexpensive information technology that can be implementable even in small companies, and is easily adaptable to varying needs of the users, their preferences, profiles, and proficiency.Moreover, through the use of Zadeh’s computing with words and perceptions paradigm, and of protoforms we have attained the above characteristics to a higher extent and at a lower cost and effort.","collection-title":"Studies in Fuzziness and Soft Computing","container-title":"Do Smart Adaptive Systems Exist? Best Practice for Selection and Combination of Intelligent Methods","event-place":"Berlin, Heidelberg","ISBN":"978-3-540-32374-7","language":"en","note":"DOI: 10.1007/3-540-32374-0_16","page":"321–340","publisher":"Springer","publisher-place":"Berlin, Heidelberg","title":"Fuzzy linguistic data summaries as a human consistent, user adaptable solution to data mining","URL":"https://doi.org/10.1007/3-540-32374-0_16","author":[{"family":"Kacprzyk","given":"J."},{"family":"Zadrożny","given":"S."}],"editor":[{"family":"Gabrys","given":"Bogdan"},{"family":"Leiviskä","given":"Kauko"},{"family":"Strackeljan","given":"Jens"}],"accessed":{"date-parts":[["2020",1,10]]},"issued":{"date-parts":[["2005"]]}}}],"schema":"https://github.com/citation-style-language/schema/raw/master/csl-citation.json"}</w:instrText>
      </w:r>
      <w:r>
        <w:fldChar w:fldCharType="separate"/>
      </w:r>
      <w:bookmarkStart w:id="142" w:name="__Fieldmark__2116_2067855929"/>
      <w:r>
        <w:rPr/>
      </w:r>
      <w:r>
        <w:rPr>
          <w:szCs w:val="24"/>
        </w:rPr>
        <w:t>(</w:t>
      </w:r>
      <w:bookmarkStart w:id="143" w:name="__Fieldmark__1936_498839314"/>
      <w:r>
        <w:rPr>
          <w:szCs w:val="24"/>
        </w:rPr>
        <w:t>K</w:t>
      </w:r>
      <w:bookmarkStart w:id="144" w:name="__Fieldmark__1841_998588997"/>
      <w:r>
        <w:rPr>
          <w:szCs w:val="24"/>
        </w:rPr>
        <w:t>a</w:t>
      </w:r>
      <w:bookmarkStart w:id="145" w:name="__Fieldmark__3560_118561941"/>
      <w:r>
        <w:rPr>
          <w:szCs w:val="24"/>
        </w:rPr>
        <w:t>cprzyk, J. y Zadrożny 2005)</w:t>
      </w:r>
      <w:r>
        <w:rPr/>
      </w:r>
      <w:r>
        <w:fldChar w:fldCharType="end"/>
      </w:r>
      <w:bookmarkEnd w:id="142"/>
      <w:bookmarkEnd w:id="143"/>
      <w:bookmarkEnd w:id="144"/>
      <w:bookmarkEnd w:id="145"/>
      <w:r>
        <w:rPr>
          <w:lang w:val="es-ES"/>
        </w:rPr>
        <w:t>.</w:t>
      </w:r>
    </w:p>
    <w:p>
      <w:pPr>
        <w:pStyle w:val="ListParagraph"/>
        <w:numPr>
          <w:ilvl w:val="0"/>
          <w:numId w:val="82"/>
        </w:numPr>
        <w:ind w:left="426" w:hanging="284"/>
        <w:rPr/>
      </w:pPr>
      <w:r>
        <w:rPr>
          <w:lang w:val="es-ES"/>
        </w:rPr>
        <w:t>G</w:t>
      </w:r>
      <w:r>
        <w:rPr/>
        <w:t xml:space="preserve">eneración de resúmenes a partir del aprendizaje de reglas </w:t>
      </w:r>
      <w:r>
        <w:fldChar w:fldCharType="begin"/>
      </w:r>
      <w:r>
        <w:instrText>ADDIN ZOTERO_ITEM CSL_CITATION {"citationID":"Gne7I2z7","properties":{"formattedCitation":"(Wu y Mendel 2010)","plainCitation":"(Wu y Mendel 2010)","noteIndex":0},"citationItems":[{"id":"NJclqhNX/udaTmsY9","uris":["http://zotero.org/users/local/rsuvzjK6/items/JLYAPKUQ"],"uri":["http://zotero.org/users/local/rsuvzjK6/items/JLYAPKUQ"],"itemData":{"id":3352,"type":"article-journal","abstract":"Linguistic summarization (LS) is a data mining or knowledge discovery approach to extract patterns from databases. Many authors have used this technique to generate summaries like “Most senior workers have high salary,” which can be used to better understand and communicate about data; however, few of them have used it to generate IF-THEN rules like “IF X is large and Y is medium, THEN Z is small,” which not only facilitate understanding and communication of data but can also be used in decision-making. In this paper, an LS approach to generate IF-THEN rules for causal databases is proposed. Both type-1 and interval type-2 fuzzy sets are considered. Five quality measures-the degrees of truth, sufficient coverage, reliability, outlier, and simplicity-are defined. Among them, the degree of reliability is especially valuable for finding the most reliable and representative rules, and the degree of outlier can be used to identify outlier rules and data for close-up investigation. An improved parallel coordinates approach for visualizing the IF-THEN rules is also proposed. Experiments on two datasets demonstrate our LS and rule visualization approaches. Finally, the relationships between our LS approach and the Wang-Mendel (WM) method, perceptual reasoning, and granular computing are pointed out","container-title":"IEEE Transactions on Fuzzy Systems","DOI":"10.1109/TFUZZ.2010.2088128","ISSN":"1063-6706","issue":"1","page":"136–151","title":"Linguistic summarization using IF–THEN rules and interval type-2 fuzzy sets","volume":"19","author":[{"family":"Wu","given":"Dongrui"},{"family":"Mendel","given":"Jerry M"}],"issued":{"date-parts":[["2010"]]}}}],"schema":"https://github.com/citation-style-language/schema/raw/master/csl-citation.json"}</w:instrText>
      </w:r>
      <w:r>
        <w:fldChar w:fldCharType="separate"/>
      </w:r>
      <w:bookmarkStart w:id="146" w:name="__Fieldmark__2134_2067855929"/>
      <w:r>
        <w:rPr/>
        <w:t>(</w:t>
      </w:r>
      <w:bookmarkStart w:id="147" w:name="__Fieldmark__1950_498839314"/>
      <w:r>
        <w:rPr/>
        <w:t>W</w:t>
      </w:r>
      <w:bookmarkStart w:id="148" w:name="__Fieldmark__1851_998588997"/>
      <w:r>
        <w:rPr/>
        <w:t>u</w:t>
      </w:r>
      <w:bookmarkStart w:id="149" w:name="__Fieldmark__3568_118561941"/>
      <w:r>
        <w:rPr/>
        <w:t xml:space="preserve"> y Mendel 2010)</w:t>
      </w:r>
      <w:r>
        <w:rPr/>
      </w:r>
      <w:r>
        <w:fldChar w:fldCharType="end"/>
      </w:r>
      <w:bookmarkEnd w:id="146"/>
      <w:bookmarkEnd w:id="147"/>
      <w:bookmarkEnd w:id="148"/>
      <w:bookmarkEnd w:id="149"/>
      <w:r>
        <w:rPr>
          <w:lang w:val="es-ES"/>
        </w:rPr>
        <w:t>.</w:t>
      </w:r>
    </w:p>
    <w:p>
      <w:pPr>
        <w:pStyle w:val="ListParagraph"/>
        <w:numPr>
          <w:ilvl w:val="0"/>
          <w:numId w:val="82"/>
        </w:numPr>
        <w:ind w:left="426" w:hanging="284"/>
        <w:rPr/>
      </w:pPr>
      <w:r>
        <w:rPr>
          <w:lang w:val="es-ES"/>
        </w:rPr>
        <w:t>G</w:t>
      </w:r>
      <w:r>
        <w:rPr/>
        <w:t xml:space="preserve">eneración de resúmenes </w:t>
      </w:r>
      <w:r>
        <w:rPr>
          <w:lang w:val="es-ES"/>
        </w:rPr>
        <w:t xml:space="preserve">usando metaheurísticas </w:t>
      </w:r>
      <w:r>
        <w:fldChar w:fldCharType="begin"/>
      </w:r>
      <w:r>
        <w:instrText>ADDIN ZOTERO_ITEM CSL_CITATION {"citationID":"a6b5tfi9c4","properties":{"formattedCitation":"(Donis-D\\uc0\\u237{}az, Bello, et\\uc0\\u160{}al. 2014)","plainCitation":"(Donis-Díaz, Bello, et al. 2014)","noteIndex":0},"citationItems":[{"id":3149,"uris":["http://zotero.org/users/local/EJ15hJE2/items/T2JFREYY"],"uri":["http://zotero.org/users/local/EJ15hJE2/items/T2JFREYY"],"itemData":{"id":3149,"type":"article-journal","container-title":"Czasopismo Techniczne","DOI":"10.4467/2353737XCT.14.019.2602","issue":"Automatyka Zeszyt 2 AC (10) 2013","page":"3–12","title":"Linguistic data summarization using an enhanced genetic algorithm","volume":"2013","author":[{"family":"Donis-Díaz","given":"C. A."},{"family":"Bello","given":"Rafael"},{"family":"Kacprzyk","given":"Janusz"},{"literal":"others"}],"issued":{"date-parts":[["2014"]]}}}],"schema":"https://github.com/citation-style-language/schema/raw/master/csl-citation.json"}</w:instrText>
      </w:r>
      <w:r>
        <w:fldChar w:fldCharType="separate"/>
      </w:r>
      <w:bookmarkStart w:id="150" w:name="__Fieldmark__2154_2067855929"/>
      <w:r>
        <w:rPr>
          <w:lang w:val="es-ES"/>
        </w:rPr>
      </w:r>
      <w:r>
        <w:rPr>
          <w:rFonts w:cs="Arial"/>
          <w:szCs w:val="24"/>
          <w:lang w:val="es-ES"/>
        </w:rPr>
        <w:t>(</w:t>
      </w:r>
      <w:bookmarkStart w:id="151" w:name="__Fieldmark__1965_498839314"/>
      <w:r>
        <w:rPr>
          <w:rFonts w:cs="Arial"/>
          <w:szCs w:val="24"/>
          <w:lang w:val="es-ES"/>
        </w:rPr>
        <w:t>D</w:t>
      </w:r>
      <w:bookmarkStart w:id="152" w:name="__Fieldmark__1862_998588997"/>
      <w:r>
        <w:rPr>
          <w:rFonts w:cs="Arial"/>
          <w:szCs w:val="24"/>
          <w:lang w:val="es-ES"/>
        </w:rPr>
        <w:t>o</w:t>
      </w:r>
      <w:bookmarkStart w:id="153" w:name="__Fieldmark__3578_118561941"/>
      <w:r>
        <w:rPr>
          <w:rFonts w:cs="Arial"/>
          <w:szCs w:val="24"/>
          <w:lang w:val="es-ES"/>
        </w:rPr>
        <w:t>nis-Díaz, Bello, et al. 2014)</w:t>
      </w:r>
      <w:r>
        <w:rPr>
          <w:lang w:val="es-ES"/>
        </w:rPr>
      </w:r>
      <w:r>
        <w:fldChar w:fldCharType="end"/>
      </w:r>
      <w:bookmarkEnd w:id="150"/>
      <w:bookmarkEnd w:id="151"/>
      <w:bookmarkEnd w:id="152"/>
      <w:bookmarkEnd w:id="153"/>
      <w:r>
        <w:rPr>
          <w:lang w:val="es-ES"/>
        </w:rPr>
        <w:t>.</w:t>
      </w:r>
    </w:p>
    <w:p>
      <w:pPr>
        <w:pStyle w:val="Normal"/>
        <w:rPr>
          <w:lang w:val="en-US"/>
        </w:rPr>
      </w:pPr>
      <w:r>
        <w:rPr/>
        <w:t xml:space="preserve">Entre las limitaciones principales de los trabajos reportados en la bibliografía bajo estos enfoques se puede señalar que:  </w:t>
      </w:r>
    </w:p>
    <w:p>
      <w:pPr>
        <w:pStyle w:val="ListParagraph"/>
        <w:numPr>
          <w:ilvl w:val="0"/>
          <w:numId w:val="79"/>
        </w:numPr>
        <w:rPr/>
      </w:pPr>
      <w:r>
        <w:rPr/>
        <w:t xml:space="preserve">Los algoritmos reportados en la bibliografía tales como los basados en reglas </w:t>
      </w:r>
      <w:r>
        <w:fldChar w:fldCharType="begin"/>
      </w:r>
      <w:r>
        <w:instrText>ADDIN ZOTERO_ITEM CSL_CITATION {"citationID":"uUfT3CFs","properties":{"formattedCitation":"(Wu y Mendel 2010)","plainCitation":"(Wu y Mendel 2010)","noteIndex":0},"citationItems":[{"id":"NJclqhNX/udaTmsY9","uris":["http://zotero.org/users/local/rsuvzjK6/items/JLYAPKUQ"],"uri":["http://zotero.org/users/local/rsuvzjK6/items/JLYAPKUQ"],"itemData":{"id":3352,"type":"article-journal","abstract":"Linguistic summarization (LS) is a data mining or knowledge discovery approach to extract patterns from databases. Many authors have used this technique to generate summaries like “Most senior workers have high salary,” which can be used to better understand and communicate about data; however, few of them have used it to generate IF-THEN rules like “IF X is large and Y is medium, THEN Z is small,” which not only facilitate understanding and communication of data but can also be used in decision-making. In this paper, an LS approach to generate IF-THEN rules for causal databases is proposed. Both type-1 and interval type-2 fuzzy sets are considered. Five quality measures-the degrees of truth, sufficient coverage, reliability, outlier, and simplicity-are defined. Among them, the degree of reliability is especially valuable for finding the most reliable and representative rules, and the degree of outlier can be used to identify outlier rules and data for close-up investigation. An improved parallel coordinates approach for visualizing the IF-THEN rules is also proposed. Experiments on two datasets demonstrate our LS and rule visualization approaches. Finally, the relationships between our LS approach and the Wang-Mendel (WM) method, perceptual reasoning, and granular computing are pointed out","container-title":"IEEE Transactions on Fuzzy Systems","DOI":"10.1109/TFUZZ.2010.2088128","ISSN":"1063-6706","issue":"1","page":"136–151","title":"Linguistic summarization using IF–THEN rules and interval type-2 fuzzy sets","volume":"19","author":[{"family":"Wu","given":"Dongrui"},{"family":"Mendel","given":"Jerry M"}],"issued":{"date-parts":[["2010"]]}}}],"schema":"https://github.com/citation-style-language/schema/raw/master/csl-citation.json"}</w:instrText>
      </w:r>
      <w:r>
        <w:fldChar w:fldCharType="separate"/>
      </w:r>
      <w:bookmarkStart w:id="154" w:name="__Fieldmark__2173_2067855929"/>
      <w:r>
        <w:rPr/>
        <w:t>(</w:t>
      </w:r>
      <w:bookmarkStart w:id="155" w:name="__Fieldmark__1979_498839314"/>
      <w:r>
        <w:rPr/>
        <w:t>W</w:t>
      </w:r>
      <w:bookmarkStart w:id="156" w:name="__Fieldmark__1872_998588997"/>
      <w:r>
        <w:rPr/>
        <w:t>u</w:t>
      </w:r>
      <w:bookmarkStart w:id="157" w:name="__Fieldmark__3587_118561941"/>
      <w:r>
        <w:rPr/>
        <w:t xml:space="preserve"> y Mendel 2010)</w:t>
      </w:r>
      <w:r>
        <w:rPr/>
      </w:r>
      <w:r>
        <w:fldChar w:fldCharType="end"/>
      </w:r>
      <w:bookmarkEnd w:id="154"/>
      <w:bookmarkEnd w:id="155"/>
      <w:bookmarkEnd w:id="156"/>
      <w:bookmarkEnd w:id="157"/>
      <w:r>
        <w:rPr/>
        <w:t xml:space="preserve"> y en metaheurísticas</w:t>
      </w:r>
      <w:r>
        <w:rPr>
          <w:lang w:val="es-ES"/>
        </w:rPr>
        <w:t xml:space="preserve"> </w:t>
      </w:r>
      <w:r>
        <w:fldChar w:fldCharType="begin"/>
      </w:r>
      <w:r>
        <w:instrText>ADDIN ZOTERO_ITEM CSL_CITATION {"citationID":"a17dkngjgdu","properties":{"formattedCitation":"(Donis-D\\uc0\\u237{}az, Muro, et\\uc0\\u160{}al. 2014)","plainCitation":"(Donis-Díaz, Muro, et al. 2014)","noteIndex":0},"citationItems":[{"id":3152,"uris":["http://zotero.org/users/local/EJ15hJE2/items/AV3MBLF8"],"uri":["http://zotero.org/users/local/EJ15hJE2/items/AV3MBLF8"],"itemData":{"id":3152,"type":"article-journal","abstract":"A hybrid model of Genetic Algorithm (GA) with local search to discover linguistic summaries and its application into the creep data analysis is proposed in this paper. Two specifics operator and a called Diversity term in the fitness function are introduced by the model to guarantees summaries with high quality and a wide range of information respectively. The experiments show that the hybrid model improves the results compared to those obtained using the classical model of GA. The quality of the summaries was verified by the interpretation of some of them from the theoretical point of view.","container-title":"Expert Systems with Applications","DOI":"10.1016/j.eswa.2013.09.002","ISSN":"0957-4174","issue":"4, Part 2","language":"en","page":"2035–2042","title":"A hybrid model of genetic algorithm with local search to discover linguistic data summaries from creep data","volume":"41","author":[{"family":"Donis-Díaz","given":"C. A."},{"family":"Muro","given":"A. G."},{"family":"Bello-Pérez","given":"R."},{"family":"Morales","given":"E. V."}],"issued":{"date-parts":[["2014",3]]}}}],"schema":"https://github.com/citation-style-language/schema/raw/master/csl-citation.json"}</w:instrText>
      </w:r>
      <w:r>
        <w:fldChar w:fldCharType="separate"/>
      </w:r>
      <w:bookmarkStart w:id="158" w:name="__Fieldmark__2189_2067855929"/>
      <w:r>
        <w:rPr>
          <w:lang w:val="es-ES"/>
        </w:rPr>
      </w:r>
      <w:r>
        <w:rPr>
          <w:rFonts w:cs="Arial"/>
          <w:szCs w:val="24"/>
          <w:lang w:val="es-ES"/>
        </w:rPr>
        <w:t>(</w:t>
      </w:r>
      <w:bookmarkStart w:id="159" w:name="__Fieldmark__1991_498839314"/>
      <w:r>
        <w:rPr>
          <w:rFonts w:cs="Arial"/>
          <w:szCs w:val="24"/>
          <w:lang w:val="es-ES"/>
        </w:rPr>
        <w:t>D</w:t>
      </w:r>
      <w:bookmarkStart w:id="160" w:name="__Fieldmark__1880_998588997"/>
      <w:r>
        <w:rPr>
          <w:rFonts w:cs="Arial"/>
          <w:szCs w:val="24"/>
          <w:lang w:val="es-ES"/>
        </w:rPr>
        <w:t>o</w:t>
      </w:r>
      <w:bookmarkStart w:id="161" w:name="__Fieldmark__3593_118561941"/>
      <w:r>
        <w:rPr>
          <w:rFonts w:cs="Arial"/>
          <w:szCs w:val="24"/>
          <w:lang w:val="es-ES"/>
        </w:rPr>
        <w:t>nis-Díaz, Muro, et al. 2014)</w:t>
      </w:r>
      <w:r>
        <w:rPr>
          <w:lang w:val="es-ES"/>
        </w:rPr>
      </w:r>
      <w:r>
        <w:fldChar w:fldCharType="end"/>
      </w:r>
      <w:bookmarkEnd w:id="158"/>
      <w:bookmarkEnd w:id="159"/>
      <w:bookmarkEnd w:id="160"/>
      <w:bookmarkEnd w:id="161"/>
      <w:r>
        <w:rPr/>
        <w:t>, no explotan la información estadística asociada a la correlación entre las variables durante el proceso de búsqueda. Elemento que afecta la eficacia de los algoritmos porque pueden generar resúmenes candidatos que no tienen una representación real en los datos. En estos trabajos generalmente se incluyen etapas intermedias de limpieza de resúmenes candidatos.</w:t>
      </w:r>
    </w:p>
    <w:p>
      <w:pPr>
        <w:pStyle w:val="ListParagraph"/>
        <w:numPr>
          <w:ilvl w:val="0"/>
          <w:numId w:val="79"/>
        </w:numPr>
        <w:rPr/>
      </w:pPr>
      <w:r>
        <w:rPr/>
        <w:t xml:space="preserve">En las propuestas realizadas por </w:t>
      </w:r>
      <w:r>
        <w:fldChar w:fldCharType="begin"/>
      </w:r>
      <w:r>
        <w:instrText>ADDIN ZOTERO_ITEM CSL_CITATION {"citationID":"3GFkzzXR","properties":{"formattedCitation":"(Donis-D\\uc0\\u237{}az, Bello y Kacprzyk 2015)","plainCitation":"(Donis-Díaz, Bello y Kacprzyk 2015)","noteIndex":0},"citationItems":[{"id":"NJclqhNX/4naOJElr","uris":["http://zotero.org/users/local/rsuvzjK6/items/7DS66S9U"],"uri":["http://zotero.org/users/local/rsuvzjK6/items/7DS66S9U"],"itemData":{"id":3264,"type":"paper-conference","abstract":"Some models using metaheuristics based in an “improvement of solutions” procedure, specifically Genetic Algorithms (GA), have been proposed previously to the linguistic summarization of numerical data (LDS). In the present work is proposed a new model for LDS based in Ant Colony Optimization (ACO), a metaheuristic that use a “construction of solution” procedure. Both models are compared in LDS over creep data. Results show how the ACO based model overcomes the measures of goodness of the final summary but fails to improve the results of the GA based model in relation to the diversity of the summary. Features of both models are considered to explain the results.","collection-title":"Advances in Intelligent Systems and Computing","container-title":"Intelligent Systems'2014","DOI":"10.1007/978-3-319-11313-5_8","event-place":"Cham","ISBN":"978-3-319-11313-5","language":"en","page":"81–92","publisher":"Springer International Publishing","publisher-place":"Cham","title":"Using Ant Colony Optimization and Genetic Algorithms for the Linguistic Summarization of Creep Data","author":[{"family":"Donis-Díaz","given":"Carlos A."},{"family":"Bello","given":"Rafael"},{"family":"Kacprzyk","given":"Janusz"}],"editor":[{"family":"Angelov","given":"P."},{"family":"Atanassov","given":"K.T."},{"family":"Doukovska","given":"L."},{"family":"Hadjiski","given":"M."},{"family":"Jotsov","given":"V."},{"family":"Kacprzyk","given":"J."},{"family":"Kasabov","given":"N."},{"family":"Sotirov","given":"S."},{"family":"Szmidt","given":"E."},{"family":"Zadrożny","given":"S."}],"issued":{"date-parts":[["2015"]]}}}],"schema":"https://github.com/citation-style-language/schema/raw/master/csl-citation.json"}</w:instrText>
      </w:r>
      <w:r>
        <w:fldChar w:fldCharType="separate"/>
      </w:r>
      <w:bookmarkStart w:id="162" w:name="__Fieldmark__2208_2067855929"/>
      <w:r>
        <w:rPr/>
      </w:r>
      <w:r>
        <w:rPr>
          <w:szCs w:val="24"/>
        </w:rPr>
        <w:t>(</w:t>
      </w:r>
      <w:bookmarkStart w:id="163" w:name="__Fieldmark__2004_498839314"/>
      <w:r>
        <w:rPr>
          <w:szCs w:val="24"/>
        </w:rPr>
        <w:t>D</w:t>
      </w:r>
      <w:bookmarkStart w:id="164" w:name="__Fieldmark__1889_998588997"/>
      <w:r>
        <w:rPr>
          <w:szCs w:val="24"/>
        </w:rPr>
        <w:t>o</w:t>
      </w:r>
      <w:bookmarkStart w:id="165" w:name="__Fieldmark__3604_118561941"/>
      <w:r>
        <w:rPr>
          <w:szCs w:val="24"/>
        </w:rPr>
        <w:t>nis-Díaz, Bello y Kacprzyk 2015)</w:t>
      </w:r>
      <w:r>
        <w:rPr/>
      </w:r>
      <w:r>
        <w:fldChar w:fldCharType="end"/>
      </w:r>
      <w:bookmarkEnd w:id="162"/>
      <w:bookmarkEnd w:id="163"/>
      <w:bookmarkEnd w:id="164"/>
      <w:bookmarkEnd w:id="165"/>
      <w:r>
        <w:rPr/>
        <w:t xml:space="preserve"> se favorece la generación de resúmenes con cuantificadores “Muchos” y “La mayoría”, limitando la generación de resúmenes lingüísticos con otros cuantificadores. Este enfoque no facilita la identificación de situaciones con poca ocurrencia en la base de datos, afectando la eficacia de los algoritmos en la solución de problemas de detección de datos anómalos, tales como la detección de epidemias, de fallas, de aseguramiento de ingresos, entre otros.</w:t>
      </w:r>
    </w:p>
    <w:p>
      <w:pPr>
        <w:pStyle w:val="ListParagraph"/>
        <w:numPr>
          <w:ilvl w:val="0"/>
          <w:numId w:val="79"/>
        </w:numPr>
        <w:rPr/>
      </w:pPr>
      <w:r>
        <w:rPr/>
        <w:t xml:space="preserve">Las metaheurísticas reportadas en la bibliografía </w:t>
      </w:r>
      <w:r>
        <w:fldChar w:fldCharType="begin"/>
      </w:r>
      <w:r>
        <w:instrText>ADDIN ZOTERO_ITEM CSL_CITATION {"citationID":"Ck70Kcm2","properties":{"formattedCitation":"(Donis-D\\uc0\\u237{}az, Bello y Kacprzyk 2015)","plainCitation":"(Donis-Díaz, Bello y Kacprzyk 2015)","noteIndex":0},"citationItems":[{"id":"NJclqhNX/4naOJElr","uris":["http://zotero.org/users/local/rsuvzjK6/items/7DS66S9U"],"uri":["http://zotero.org/users/local/rsuvzjK6/items/7DS66S9U"],"itemData":{"id":3264,"type":"paper-conference","abstract":"Some models using metaheuristics based in an “improvement of solutions” procedure, specifically Genetic Algorithms (GA), have been proposed previously to the linguistic summarization of numerical data (LDS). In the present work is proposed a new model for LDS based in Ant Colony Optimization (ACO), a metaheuristic that use a “construction of solution” procedure. Both models are compared in LDS over creep data. Results show how the ACO based model overcomes the measures of goodness of the final summary but fails to improve the results of the GA based model in relation to the diversity of the summary. Features of both models are considered to explain the results.","collection-title":"Advances in Intelligent Systems and Computing","container-title":"Intelligent Systems'2014","DOI":"10.1007/978-3-319-11313-5_8","event-place":"Cham","ISBN":"978-3-319-11313-5","language":"en","page":"81–92","publisher":"Springer International Publishing","publisher-place":"Cham","title":"Using Ant Colony Optimization and Genetic Algorithms for the Linguistic Summarization of Creep Data","author":[{"family":"Donis-Díaz","given":"Carlos A."},{"family":"Bello","given":"Rafael"},{"family":"Kacprzyk","given":"Janusz"}],"editor":[{"family":"Angelov","given":"P."},{"family":"Atanassov","given":"K.T."},{"family":"Doukovska","given":"L."},{"family":"Hadjiski","given":"M."},{"family":"Jotsov","given":"V."},{"family":"Kacprzyk","given":"J."},{"family":"Kasabov","given":"N."},{"family":"Sotirov","given":"S."},{"family":"Szmidt","given":"E."},{"family":"Zadrożny","given":"S."}],"issued":{"date-parts":[["2015"]]}}}],"schema":"https://github.com/citation-style-language/schema/raw/master/csl-citation.json"}</w:instrText>
      </w:r>
      <w:r>
        <w:fldChar w:fldCharType="separate"/>
      </w:r>
      <w:bookmarkStart w:id="166" w:name="__Fieldmark__2227_2067855929"/>
      <w:r>
        <w:rPr/>
      </w:r>
      <w:r>
        <w:rPr>
          <w:szCs w:val="24"/>
        </w:rPr>
        <w:t>(</w:t>
      </w:r>
      <w:bookmarkStart w:id="167" w:name="__Fieldmark__2017_498839314"/>
      <w:r>
        <w:rPr>
          <w:szCs w:val="24"/>
        </w:rPr>
        <w:t>D</w:t>
      </w:r>
      <w:bookmarkStart w:id="168" w:name="__Fieldmark__1898_998588997"/>
      <w:r>
        <w:rPr>
          <w:szCs w:val="24"/>
        </w:rPr>
        <w:t>o</w:t>
      </w:r>
      <w:bookmarkStart w:id="169" w:name="__Fieldmark__3629_118561941"/>
      <w:r>
        <w:rPr>
          <w:szCs w:val="24"/>
        </w:rPr>
        <w:t>nis-Díaz, Bello y Kacprzyk 2015)</w:t>
      </w:r>
      <w:r>
        <w:rPr/>
      </w:r>
      <w:r>
        <w:fldChar w:fldCharType="end"/>
      </w:r>
      <w:bookmarkEnd w:id="166"/>
      <w:bookmarkEnd w:id="167"/>
      <w:bookmarkEnd w:id="168"/>
      <w:bookmarkEnd w:id="169"/>
      <w:r>
        <w:rPr/>
        <w:t xml:space="preserve"> tienen alto costo computacional, elemento que influye negativamente en la aplicabilidad de estos algoritmos en entornos </w:t>
      </w:r>
      <w:r>
        <w:rPr>
          <w:lang w:val="es-ES"/>
        </w:rPr>
        <w:t>reales</w:t>
      </w:r>
      <w:r>
        <w:rPr/>
        <w:t xml:space="preserve"> de toma de decisiones.</w:t>
      </w:r>
    </w:p>
    <w:p>
      <w:pPr>
        <w:pStyle w:val="Normal"/>
        <w:rPr/>
      </w:pPr>
      <w:r>
        <w:rPr>
          <w:szCs w:val="24"/>
        </w:rPr>
        <w:t xml:space="preserve">Respecto a los indicadores de calidad para la evaluación de los resúmenes se identifica que los más empleados son los descritos en </w:t>
      </w:r>
      <w:r>
        <w:fldChar w:fldCharType="begin"/>
      </w:r>
      <w:r>
        <w:instrText>ADDIN ZOTERO_ITEM CSL_CITATION {"citationID":"5YEg7FTp","properties":{"formattedCitation":"(Kacprzyk y Zadro\\uc0\\u380{}ny 2010)","plainCitation":"(Kacprzyk y Zadrożny 2010)","noteIndex":0},"citationItems":[{"id":"NJclqhNX/Uu1Bg6dA","uris":["http://zotero.org/users/local/rsuvzjK6/items/EXATEB4A"],"uri":["http://zotero.org/users/local/rsuvzjK6/items/EXATEB4A"],"itemData":{"id":7,"type":"chapter","title":"Linguistic data summarization: a high scalability through the use of natural language?","container-title":"Scalable Fuzzy Algorithms for Data Management and Analysis: Methods and Design","publisher":"IGI Global","page":"214–237","author":[{"family":"Kacprzyk","given":"Janusz"},{"family":"Zadrożny","given":"Slawomir"}],"issued":{"date-parts":[["2010"]]}}}],"schema":"https://github.com/citation-style-language/schema/raw/master/csl-citation.json"}</w:instrText>
      </w:r>
      <w:r>
        <w:fldChar w:fldCharType="separate"/>
      </w:r>
      <w:bookmarkStart w:id="170" w:name="__Fieldmark__2247_2067855929"/>
      <w:r>
        <w:rPr>
          <w:szCs w:val="24"/>
        </w:rPr>
        <w:t>(</w:t>
      </w:r>
      <w:bookmarkStart w:id="171" w:name="__Fieldmark__2032_498839314"/>
      <w:r>
        <w:rPr>
          <w:szCs w:val="24"/>
        </w:rPr>
        <w:t>K</w:t>
      </w:r>
      <w:bookmarkStart w:id="172" w:name="__Fieldmark__1909_998588997"/>
      <w:r>
        <w:rPr>
          <w:szCs w:val="24"/>
        </w:rPr>
        <w:t>a</w:t>
      </w:r>
      <w:bookmarkStart w:id="173" w:name="__Fieldmark__3643_118561941"/>
      <w:r>
        <w:rPr>
          <w:szCs w:val="24"/>
        </w:rPr>
        <w:t>cprzyk y Zadrożny 2010)</w:t>
      </w:r>
      <w:r>
        <w:rPr>
          <w:szCs w:val="24"/>
        </w:rPr>
      </w:r>
      <w:r>
        <w:fldChar w:fldCharType="end"/>
      </w:r>
      <w:bookmarkEnd w:id="170"/>
      <w:bookmarkEnd w:id="171"/>
      <w:bookmarkEnd w:id="172"/>
      <w:bookmarkEnd w:id="173"/>
      <w:r>
        <w:rPr/>
        <w:t xml:space="preserve">: </w:t>
      </w:r>
    </w:p>
    <w:p>
      <w:pPr>
        <w:pStyle w:val="ListParagraph"/>
        <w:numPr>
          <w:ilvl w:val="0"/>
          <w:numId w:val="61"/>
        </w:numPr>
        <w:rPr>
          <w:szCs w:val="24"/>
        </w:rPr>
      </w:pPr>
      <w:r>
        <w:rPr/>
        <w:t>El grado de verdad (</w:t>
      </w:r>
      <w:r>
        <w:rPr>
          <w:i/>
        </w:rPr>
        <w:t>T</w:t>
      </w:r>
      <w:r>
        <w:rPr>
          <w:vertAlign w:val="subscript"/>
        </w:rPr>
        <w:t>1</w:t>
      </w:r>
      <w:r>
        <w:rPr/>
        <w:t>)</w:t>
      </w:r>
      <w:r>
        <w:rPr>
          <w:lang w:val="es-ES"/>
        </w:rPr>
        <w:t>, el cual</w:t>
      </w:r>
      <w:r>
        <w:rPr/>
        <w:t xml:space="preserve"> mide el porcentaje de veracidad de un resumen respecto a los datos.</w:t>
      </w:r>
    </w:p>
    <w:p>
      <w:pPr>
        <w:pStyle w:val="ListParagraph"/>
        <w:numPr>
          <w:ilvl w:val="0"/>
          <w:numId w:val="61"/>
        </w:numPr>
        <w:rPr>
          <w:szCs w:val="24"/>
        </w:rPr>
      </w:pPr>
      <w:r>
        <w:rPr/>
        <w:t>El grado de imprecisión (</w:t>
      </w:r>
      <w:r>
        <w:rPr>
          <w:i/>
        </w:rPr>
        <w:t>T</w:t>
      </w:r>
      <w:r>
        <w:rPr>
          <w:vertAlign w:val="subscript"/>
        </w:rPr>
        <w:t>2</w:t>
      </w:r>
      <w:r>
        <w:rPr/>
        <w:t>)</w:t>
      </w:r>
      <w:r>
        <w:rPr>
          <w:lang w:val="es-ES"/>
        </w:rPr>
        <w:t xml:space="preserve">, </w:t>
      </w:r>
      <w:r>
        <w:rPr/>
        <w:t xml:space="preserve">criterio de validez </w:t>
      </w:r>
      <w:r>
        <w:rPr>
          <w:lang w:val="es-ES"/>
        </w:rPr>
        <w:t xml:space="preserve">que complementa el grado de verdad, </w:t>
      </w:r>
      <w:r>
        <w:rPr/>
        <w:t>pues un resumen lingüístico impreciso</w:t>
      </w:r>
      <w:r>
        <w:rPr>
          <w:lang w:val="es-ES"/>
        </w:rPr>
        <w:t>,</w:t>
      </w:r>
      <w:r>
        <w:rPr/>
        <w:t xml:space="preserve"> </w:t>
      </w:r>
      <w:r>
        <w:rPr>
          <w:lang w:val="es-ES"/>
        </w:rPr>
        <w:t xml:space="preserve">aunque tenga </w:t>
      </w:r>
      <w:r>
        <w:rPr/>
        <w:t>un alto grado de verdad</w:t>
      </w:r>
      <w:r>
        <w:rPr>
          <w:lang w:val="es-ES"/>
        </w:rPr>
        <w:t>,</w:t>
      </w:r>
      <w:r>
        <w:rPr/>
        <w:t xml:space="preserve"> no es muy útil</w:t>
      </w:r>
      <w:r>
        <w:rPr>
          <w:rFonts w:eastAsia="MS Mincho"/>
        </w:rPr>
        <w:t>.</w:t>
      </w:r>
    </w:p>
    <w:p>
      <w:pPr>
        <w:pStyle w:val="ListParagraph"/>
        <w:numPr>
          <w:ilvl w:val="0"/>
          <w:numId w:val="61"/>
        </w:numPr>
        <w:rPr>
          <w:szCs w:val="24"/>
        </w:rPr>
      </w:pPr>
      <w:r>
        <w:rPr>
          <w:szCs w:val="24"/>
          <w:lang w:val="es-ES"/>
        </w:rPr>
        <w:t>El g</w:t>
      </w:r>
      <w:r>
        <w:rPr>
          <w:szCs w:val="24"/>
        </w:rPr>
        <w:t xml:space="preserve">rado de cobertura </w:t>
      </w:r>
      <w:r>
        <w:rPr/>
        <w:t>(</w:t>
      </w:r>
      <w:r>
        <w:rPr>
          <w:i/>
        </w:rPr>
        <w:t>T</w:t>
      </w:r>
      <w:r>
        <w:rPr>
          <w:vertAlign w:val="subscript"/>
          <w:lang w:val="es-ES"/>
        </w:rPr>
        <w:t>3</w:t>
      </w:r>
      <w:r>
        <w:rPr/>
        <w:t>)</w:t>
      </w:r>
      <w:r>
        <w:rPr>
          <w:lang w:val="es-ES"/>
        </w:rPr>
        <w:t xml:space="preserve">, que </w:t>
      </w:r>
      <w:r>
        <w:rPr/>
        <w:t xml:space="preserve">indica cuántos objetos en la base de datos </w:t>
      </w:r>
      <w:r>
        <w:rPr>
          <w:lang w:val="es-ES"/>
        </w:rPr>
        <w:t>están cubiertos o representados por el resumen evaluado.</w:t>
      </w:r>
    </w:p>
    <w:p>
      <w:pPr>
        <w:pStyle w:val="ListParagraph"/>
        <w:numPr>
          <w:ilvl w:val="0"/>
          <w:numId w:val="61"/>
        </w:numPr>
        <w:rPr>
          <w:szCs w:val="24"/>
        </w:rPr>
      </w:pPr>
      <w:r>
        <w:rPr>
          <w:szCs w:val="24"/>
          <w:lang w:val="es-ES"/>
        </w:rPr>
        <w:t>El g</w:t>
      </w:r>
      <w:r>
        <w:rPr>
          <w:szCs w:val="24"/>
        </w:rPr>
        <w:t>rado de adecuación</w:t>
      </w:r>
      <w:r>
        <w:rPr>
          <w:szCs w:val="24"/>
          <w:lang w:val="es-ES"/>
        </w:rPr>
        <w:t xml:space="preserve"> </w:t>
      </w:r>
      <w:r>
        <w:rPr/>
        <w:t>(</w:t>
      </w:r>
      <w:r>
        <w:rPr>
          <w:i/>
        </w:rPr>
        <w:t>T</w:t>
      </w:r>
      <w:r>
        <w:rPr>
          <w:vertAlign w:val="subscript"/>
          <w:lang w:val="es-ES"/>
        </w:rPr>
        <w:t>4</w:t>
      </w:r>
      <w:r>
        <w:rPr/>
        <w:t>)</w:t>
      </w:r>
      <w:r>
        <w:rPr>
          <w:lang w:val="es-ES"/>
        </w:rPr>
        <w:t>, el cual mide la relevancia de un resumen. Es decir, la capacidad de identificar relaciones de alta correlación entre las variables, aun cuando haya poca ocurrencia de eventos que vinculen a estas variables.</w:t>
      </w:r>
    </w:p>
    <w:p>
      <w:pPr>
        <w:pStyle w:val="ListParagraph"/>
        <w:numPr>
          <w:ilvl w:val="0"/>
          <w:numId w:val="61"/>
        </w:numPr>
        <w:rPr>
          <w:szCs w:val="24"/>
        </w:rPr>
      </w:pPr>
      <w:r>
        <w:rPr>
          <w:szCs w:val="24"/>
          <w:lang w:val="es-ES"/>
        </w:rPr>
        <w:t xml:space="preserve">La </w:t>
      </w:r>
      <w:r>
        <w:rPr>
          <w:szCs w:val="24"/>
        </w:rPr>
        <w:t>longitud de un resumen</w:t>
      </w:r>
      <w:r>
        <w:rPr>
          <w:szCs w:val="24"/>
          <w:lang w:val="es-ES"/>
        </w:rPr>
        <w:t xml:space="preserve"> </w:t>
      </w:r>
      <w:r>
        <w:rPr/>
        <w:t>(</w:t>
      </w:r>
      <w:r>
        <w:rPr>
          <w:i/>
        </w:rPr>
        <w:t>T</w:t>
      </w:r>
      <w:r>
        <w:rPr>
          <w:vertAlign w:val="subscript"/>
          <w:lang w:val="es-ES"/>
        </w:rPr>
        <w:t>5</w:t>
      </w:r>
      <w:r>
        <w:rPr/>
        <w:t>)</w:t>
      </w:r>
      <w:r>
        <w:rPr>
          <w:lang w:val="es-ES"/>
        </w:rPr>
        <w:t xml:space="preserve">, que es el grado de calidad del resumen respecto al número de variables que involucra.  </w:t>
      </w:r>
    </w:p>
    <w:p>
      <w:pPr>
        <w:pStyle w:val="Normal"/>
        <w:rPr/>
      </w:pPr>
      <w:r>
        <w:rPr>
          <w:szCs w:val="24"/>
        </w:rPr>
        <w:t xml:space="preserve">En el cálculo de estos indicadores de calidad, se utiliza el grado de certidumbre considerando el cero como umbral, sin considerar la indeterminación o la falsedad </w:t>
      </w:r>
      <w:r>
        <w:fldChar w:fldCharType="begin"/>
      </w:r>
      <w:r>
        <w:instrText>ADDIN ZOTERO_ITEM CSL_CITATION {"citationID":"CAJVCMaC","properties":{"formattedCitation":"(P\\uc0\\u233{}rez Pupo et\\uc0\\u160{}al. 2021)","plainCitation":"(Pérez Pupo et al. 2021)","noteIndex":0},"citationItems":[{"id":"NJclqhNX/SbUuLVaP","uris":["http://zotero.org/users/local/rsuvzjK6/items/GIUZ22HL"],"uri":["http://zotero.org/users/local/rsuvzjK6/items/GIUZ22HL"],"itemData":{"id":3437,"type":"article-journal","abstract":"Las técnicas de sumarización lingüística de datos han surgido para ayudar a descubrir relaciones complejas entre variables y presentar la información en lenguaje natural. En el desarrollo de estas técnicas se combinan la inteligencia artificial, la estadística, el aprendizaje automático, entre otras áreas del conocimiento humano. Esta investigación tiene como objetivo realizar un marco teórico referencial de la temática que permita a los investigadores analizar las tendencias en los métodos de generación de resúmenes lingüísticos de datos, las estrategias de validación empleadas en las investigaciones y las principales áreas de aplicación. Como conclusiones se identifica la necesidad de mejora de los métodos de validación, las técnicas emergentes en la generación de resúmenes y la posibilidad del empleo de los resúmenes en problemas de predicción entre otro.","container-title":"Revista cubana de transformación digital","ISSN":"2708-3411","issue":"1","page":"79-101","title":"Tendencias en la sumarización lingüística de datos","volume":"2","author":[{"family":"Pérez Pupo","given":"Iliana"},{"family":"Piñero Pérez","given":"Pedro Yobani"},{"family":"Martín","given":"Nayma"},{"family":"Bello Pérez","given":"Rafael Esteban"}],"issued":{"date-parts":[["2021"]]}}}],"schema":"https://github.com/citation-style-language/schema/raw/master/csl-citation.json"}</w:instrText>
      </w:r>
      <w:r>
        <w:fldChar w:fldCharType="separate"/>
      </w:r>
      <w:bookmarkStart w:id="174" w:name="__Fieldmark__2312_2067855929"/>
      <w:r>
        <w:rPr>
          <w:szCs w:val="24"/>
        </w:rPr>
        <w:t>(</w:t>
      </w:r>
      <w:bookmarkStart w:id="175" w:name="__Fieldmark__2091_498839314"/>
      <w:r>
        <w:rPr>
          <w:szCs w:val="24"/>
        </w:rPr>
        <w:t>P</w:t>
      </w:r>
      <w:bookmarkStart w:id="176" w:name="__Fieldmark__1964_998588997"/>
      <w:r>
        <w:rPr>
          <w:szCs w:val="24"/>
        </w:rPr>
        <w:t>é</w:t>
      </w:r>
      <w:bookmarkStart w:id="177" w:name="__Fieldmark__3735_118561941"/>
      <w:r>
        <w:rPr>
          <w:szCs w:val="24"/>
        </w:rPr>
        <w:t>rez Pupo et al. 2021)</w:t>
      </w:r>
      <w:r>
        <w:rPr>
          <w:szCs w:val="24"/>
        </w:rPr>
      </w:r>
      <w:r>
        <w:fldChar w:fldCharType="end"/>
      </w:r>
      <w:bookmarkEnd w:id="174"/>
      <w:bookmarkEnd w:id="175"/>
      <w:bookmarkEnd w:id="176"/>
      <w:bookmarkEnd w:id="177"/>
      <w:r>
        <w:rPr>
          <w:szCs w:val="24"/>
        </w:rPr>
        <w:t>. Esta limitante de los indicadores reportados en la bibliografía constituye una de las motivaciones y línea de trabajo en esta investigación.</w:t>
      </w:r>
    </w:p>
    <w:p>
      <w:pPr>
        <w:pStyle w:val="Normal"/>
        <w:rPr/>
      </w:pPr>
      <w:r>
        <w:rPr>
          <w:szCs w:val="24"/>
        </w:rPr>
        <w:t xml:space="preserve">Por otra parte, se analizaron las diferentes técnicas empleadas para la validación en los trabajos reportados en la bibliografía. Se señala en este </w:t>
      </w:r>
      <w:bookmarkStart w:id="178" w:name="_Hlk71265452"/>
      <w:r>
        <w:rPr>
          <w:szCs w:val="24"/>
        </w:rPr>
        <w:t xml:space="preserve">aspecto </w:t>
      </w:r>
      <w:r>
        <w:rPr>
          <w:lang w:val="en-US"/>
        </w:rPr>
        <w:t>que la mayoría de los trabajos solo aplican análisis descriptivo en casos de estudio. Pocos trabajos aplican métodos cuantitativos, técnicas de triangulación de datos y triangulación de métodos, elemento que denota baja fortaleza en la validación de las investigaciones</w:t>
      </w:r>
      <w:bookmarkEnd w:id="178"/>
      <w:r>
        <w:rPr>
          <w:lang w:val="en-US"/>
        </w:rPr>
        <w:t xml:space="preserve"> </w:t>
      </w:r>
      <w:r>
        <w:fldChar w:fldCharType="begin"/>
      </w:r>
      <w:r>
        <w:instrText>ADDIN ZOTERO_ITEM CSL_CITATION {"citationID":"3GEa64qD","properties":{"formattedCitation":"(P\\uc0\\u233{}rez Pupo et\\uc0\\u160{}al. 2021)","plainCitation":"(Pérez Pupo et al. 2021)","noteIndex":0},"citationItems":[{"id":"NJclqhNX/SbUuLVaP","uris":["http://zotero.org/users/local/rsuvzjK6/items/GIUZ22HL"],"uri":["http://zotero.org/users/local/rsuvzjK6/items/GIUZ22HL"],"itemData":{"id":3437,"type":"article-journal","abstract":"Las técnicas de sumarización lingüística de datos han surgido para ayudar a descubrir relaciones complejas entre variables y presentar la información en lenguaje natural. En el desarrollo de estas técnicas se combinan la inteligencia artificial, la estadística, el aprendizaje automático, entre otras áreas del conocimiento humano. Esta investigación tiene como objetivo realizar un marco teórico referencial de la temática que permita a los investigadores analizar las tendencias en los métodos de generación de resúmenes lingüísticos de datos, las estrategias de validación empleadas en las investigaciones y las principales áreas de aplicación. Como conclusiones se identifica la necesidad de mejora de los métodos de validación, las técnicas emergentes en la generación de resúmenes y la posibilidad del empleo de los resúmenes en problemas de predicción entre otro.","container-title":"Revista cubana de transformación digital","ISSN":"2708-3411","issue":"1","page":"79-101","title":"Tendencias en la sumarización lingüística de datos","volume":"2","author":[{"family":"Pérez Pupo","given":"Iliana"},{"family":"Piñero Pérez","given":"Pedro Yobani"},{"family":"Martín","given":"Nayma"},{"family":"Bello Pérez","given":"Rafael Esteban"}],"issued":{"date-parts":[["2021"]]}}}],"schema":"https://github.com/citation-style-language/schema/raw/master/csl-citation.json"}</w:instrText>
      </w:r>
      <w:r>
        <w:fldChar w:fldCharType="separate"/>
      </w:r>
      <w:bookmarkStart w:id="179" w:name="__Fieldmark__2336_2067855929"/>
      <w:r>
        <w:rPr>
          <w:lang w:val="en-US"/>
        </w:rPr>
      </w:r>
      <w:r>
        <w:rPr>
          <w:szCs w:val="24"/>
          <w:lang w:val="en-US"/>
        </w:rPr>
        <w:t>(</w:t>
      </w:r>
      <w:bookmarkStart w:id="180" w:name="__Fieldmark__2109_498839314"/>
      <w:r>
        <w:rPr>
          <w:szCs w:val="24"/>
          <w:lang w:val="en-US"/>
        </w:rPr>
        <w:t>P</w:t>
      </w:r>
      <w:bookmarkStart w:id="181" w:name="__Fieldmark__1978_998588997"/>
      <w:r>
        <w:rPr>
          <w:szCs w:val="24"/>
          <w:lang w:val="en-US"/>
        </w:rPr>
        <w:t>é</w:t>
      </w:r>
      <w:bookmarkStart w:id="182" w:name="__Fieldmark__3764_118561941"/>
      <w:r>
        <w:rPr>
          <w:szCs w:val="24"/>
          <w:lang w:val="en-US"/>
        </w:rPr>
        <w:t>rez Pupo et al. 2021)</w:t>
      </w:r>
      <w:r>
        <w:rPr>
          <w:lang w:val="en-US"/>
        </w:rPr>
      </w:r>
      <w:r>
        <w:fldChar w:fldCharType="end"/>
      </w:r>
      <w:bookmarkEnd w:id="179"/>
      <w:bookmarkEnd w:id="180"/>
      <w:bookmarkEnd w:id="181"/>
      <w:bookmarkEnd w:id="182"/>
      <w:r>
        <w:rPr>
          <w:szCs w:val="24"/>
        </w:rPr>
        <w:t>.</w:t>
      </w:r>
    </w:p>
    <w:p>
      <w:pPr>
        <w:pStyle w:val="Normal"/>
        <w:rPr/>
      </w:pPr>
      <w:r>
        <w:rPr/>
        <w:t xml:space="preserve">A partir de estos análisis se identifica el siguiente </w:t>
      </w:r>
      <w:r>
        <w:rPr>
          <w:bCs w:val="false"/>
        </w:rPr>
        <w:t>problema de investigación</w:t>
      </w:r>
      <w:r>
        <w:rPr/>
        <w:t xml:space="preserve">: </w:t>
      </w:r>
    </w:p>
    <w:p>
      <w:pPr>
        <w:pStyle w:val="Normal"/>
        <w:rPr>
          <w:b/>
          <w:b/>
        </w:rPr>
      </w:pPr>
      <w:bookmarkStart w:id="183" w:name="result_box12"/>
      <w:bookmarkEnd w:id="183"/>
      <w:r>
        <w:rPr>
          <w:b/>
        </w:rPr>
        <w:t>Problema de investigación</w:t>
      </w:r>
    </w:p>
    <w:p>
      <w:pPr>
        <w:pStyle w:val="Normal"/>
        <w:rPr/>
      </w:pPr>
      <w:r>
        <w:rPr/>
        <w:t>¿Cómo mejorar la eficacia de los algoritmos de sumarización lingüística de datos para la ayuda a la toma de decisiones?</w:t>
      </w:r>
    </w:p>
    <w:p>
      <w:pPr>
        <w:pStyle w:val="TDNormal"/>
        <w:rPr>
          <w:lang w:val="es-VE"/>
        </w:rPr>
      </w:pPr>
      <w:bookmarkStart w:id="184" w:name="__RefHeading__328_1220193368"/>
      <w:bookmarkEnd w:id="184"/>
      <w:r>
        <w:rPr/>
        <w:t xml:space="preserve">El </w:t>
      </w:r>
      <w:r>
        <w:rPr>
          <w:b/>
        </w:rPr>
        <w:t>objeto de investigación</w:t>
      </w:r>
      <w:r>
        <w:rPr/>
        <w:t xml:space="preserve"> es la: sumarización lingüística de datos.</w:t>
      </w:r>
    </w:p>
    <w:p>
      <w:pPr>
        <w:pStyle w:val="Normal"/>
        <w:rPr>
          <w:b/>
          <w:b/>
        </w:rPr>
      </w:pPr>
      <w:bookmarkStart w:id="185" w:name="_Toc476476086"/>
      <w:bookmarkStart w:id="186" w:name="_Toc484293843"/>
      <w:bookmarkEnd w:id="185"/>
      <w:bookmarkEnd w:id="186"/>
      <w:r>
        <w:rPr>
          <w:b/>
        </w:rPr>
        <w:t>Objetivo general</w:t>
      </w:r>
    </w:p>
    <w:p>
      <w:pPr>
        <w:pStyle w:val="Normal"/>
        <w:rPr/>
      </w:pPr>
      <w:r>
        <w:rPr/>
        <w:t>Desarrollar nuevos algoritmos para mejorar la eficacia en la generación y evaluación de resúmenes lingüísticos de datos respecto al tratamiento de la indeterminación, la interpretabilidad y su aplicabilidad en la toma de decisiones bajo un enfoque multilingüe.</w:t>
      </w:r>
    </w:p>
    <w:p>
      <w:pPr>
        <w:pStyle w:val="Normal"/>
        <w:rPr>
          <w:b/>
          <w:b/>
        </w:rPr>
      </w:pPr>
      <w:bookmarkStart w:id="187" w:name="_Toc476476087"/>
      <w:bookmarkStart w:id="188" w:name="_Toc484293844"/>
      <w:bookmarkStart w:id="189" w:name="__RefHeading__332_1220193368"/>
      <w:bookmarkEnd w:id="187"/>
      <w:bookmarkEnd w:id="188"/>
      <w:bookmarkEnd w:id="189"/>
      <w:r>
        <w:rPr>
          <w:b/>
        </w:rPr>
        <w:t>Objetivos específicos</w:t>
      </w:r>
    </w:p>
    <w:p>
      <w:pPr>
        <w:pStyle w:val="TDNormalLista"/>
        <w:numPr>
          <w:ilvl w:val="0"/>
          <w:numId w:val="9"/>
        </w:numPr>
        <w:rPr/>
      </w:pPr>
      <w:r>
        <w:rPr/>
        <w:t>Construir un marco teórico referencial que permita identificar las tendencias en los métodos de generación, representación y evaluación de los resúmenes lingüísticos de datos.</w:t>
      </w:r>
    </w:p>
    <w:p>
      <w:pPr>
        <w:pStyle w:val="TDNormalLista"/>
        <w:numPr>
          <w:ilvl w:val="0"/>
          <w:numId w:val="9"/>
        </w:numPr>
        <w:rPr/>
      </w:pPr>
      <w:r>
        <w:rPr/>
        <w:t xml:space="preserve">Desarrollar nuevos algoritmos para la generación de resúmenes lingüísticos a partir de la hibridación de técnicas de </w:t>
      </w:r>
      <w:r>
        <w:rPr>
          <w:i/>
        </w:rPr>
        <w:t>soft computing</w:t>
      </w:r>
      <w:r>
        <w:rPr/>
        <w:t xml:space="preserve"> mejorando: la evaluación de los resúmenes respecto a los indicadores de calidad, el tratamiento de la indeterminación, la interpretabilidad bajo un enfoque multilingüe y el descubrimiento de situaciones anómalas.</w:t>
      </w:r>
    </w:p>
    <w:p>
      <w:pPr>
        <w:pStyle w:val="TDNormalLista"/>
        <w:numPr>
          <w:ilvl w:val="0"/>
          <w:numId w:val="9"/>
        </w:numPr>
        <w:rPr/>
      </w:pPr>
      <w:r>
        <w:rPr/>
        <w:t xml:space="preserve">Desarrollar extensiones que mejoren los indicadores de evaluación de resúmenes lingüísticos respecto al tratamiento de la indeterminación y la capacidad de discriminar situaciones diferentes. </w:t>
      </w:r>
    </w:p>
    <w:p>
      <w:pPr>
        <w:pStyle w:val="TDNormalLista"/>
        <w:numPr>
          <w:ilvl w:val="0"/>
          <w:numId w:val="9"/>
        </w:numPr>
        <w:rPr/>
      </w:pPr>
      <w:r>
        <w:rPr/>
        <w:t>Validar los métodos propuestos a partir de la comparación de éstos con otras técnicas reportadas en la bibliografía aplicando técnicas de triangulación de métodos y triangulación de datos.</w:t>
      </w:r>
    </w:p>
    <w:p>
      <w:pPr>
        <w:pStyle w:val="TDNormal"/>
        <w:rPr/>
      </w:pPr>
      <w:bookmarkStart w:id="190" w:name="__RefHeading__334_1220193368"/>
      <w:bookmarkEnd w:id="190"/>
      <w:r>
        <w:rPr/>
        <w:t xml:space="preserve">El </w:t>
      </w:r>
      <w:r>
        <w:rPr>
          <w:b/>
        </w:rPr>
        <w:t>campo de investigación</w:t>
      </w:r>
      <w:r>
        <w:rPr/>
        <w:t>: algoritmos para la generación y evaluación de resúmenes lingüísticos de datos.</w:t>
      </w:r>
    </w:p>
    <w:p>
      <w:pPr>
        <w:pStyle w:val="Normal"/>
        <w:rPr>
          <w:b/>
          <w:b/>
        </w:rPr>
      </w:pPr>
      <w:bookmarkStart w:id="191" w:name="_Toc476476090"/>
      <w:bookmarkStart w:id="192" w:name="_Toc484293847"/>
      <w:bookmarkStart w:id="193" w:name="__RefHeading__336_1220193368"/>
      <w:bookmarkEnd w:id="191"/>
      <w:bookmarkEnd w:id="192"/>
      <w:bookmarkEnd w:id="193"/>
      <w:r>
        <w:rPr>
          <w:b/>
        </w:rPr>
        <w:t>Hipótesis</w:t>
      </w:r>
    </w:p>
    <w:p>
      <w:pPr>
        <w:pStyle w:val="TDNormal"/>
        <w:rPr>
          <w:rFonts w:eastAsia="MS Gothic"/>
        </w:rPr>
      </w:pPr>
      <w:r>
        <w:rPr>
          <w:rFonts w:eastAsia="MS Gothic"/>
        </w:rPr>
        <w:t>El desarrollo de nuevos algoritmos para la generación de resúmenes lingüísticos y nuevos indicadores de evaluación de resúmenes bajo un enfoque multilingüe con centro en el tratamiento de la incertidumbre, mejorará la eficacia en la generación de los resúmenes lingüísticos de datos y su aplicabilidad en la toma de decisiones.</w:t>
      </w:r>
    </w:p>
    <w:p>
      <w:pPr>
        <w:pStyle w:val="Normal"/>
        <w:rPr>
          <w:b/>
          <w:b/>
        </w:rPr>
      </w:pPr>
      <w:r>
        <w:rPr>
          <w:b/>
        </w:rPr>
        <w:t>Métodos de investigación</w:t>
      </w:r>
    </w:p>
    <w:p>
      <w:pPr>
        <w:pStyle w:val="TDoctNormalCharCharCharCharCharCharCharCharCharCharCharCharCharChar"/>
        <w:rPr/>
      </w:pPr>
      <w:r>
        <w:rPr>
          <w:lang w:eastAsia="en-US"/>
        </w:rPr>
        <w:t>En la investigación se aplican los siguientes métodos teóricos:</w:t>
      </w:r>
    </w:p>
    <w:p>
      <w:pPr>
        <w:pStyle w:val="TDNormalLista"/>
        <w:numPr>
          <w:ilvl w:val="0"/>
          <w:numId w:val="9"/>
        </w:numPr>
        <w:ind w:left="567" w:hanging="0"/>
        <w:rPr/>
      </w:pPr>
      <w:r>
        <w:rPr/>
        <w:t xml:space="preserve">Histórico-lógico: en la primera parte de la investigación se construye un marco teórico referencial a partir de realizar una revisión sistemática sobre métodos para la generación y evaluación de resúmenes lingüísticos de datos. </w:t>
      </w:r>
    </w:p>
    <w:p>
      <w:pPr>
        <w:pStyle w:val="TDNormalLista"/>
        <w:numPr>
          <w:ilvl w:val="0"/>
          <w:numId w:val="9"/>
        </w:numPr>
        <w:ind w:left="567" w:hanging="0"/>
        <w:rPr/>
      </w:pPr>
      <w:r>
        <w:rPr/>
        <w:t xml:space="preserve">Hipotético deductivo: en el transcurso de la investigación, la hipótesis es resuelta siguiendo métodos fundamentados científicamente y luego se realizan pruebas estadísticas para demostrar la validez de los resultados. </w:t>
      </w:r>
    </w:p>
    <w:p>
      <w:pPr>
        <w:pStyle w:val="TDoctNormalCharCharCharCharCharCharCharCharCharCharCharCharCharChar"/>
        <w:rPr/>
      </w:pPr>
      <w:r>
        <w:rPr>
          <w:bCs/>
          <w:lang w:eastAsia="en-US"/>
        </w:rPr>
        <w:t>Además, se aplican los siguientes métodos empíricos</w:t>
      </w:r>
      <w:r>
        <w:rPr>
          <w:lang w:eastAsia="en-US"/>
        </w:rPr>
        <w:t>:</w:t>
      </w:r>
    </w:p>
    <w:p>
      <w:pPr>
        <w:pStyle w:val="TDNormalLista"/>
        <w:numPr>
          <w:ilvl w:val="0"/>
          <w:numId w:val="9"/>
        </w:numPr>
        <w:ind w:left="567" w:hanging="0"/>
        <w:rPr/>
      </w:pPr>
      <w:r>
        <w:rPr/>
        <w:t>Experimental: se diseñan experimentos para la comparación de los algoritmos propuestos con los reportados en la bibliografía, en las comparaciones se aplican técnicas de triangulación de métodos y triangulación de datos. Se comparan los algoritmos respecto a su desempeño en 12 bases de datos de diferentes dominios de aplicación.</w:t>
      </w:r>
    </w:p>
    <w:p>
      <w:pPr>
        <w:pStyle w:val="TDNormalLista"/>
        <w:numPr>
          <w:ilvl w:val="0"/>
          <w:numId w:val="9"/>
        </w:numPr>
        <w:ind w:left="567" w:hanging="0"/>
        <w:rPr/>
      </w:pPr>
      <w:r>
        <w:rPr/>
        <w:t>Los algoritmos propuestos se aplican en casos de estudio sobre toma de decisiones en proyectos y sobre estudios clínicos en embarazadas cardiópatas.</w:t>
      </w:r>
    </w:p>
    <w:p>
      <w:pPr>
        <w:pStyle w:val="TDNormal"/>
        <w:rPr>
          <w:b/>
          <w:b/>
        </w:rPr>
      </w:pPr>
      <w:r>
        <w:rPr>
          <w:b/>
        </w:rPr>
        <w:t>Operacionalización de variables y diseño de experimentos</w:t>
      </w:r>
    </w:p>
    <w:p>
      <w:pPr>
        <w:pStyle w:val="Caption1"/>
        <w:keepNext/>
        <w:rPr/>
      </w:pPr>
      <w:bookmarkStart w:id="194" w:name="_Toc84598971"/>
      <w:bookmarkStart w:id="195" w:name="_Toc476476092"/>
      <w:bookmarkStart w:id="196" w:name="_Toc484293849"/>
      <w:bookmarkEnd w:id="195"/>
      <w:bookmarkEnd w:id="196"/>
      <w:r>
        <w:rPr/>
        <w:t xml:space="preserve">Tabla </w:t>
      </w:r>
      <w:r>
        <w:rPr/>
        <w:fldChar w:fldCharType="begin"/>
      </w:r>
      <w:r>
        <w:instrText> SEQ Tabla \* ARABIC </w:instrText>
      </w:r>
      <w:r>
        <w:fldChar w:fldCharType="separate"/>
      </w:r>
      <w:r>
        <w:t>1</w:t>
      </w:r>
      <w:r>
        <w:fldChar w:fldCharType="end"/>
      </w:r>
      <w:bookmarkEnd w:id="194"/>
      <w:r>
        <w:rPr/>
        <w:t>: Operacionalización de la variable dependiente.</w:t>
      </w:r>
    </w:p>
    <w:tbl>
      <w:tblPr>
        <w:tblStyle w:val="Tablaconcuadrcula"/>
        <w:tblW w:w="5000" w:type="pct"/>
        <w:jc w:val="left"/>
        <w:tblInd w:w="0" w:type="dxa"/>
        <w:tblCellMar>
          <w:top w:w="0" w:type="dxa"/>
          <w:left w:w="123" w:type="dxa"/>
          <w:bottom w:w="0" w:type="dxa"/>
          <w:right w:w="108" w:type="dxa"/>
        </w:tblCellMar>
        <w:tblLook w:val="04a0" w:noVBand="1" w:noHBand="0" w:lastColumn="0" w:firstColumn="1" w:lastRow="0" w:firstRow="1"/>
      </w:tblPr>
      <w:tblGrid>
        <w:gridCol w:w="1700"/>
        <w:gridCol w:w="2269"/>
        <w:gridCol w:w="3690"/>
        <w:gridCol w:w="1319"/>
      </w:tblGrid>
      <w:tr>
        <w:trPr/>
        <w:tc>
          <w:tcPr>
            <w:tcW w:w="1700" w:type="dxa"/>
            <w:tcBorders>
              <w:left w:val="nil"/>
              <w:right w:val="nil"/>
              <w:insideV w:val="nil"/>
            </w:tcBorders>
            <w:shd w:color="auto" w:fill="auto" w:val="pct5"/>
            <w:vAlign w:val="center"/>
          </w:tcPr>
          <w:p>
            <w:pPr>
              <w:pStyle w:val="Normal"/>
              <w:spacing w:lineRule="auto" w:line="288" w:before="0" w:after="0"/>
              <w:jc w:val="center"/>
              <w:rPr>
                <w:sz w:val="20"/>
                <w:szCs w:val="20"/>
              </w:rPr>
            </w:pPr>
            <w:r>
              <w:rPr>
                <w:b/>
                <w:sz w:val="20"/>
                <w:szCs w:val="20"/>
              </w:rPr>
              <w:t>Variable dependiente</w:t>
            </w:r>
          </w:p>
        </w:tc>
        <w:tc>
          <w:tcPr>
            <w:tcW w:w="2269" w:type="dxa"/>
            <w:tcBorders>
              <w:left w:val="nil"/>
              <w:right w:val="nil"/>
              <w:insideV w:val="nil"/>
            </w:tcBorders>
            <w:shd w:color="auto" w:fill="auto" w:val="pct5"/>
            <w:vAlign w:val="center"/>
          </w:tcPr>
          <w:p>
            <w:pPr>
              <w:pStyle w:val="Normal"/>
              <w:spacing w:lineRule="auto" w:line="288" w:before="0" w:after="0"/>
              <w:jc w:val="center"/>
              <w:rPr>
                <w:b/>
                <w:b/>
                <w:sz w:val="20"/>
                <w:szCs w:val="20"/>
              </w:rPr>
            </w:pPr>
            <w:r>
              <w:rPr>
                <w:b/>
                <w:sz w:val="20"/>
                <w:szCs w:val="20"/>
              </w:rPr>
              <w:t>Dimensión</w:t>
            </w:r>
          </w:p>
        </w:tc>
        <w:tc>
          <w:tcPr>
            <w:tcW w:w="3690" w:type="dxa"/>
            <w:tcBorders>
              <w:left w:val="nil"/>
              <w:right w:val="nil"/>
              <w:insideV w:val="nil"/>
            </w:tcBorders>
            <w:shd w:color="auto" w:fill="auto" w:val="pct5"/>
            <w:vAlign w:val="center"/>
          </w:tcPr>
          <w:p>
            <w:pPr>
              <w:pStyle w:val="Normal"/>
              <w:spacing w:lineRule="auto" w:line="288" w:before="0" w:after="0"/>
              <w:jc w:val="center"/>
              <w:rPr>
                <w:b/>
                <w:b/>
                <w:sz w:val="20"/>
                <w:szCs w:val="20"/>
              </w:rPr>
            </w:pPr>
            <w:r>
              <w:rPr>
                <w:b/>
                <w:sz w:val="20"/>
                <w:szCs w:val="20"/>
              </w:rPr>
              <w:t>Medida</w:t>
            </w:r>
          </w:p>
        </w:tc>
        <w:tc>
          <w:tcPr>
            <w:tcW w:w="1319" w:type="dxa"/>
            <w:tcBorders>
              <w:left w:val="nil"/>
              <w:right w:val="nil"/>
              <w:insideV w:val="nil"/>
            </w:tcBorders>
            <w:shd w:color="auto" w:fill="auto" w:val="pct5"/>
            <w:vAlign w:val="center"/>
          </w:tcPr>
          <w:p>
            <w:pPr>
              <w:pStyle w:val="Normal"/>
              <w:spacing w:lineRule="auto" w:line="288" w:before="0" w:after="0"/>
              <w:jc w:val="center"/>
              <w:rPr>
                <w:b/>
                <w:b/>
                <w:sz w:val="20"/>
                <w:szCs w:val="20"/>
              </w:rPr>
            </w:pPr>
            <w:r>
              <w:rPr>
                <w:b/>
                <w:sz w:val="20"/>
                <w:szCs w:val="20"/>
              </w:rPr>
              <w:t>Unidad de medida</w:t>
            </w:r>
          </w:p>
        </w:tc>
      </w:tr>
      <w:tr>
        <w:trPr>
          <w:trHeight w:val="179" w:hRule="atLeast"/>
        </w:trPr>
        <w:tc>
          <w:tcPr>
            <w:tcW w:w="1700" w:type="dxa"/>
            <w:vMerge w:val="restart"/>
            <w:tcBorders>
              <w:left w:val="nil"/>
              <w:right w:val="nil"/>
              <w:insideV w:val="nil"/>
            </w:tcBorders>
            <w:shd w:color="auto" w:fill="auto" w:val="clear"/>
            <w:vAlign w:val="center"/>
          </w:tcPr>
          <w:p>
            <w:pPr>
              <w:pStyle w:val="Normal"/>
              <w:spacing w:lineRule="auto" w:line="288" w:before="0" w:after="0"/>
              <w:jc w:val="center"/>
              <w:rPr>
                <w:sz w:val="20"/>
                <w:szCs w:val="20"/>
              </w:rPr>
            </w:pPr>
            <w:r>
              <w:rPr>
                <w:sz w:val="20"/>
                <w:szCs w:val="20"/>
              </w:rPr>
              <w:t>Eficacia de los algoritmos para la ayuda a la toma de decisiones</w:t>
            </w:r>
          </w:p>
        </w:tc>
        <w:tc>
          <w:tcPr>
            <w:tcW w:w="2269" w:type="dxa"/>
            <w:vMerge w:val="restart"/>
            <w:tcBorders>
              <w:left w:val="nil"/>
              <w:right w:val="nil"/>
              <w:insideV w:val="nil"/>
            </w:tcBorders>
            <w:shd w:color="auto" w:fill="auto" w:val="clear"/>
            <w:vAlign w:val="center"/>
          </w:tcPr>
          <w:p>
            <w:pPr>
              <w:pStyle w:val="Normal"/>
              <w:spacing w:lineRule="auto" w:line="288" w:before="0" w:after="0"/>
              <w:jc w:val="center"/>
              <w:rPr>
                <w:sz w:val="20"/>
                <w:szCs w:val="20"/>
              </w:rPr>
            </w:pPr>
            <w:r>
              <w:rPr>
                <w:sz w:val="20"/>
                <w:szCs w:val="20"/>
              </w:rPr>
              <w:t>Aplicabilidad en la toma de decisiones</w:t>
            </w:r>
          </w:p>
        </w:tc>
        <w:tc>
          <w:tcPr>
            <w:tcW w:w="3690" w:type="dxa"/>
            <w:tcBorders>
              <w:left w:val="nil"/>
              <w:right w:val="nil"/>
              <w:insideV w:val="nil"/>
            </w:tcBorders>
            <w:shd w:color="auto" w:fill="auto" w:val="clear"/>
            <w:vAlign w:val="center"/>
          </w:tcPr>
          <w:p>
            <w:pPr>
              <w:pStyle w:val="Normal"/>
              <w:spacing w:lineRule="auto" w:line="288" w:before="0" w:after="0"/>
              <w:jc w:val="center"/>
              <w:rPr>
                <w:sz w:val="20"/>
                <w:szCs w:val="20"/>
              </w:rPr>
            </w:pPr>
            <w:r>
              <w:rPr>
                <w:sz w:val="20"/>
                <w:szCs w:val="20"/>
              </w:rPr>
              <w:t>Aplicabilidad en diferentes escenarios</w:t>
            </w:r>
          </w:p>
        </w:tc>
        <w:tc>
          <w:tcPr>
            <w:tcW w:w="1319" w:type="dxa"/>
            <w:tcBorders>
              <w:left w:val="nil"/>
              <w:right w:val="nil"/>
              <w:insideV w:val="nil"/>
            </w:tcBorders>
            <w:shd w:color="auto" w:fill="auto" w:val="clear"/>
            <w:vAlign w:val="center"/>
          </w:tcPr>
          <w:p>
            <w:pPr>
              <w:pStyle w:val="Normal"/>
              <w:spacing w:lineRule="auto" w:line="288" w:before="0" w:after="0"/>
              <w:jc w:val="center"/>
              <w:rPr>
                <w:sz w:val="20"/>
                <w:szCs w:val="20"/>
              </w:rPr>
            </w:pPr>
            <w:r>
              <w:rPr>
                <w:sz w:val="20"/>
                <w:szCs w:val="20"/>
              </w:rPr>
              <w:t>Sí o No</w:t>
            </w:r>
          </w:p>
        </w:tc>
      </w:tr>
      <w:tr>
        <w:trPr>
          <w:trHeight w:val="179" w:hRule="atLeast"/>
        </w:trPr>
        <w:tc>
          <w:tcPr>
            <w:tcW w:w="1700" w:type="dxa"/>
            <w:vMerge w:val="continue"/>
            <w:tcBorders>
              <w:left w:val="nil"/>
              <w:right w:val="nil"/>
              <w:insideV w:val="nil"/>
            </w:tcBorders>
            <w:shd w:color="auto" w:fill="auto" w:val="clear"/>
            <w:vAlign w:val="center"/>
          </w:tcPr>
          <w:p>
            <w:pPr>
              <w:pStyle w:val="Normal"/>
              <w:spacing w:lineRule="auto" w:line="288" w:before="0" w:after="0"/>
              <w:rPr>
                <w:sz w:val="20"/>
                <w:szCs w:val="20"/>
              </w:rPr>
            </w:pPr>
            <w:r>
              <w:rPr>
                <w:sz w:val="20"/>
                <w:szCs w:val="20"/>
              </w:rPr>
            </w:r>
          </w:p>
        </w:tc>
        <w:tc>
          <w:tcPr>
            <w:tcW w:w="2269" w:type="dxa"/>
            <w:vMerge w:val="continue"/>
            <w:tcBorders>
              <w:left w:val="nil"/>
              <w:right w:val="nil"/>
              <w:insideV w:val="nil"/>
            </w:tcBorders>
            <w:shd w:color="auto" w:fill="auto" w:val="clear"/>
            <w:vAlign w:val="center"/>
          </w:tcPr>
          <w:p>
            <w:pPr>
              <w:pStyle w:val="Normal"/>
              <w:spacing w:lineRule="auto" w:line="288" w:before="0" w:after="0"/>
              <w:jc w:val="center"/>
              <w:rPr>
                <w:sz w:val="20"/>
                <w:szCs w:val="20"/>
              </w:rPr>
            </w:pPr>
            <w:r>
              <w:rPr>
                <w:sz w:val="20"/>
                <w:szCs w:val="20"/>
              </w:rPr>
            </w:r>
          </w:p>
        </w:tc>
        <w:tc>
          <w:tcPr>
            <w:tcW w:w="3690" w:type="dxa"/>
            <w:tcBorders>
              <w:left w:val="nil"/>
              <w:right w:val="nil"/>
              <w:insideV w:val="nil"/>
            </w:tcBorders>
            <w:shd w:color="auto" w:fill="auto" w:val="clear"/>
            <w:vAlign w:val="center"/>
          </w:tcPr>
          <w:p>
            <w:pPr>
              <w:pStyle w:val="Normal"/>
              <w:spacing w:lineRule="auto" w:line="288" w:before="0" w:after="0"/>
              <w:jc w:val="center"/>
              <w:rPr>
                <w:sz w:val="20"/>
                <w:szCs w:val="20"/>
              </w:rPr>
            </w:pPr>
            <w:r>
              <w:rPr>
                <w:sz w:val="20"/>
                <w:szCs w:val="20"/>
              </w:rPr>
              <w:t>Facilidad para la toma de decisiones</w:t>
            </w:r>
          </w:p>
        </w:tc>
        <w:tc>
          <w:tcPr>
            <w:tcW w:w="1319" w:type="dxa"/>
            <w:vMerge w:val="restart"/>
            <w:tcBorders>
              <w:left w:val="nil"/>
              <w:right w:val="nil"/>
              <w:insideV w:val="nil"/>
            </w:tcBorders>
            <w:shd w:color="auto" w:fill="auto" w:val="clear"/>
            <w:vAlign w:val="center"/>
          </w:tcPr>
          <w:p>
            <w:pPr>
              <w:pStyle w:val="Normal"/>
              <w:spacing w:lineRule="auto" w:line="288" w:before="0" w:after="0"/>
              <w:jc w:val="center"/>
              <w:rPr>
                <w:sz w:val="20"/>
                <w:szCs w:val="20"/>
              </w:rPr>
            </w:pPr>
            <w:r>
              <w:rPr>
                <w:sz w:val="20"/>
                <w:szCs w:val="20"/>
              </w:rPr>
              <w:t>Cualitativo</w:t>
            </w:r>
          </w:p>
        </w:tc>
      </w:tr>
      <w:tr>
        <w:trPr>
          <w:trHeight w:val="179" w:hRule="atLeast"/>
        </w:trPr>
        <w:tc>
          <w:tcPr>
            <w:tcW w:w="1700" w:type="dxa"/>
            <w:vMerge w:val="continue"/>
            <w:tcBorders>
              <w:left w:val="nil"/>
              <w:right w:val="nil"/>
              <w:insideV w:val="nil"/>
            </w:tcBorders>
            <w:shd w:color="auto" w:fill="auto" w:val="clear"/>
            <w:vAlign w:val="center"/>
          </w:tcPr>
          <w:p>
            <w:pPr>
              <w:pStyle w:val="Normal"/>
              <w:spacing w:lineRule="auto" w:line="288" w:before="0" w:after="0"/>
              <w:rPr>
                <w:sz w:val="20"/>
                <w:szCs w:val="20"/>
              </w:rPr>
            </w:pPr>
            <w:r>
              <w:rPr>
                <w:sz w:val="20"/>
                <w:szCs w:val="20"/>
              </w:rPr>
            </w:r>
          </w:p>
        </w:tc>
        <w:tc>
          <w:tcPr>
            <w:tcW w:w="2269" w:type="dxa"/>
            <w:vMerge w:val="continue"/>
            <w:tcBorders>
              <w:left w:val="nil"/>
              <w:right w:val="nil"/>
              <w:insideV w:val="nil"/>
            </w:tcBorders>
            <w:shd w:color="auto" w:fill="auto" w:val="clear"/>
            <w:vAlign w:val="center"/>
          </w:tcPr>
          <w:p>
            <w:pPr>
              <w:pStyle w:val="Normal"/>
              <w:spacing w:lineRule="auto" w:line="288" w:before="0" w:after="0"/>
              <w:jc w:val="center"/>
              <w:rPr>
                <w:sz w:val="20"/>
                <w:szCs w:val="20"/>
              </w:rPr>
            </w:pPr>
            <w:r>
              <w:rPr>
                <w:sz w:val="20"/>
                <w:szCs w:val="20"/>
              </w:rPr>
            </w:r>
          </w:p>
        </w:tc>
        <w:tc>
          <w:tcPr>
            <w:tcW w:w="3690" w:type="dxa"/>
            <w:tcBorders>
              <w:left w:val="nil"/>
              <w:right w:val="nil"/>
              <w:insideV w:val="nil"/>
            </w:tcBorders>
            <w:shd w:color="auto" w:fill="auto" w:val="clear"/>
            <w:vAlign w:val="center"/>
          </w:tcPr>
          <w:p>
            <w:pPr>
              <w:pStyle w:val="Normal"/>
              <w:spacing w:lineRule="auto" w:line="288" w:before="0" w:after="0"/>
              <w:jc w:val="center"/>
              <w:rPr>
                <w:sz w:val="20"/>
                <w:szCs w:val="20"/>
              </w:rPr>
            </w:pPr>
            <w:r>
              <w:rPr>
                <w:sz w:val="20"/>
                <w:szCs w:val="20"/>
              </w:rPr>
              <w:t>Interpretabilidad de resúmenes</w:t>
            </w:r>
          </w:p>
        </w:tc>
        <w:tc>
          <w:tcPr>
            <w:tcW w:w="1319" w:type="dxa"/>
            <w:vMerge w:val="continue"/>
            <w:tcBorders>
              <w:left w:val="nil"/>
              <w:right w:val="nil"/>
              <w:insideV w:val="nil"/>
            </w:tcBorders>
            <w:shd w:color="auto" w:fill="auto" w:val="clear"/>
            <w:vAlign w:val="center"/>
          </w:tcPr>
          <w:p>
            <w:pPr>
              <w:pStyle w:val="Normal"/>
              <w:spacing w:lineRule="auto" w:line="288" w:before="0" w:after="0"/>
              <w:jc w:val="center"/>
              <w:rPr>
                <w:sz w:val="20"/>
                <w:szCs w:val="20"/>
              </w:rPr>
            </w:pPr>
            <w:r>
              <w:rPr>
                <w:sz w:val="20"/>
                <w:szCs w:val="20"/>
              </w:rPr>
            </w:r>
          </w:p>
        </w:tc>
      </w:tr>
      <w:tr>
        <w:trPr>
          <w:trHeight w:val="179" w:hRule="atLeast"/>
        </w:trPr>
        <w:tc>
          <w:tcPr>
            <w:tcW w:w="1700" w:type="dxa"/>
            <w:vMerge w:val="continue"/>
            <w:tcBorders>
              <w:left w:val="nil"/>
              <w:right w:val="nil"/>
              <w:insideV w:val="nil"/>
            </w:tcBorders>
            <w:shd w:color="auto" w:fill="auto" w:val="clear"/>
            <w:vAlign w:val="center"/>
          </w:tcPr>
          <w:p>
            <w:pPr>
              <w:pStyle w:val="Normal"/>
              <w:spacing w:lineRule="auto" w:line="288" w:before="0" w:after="0"/>
              <w:rPr>
                <w:sz w:val="20"/>
                <w:szCs w:val="20"/>
              </w:rPr>
            </w:pPr>
            <w:r>
              <w:rPr>
                <w:sz w:val="20"/>
                <w:szCs w:val="20"/>
              </w:rPr>
            </w:r>
          </w:p>
        </w:tc>
        <w:tc>
          <w:tcPr>
            <w:tcW w:w="2269" w:type="dxa"/>
            <w:tcBorders>
              <w:left w:val="nil"/>
              <w:right w:val="nil"/>
              <w:insideV w:val="nil"/>
            </w:tcBorders>
            <w:shd w:color="auto" w:fill="auto" w:val="clear"/>
            <w:vAlign w:val="center"/>
          </w:tcPr>
          <w:p>
            <w:pPr>
              <w:pStyle w:val="Normal"/>
              <w:spacing w:lineRule="auto" w:line="288" w:before="0" w:after="0"/>
              <w:jc w:val="center"/>
              <w:rPr>
                <w:sz w:val="20"/>
                <w:szCs w:val="20"/>
              </w:rPr>
            </w:pPr>
            <w:r>
              <w:rPr>
                <w:sz w:val="20"/>
                <w:szCs w:val="20"/>
              </w:rPr>
              <w:t>Enfoque multilingüe de los algoritmos</w:t>
            </w:r>
          </w:p>
        </w:tc>
        <w:tc>
          <w:tcPr>
            <w:tcW w:w="3690" w:type="dxa"/>
            <w:tcBorders>
              <w:left w:val="nil"/>
              <w:right w:val="nil"/>
              <w:insideV w:val="nil"/>
            </w:tcBorders>
            <w:shd w:color="auto" w:fill="auto" w:val="clear"/>
            <w:vAlign w:val="center"/>
          </w:tcPr>
          <w:p>
            <w:pPr>
              <w:pStyle w:val="Normal"/>
              <w:spacing w:lineRule="auto" w:line="288" w:before="0" w:after="0"/>
              <w:jc w:val="center"/>
              <w:rPr>
                <w:sz w:val="20"/>
                <w:szCs w:val="20"/>
              </w:rPr>
            </w:pPr>
            <w:r>
              <w:rPr>
                <w:sz w:val="20"/>
                <w:szCs w:val="20"/>
              </w:rPr>
              <w:t>Generación de resúmenes lingüísticos en diferentes idiomas</w:t>
            </w:r>
          </w:p>
        </w:tc>
        <w:tc>
          <w:tcPr>
            <w:tcW w:w="1319" w:type="dxa"/>
            <w:tcBorders>
              <w:left w:val="nil"/>
              <w:right w:val="nil"/>
              <w:insideV w:val="nil"/>
            </w:tcBorders>
            <w:shd w:color="auto" w:fill="auto" w:val="clear"/>
            <w:vAlign w:val="center"/>
          </w:tcPr>
          <w:p>
            <w:pPr>
              <w:pStyle w:val="Normal"/>
              <w:spacing w:lineRule="auto" w:line="288" w:before="0" w:after="0"/>
              <w:jc w:val="center"/>
              <w:rPr>
                <w:sz w:val="20"/>
                <w:szCs w:val="20"/>
              </w:rPr>
            </w:pPr>
            <w:r>
              <w:rPr>
                <w:sz w:val="20"/>
                <w:szCs w:val="20"/>
              </w:rPr>
              <w:t>Sí o No</w:t>
            </w:r>
          </w:p>
        </w:tc>
      </w:tr>
    </w:tbl>
    <w:p>
      <w:pPr>
        <w:pStyle w:val="Caption1"/>
        <w:keepNext/>
        <w:spacing w:before="240" w:after="60"/>
        <w:rPr/>
      </w:pPr>
      <w:bookmarkStart w:id="197" w:name="_Toc84598972"/>
      <w:bookmarkStart w:id="198" w:name="_Toc4764760921"/>
      <w:bookmarkStart w:id="199" w:name="_Toc4842938491"/>
      <w:bookmarkEnd w:id="198"/>
      <w:bookmarkEnd w:id="199"/>
      <w:r>
        <w:rPr/>
        <w:t xml:space="preserve">Tabla </w:t>
      </w:r>
      <w:r>
        <w:rPr/>
        <w:fldChar w:fldCharType="begin"/>
      </w:r>
      <w:r>
        <w:instrText> SEQ Tabla \* ARABIC </w:instrText>
      </w:r>
      <w:r>
        <w:fldChar w:fldCharType="separate"/>
      </w:r>
      <w:r>
        <w:t>2</w:t>
      </w:r>
      <w:r>
        <w:fldChar w:fldCharType="end"/>
      </w:r>
      <w:bookmarkEnd w:id="197"/>
      <w:r>
        <w:rPr/>
        <w:t>: Operacionalización de las variables independientes.</w:t>
      </w:r>
    </w:p>
    <w:tbl>
      <w:tblPr>
        <w:tblStyle w:val="Tablaconcuadrcula"/>
        <w:tblW w:w="8971" w:type="dxa"/>
        <w:jc w:val="left"/>
        <w:tblInd w:w="0" w:type="dxa"/>
        <w:tblCellMar>
          <w:top w:w="0" w:type="dxa"/>
          <w:left w:w="123" w:type="dxa"/>
          <w:bottom w:w="0" w:type="dxa"/>
          <w:right w:w="108" w:type="dxa"/>
        </w:tblCellMar>
        <w:tblLook w:val="04a0" w:noVBand="1" w:noHBand="0" w:lastColumn="0" w:firstColumn="1" w:lastRow="0" w:firstRow="1"/>
      </w:tblPr>
      <w:tblGrid>
        <w:gridCol w:w="1639"/>
        <w:gridCol w:w="2184"/>
        <w:gridCol w:w="3718"/>
        <w:gridCol w:w="1429"/>
      </w:tblGrid>
      <w:tr>
        <w:trPr/>
        <w:tc>
          <w:tcPr>
            <w:tcW w:w="1639" w:type="dxa"/>
            <w:tcBorders>
              <w:left w:val="nil"/>
              <w:right w:val="nil"/>
              <w:insideV w:val="nil"/>
            </w:tcBorders>
            <w:shd w:color="auto" w:fill="auto" w:val="pct5"/>
            <w:vAlign w:val="center"/>
          </w:tcPr>
          <w:p>
            <w:pPr>
              <w:pStyle w:val="Normal"/>
              <w:spacing w:lineRule="auto" w:line="288" w:before="0" w:after="60"/>
              <w:jc w:val="center"/>
              <w:rPr>
                <w:sz w:val="20"/>
                <w:szCs w:val="20"/>
              </w:rPr>
            </w:pPr>
            <w:r>
              <w:rPr>
                <w:b/>
                <w:sz w:val="20"/>
                <w:szCs w:val="20"/>
              </w:rPr>
              <w:t>Variable independiente</w:t>
            </w:r>
          </w:p>
        </w:tc>
        <w:tc>
          <w:tcPr>
            <w:tcW w:w="2184" w:type="dxa"/>
            <w:tcBorders>
              <w:left w:val="nil"/>
              <w:right w:val="nil"/>
              <w:insideV w:val="nil"/>
            </w:tcBorders>
            <w:shd w:color="auto" w:fill="auto" w:val="pct5"/>
            <w:vAlign w:val="center"/>
          </w:tcPr>
          <w:p>
            <w:pPr>
              <w:pStyle w:val="Normal"/>
              <w:spacing w:lineRule="auto" w:line="288" w:before="0" w:after="60"/>
              <w:jc w:val="center"/>
              <w:rPr>
                <w:b/>
                <w:b/>
                <w:sz w:val="20"/>
                <w:szCs w:val="20"/>
              </w:rPr>
            </w:pPr>
            <w:r>
              <w:rPr>
                <w:b/>
                <w:sz w:val="20"/>
                <w:szCs w:val="20"/>
              </w:rPr>
              <w:t>Dimensión</w:t>
            </w:r>
          </w:p>
        </w:tc>
        <w:tc>
          <w:tcPr>
            <w:tcW w:w="3718" w:type="dxa"/>
            <w:tcBorders>
              <w:left w:val="nil"/>
              <w:right w:val="nil"/>
              <w:insideV w:val="nil"/>
            </w:tcBorders>
            <w:shd w:color="auto" w:fill="auto" w:val="pct5"/>
            <w:vAlign w:val="center"/>
          </w:tcPr>
          <w:p>
            <w:pPr>
              <w:pStyle w:val="Normal"/>
              <w:spacing w:lineRule="auto" w:line="288" w:before="0" w:after="60"/>
              <w:jc w:val="center"/>
              <w:rPr>
                <w:b/>
                <w:b/>
                <w:sz w:val="20"/>
                <w:szCs w:val="20"/>
              </w:rPr>
            </w:pPr>
            <w:r>
              <w:rPr>
                <w:b/>
                <w:sz w:val="20"/>
                <w:szCs w:val="20"/>
              </w:rPr>
              <w:t>Medida</w:t>
            </w:r>
          </w:p>
        </w:tc>
        <w:tc>
          <w:tcPr>
            <w:tcW w:w="1429" w:type="dxa"/>
            <w:tcBorders>
              <w:left w:val="nil"/>
              <w:right w:val="nil"/>
              <w:insideV w:val="nil"/>
            </w:tcBorders>
            <w:shd w:color="auto" w:fill="auto" w:val="pct5"/>
            <w:vAlign w:val="center"/>
          </w:tcPr>
          <w:p>
            <w:pPr>
              <w:pStyle w:val="Normal"/>
              <w:spacing w:lineRule="auto" w:line="288" w:before="0" w:after="60"/>
              <w:jc w:val="center"/>
              <w:rPr>
                <w:b/>
                <w:b/>
                <w:sz w:val="20"/>
                <w:szCs w:val="20"/>
              </w:rPr>
            </w:pPr>
            <w:r>
              <w:rPr>
                <w:b/>
                <w:sz w:val="20"/>
                <w:szCs w:val="20"/>
              </w:rPr>
              <w:t>Unidad de medida</w:t>
            </w:r>
          </w:p>
        </w:tc>
      </w:tr>
      <w:tr>
        <w:trPr>
          <w:trHeight w:val="179" w:hRule="atLeast"/>
        </w:trPr>
        <w:tc>
          <w:tcPr>
            <w:tcW w:w="1639" w:type="dxa"/>
            <w:vMerge w:val="restart"/>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t>Indicadores de evaluación de resúmenes</w:t>
            </w:r>
          </w:p>
        </w:tc>
        <w:tc>
          <w:tcPr>
            <w:tcW w:w="2184" w:type="dxa"/>
            <w:vMerge w:val="restart"/>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t>Efectividad indicadores de evaluación</w:t>
            </w:r>
          </w:p>
        </w:tc>
        <w:tc>
          <w:tcPr>
            <w:tcW w:w="3718" w:type="dxa"/>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t>Tratamiento de la incertidumbre</w:t>
            </w:r>
            <w:r>
              <w:rPr>
                <w:rStyle w:val="FootnoteAnchor"/>
                <w:sz w:val="20"/>
                <w:szCs w:val="20"/>
              </w:rPr>
              <w:footnoteReference w:id="5"/>
            </w:r>
          </w:p>
        </w:tc>
        <w:tc>
          <w:tcPr>
            <w:tcW w:w="1429" w:type="dxa"/>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t>Sí o No</w:t>
            </w:r>
          </w:p>
        </w:tc>
      </w:tr>
      <w:tr>
        <w:trPr>
          <w:trHeight w:val="617" w:hRule="atLeast"/>
        </w:trPr>
        <w:tc>
          <w:tcPr>
            <w:tcW w:w="1639" w:type="dxa"/>
            <w:vMerge w:val="continue"/>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r>
          </w:p>
        </w:tc>
        <w:tc>
          <w:tcPr>
            <w:tcW w:w="2184" w:type="dxa"/>
            <w:vMerge w:val="continue"/>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r>
          </w:p>
        </w:tc>
        <w:tc>
          <w:tcPr>
            <w:tcW w:w="3718" w:type="dxa"/>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t>Comportamiento en escenarios de pruebas de los indicadores</w:t>
            </w:r>
          </w:p>
        </w:tc>
        <w:tc>
          <w:tcPr>
            <w:tcW w:w="1429" w:type="dxa"/>
            <w:tcBorders>
              <w:left w:val="nil"/>
              <w:right w:val="nil"/>
              <w:insideV w:val="nil"/>
            </w:tcBorders>
            <w:shd w:color="auto" w:fill="auto" w:val="clear"/>
          </w:tcPr>
          <w:p>
            <w:pPr>
              <w:pStyle w:val="Normal"/>
              <w:spacing w:lineRule="auto" w:line="288" w:before="0" w:after="60"/>
              <w:jc w:val="center"/>
              <w:rPr>
                <w:sz w:val="20"/>
                <w:szCs w:val="20"/>
              </w:rPr>
            </w:pPr>
            <w:r>
              <w:rPr>
                <w:sz w:val="20"/>
                <w:szCs w:val="20"/>
              </w:rPr>
              <w:t>Evaluación cualitativa</w:t>
            </w:r>
          </w:p>
        </w:tc>
      </w:tr>
      <w:tr>
        <w:trPr>
          <w:trHeight w:val="179" w:hRule="atLeast"/>
        </w:trPr>
        <w:tc>
          <w:tcPr>
            <w:tcW w:w="1639" w:type="dxa"/>
            <w:vMerge w:val="restart"/>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t>Algoritmos para la generación de resúmenes lingüísticos de datos</w:t>
            </w:r>
          </w:p>
        </w:tc>
        <w:tc>
          <w:tcPr>
            <w:tcW w:w="2184" w:type="dxa"/>
            <w:vMerge w:val="restart"/>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t>Calidad de los resúmenes</w:t>
            </w:r>
          </w:p>
        </w:tc>
        <w:tc>
          <w:tcPr>
            <w:tcW w:w="3718" w:type="dxa"/>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t>Grado de verdad</w:t>
            </w:r>
          </w:p>
        </w:tc>
        <w:tc>
          <w:tcPr>
            <w:tcW w:w="1429" w:type="dxa"/>
            <w:vMerge w:val="restart"/>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t>[0, 1]</w:t>
            </w:r>
          </w:p>
        </w:tc>
      </w:tr>
      <w:tr>
        <w:trPr>
          <w:trHeight w:val="179" w:hRule="atLeast"/>
        </w:trPr>
        <w:tc>
          <w:tcPr>
            <w:tcW w:w="1639" w:type="dxa"/>
            <w:vMerge w:val="continue"/>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r>
          </w:p>
        </w:tc>
        <w:tc>
          <w:tcPr>
            <w:tcW w:w="2184" w:type="dxa"/>
            <w:vMerge w:val="continue"/>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r>
          </w:p>
        </w:tc>
        <w:tc>
          <w:tcPr>
            <w:tcW w:w="3718" w:type="dxa"/>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t>Grado de imprecisión</w:t>
            </w:r>
          </w:p>
        </w:tc>
        <w:tc>
          <w:tcPr>
            <w:tcW w:w="1429" w:type="dxa"/>
            <w:vMerge w:val="continue"/>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r>
          </w:p>
        </w:tc>
      </w:tr>
      <w:tr>
        <w:trPr>
          <w:trHeight w:val="179" w:hRule="atLeast"/>
        </w:trPr>
        <w:tc>
          <w:tcPr>
            <w:tcW w:w="1639" w:type="dxa"/>
            <w:vMerge w:val="continue"/>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r>
          </w:p>
        </w:tc>
        <w:tc>
          <w:tcPr>
            <w:tcW w:w="2184" w:type="dxa"/>
            <w:vMerge w:val="continue"/>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r>
          </w:p>
        </w:tc>
        <w:tc>
          <w:tcPr>
            <w:tcW w:w="3718" w:type="dxa"/>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t>Grado de cobertura</w:t>
            </w:r>
          </w:p>
        </w:tc>
        <w:tc>
          <w:tcPr>
            <w:tcW w:w="1429" w:type="dxa"/>
            <w:vMerge w:val="continue"/>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r>
          </w:p>
        </w:tc>
      </w:tr>
      <w:tr>
        <w:trPr>
          <w:trHeight w:val="179" w:hRule="atLeast"/>
        </w:trPr>
        <w:tc>
          <w:tcPr>
            <w:tcW w:w="1639" w:type="dxa"/>
            <w:vMerge w:val="continue"/>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r>
          </w:p>
        </w:tc>
        <w:tc>
          <w:tcPr>
            <w:tcW w:w="2184" w:type="dxa"/>
            <w:vMerge w:val="continue"/>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r>
          </w:p>
        </w:tc>
        <w:tc>
          <w:tcPr>
            <w:tcW w:w="3718" w:type="dxa"/>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t>Grado de adecuación</w:t>
            </w:r>
          </w:p>
        </w:tc>
        <w:tc>
          <w:tcPr>
            <w:tcW w:w="1429" w:type="dxa"/>
            <w:vMerge w:val="continue"/>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r>
          </w:p>
        </w:tc>
      </w:tr>
      <w:tr>
        <w:trPr>
          <w:trHeight w:val="179" w:hRule="atLeast"/>
        </w:trPr>
        <w:tc>
          <w:tcPr>
            <w:tcW w:w="1639" w:type="dxa"/>
            <w:vMerge w:val="continue"/>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r>
          </w:p>
        </w:tc>
        <w:tc>
          <w:tcPr>
            <w:tcW w:w="2184" w:type="dxa"/>
            <w:vMerge w:val="continue"/>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r>
          </w:p>
        </w:tc>
        <w:tc>
          <w:tcPr>
            <w:tcW w:w="3718" w:type="dxa"/>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t>Longitud de un resumen</w:t>
            </w:r>
          </w:p>
        </w:tc>
        <w:tc>
          <w:tcPr>
            <w:tcW w:w="1429" w:type="dxa"/>
            <w:vMerge w:val="continue"/>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r>
          </w:p>
        </w:tc>
      </w:tr>
      <w:tr>
        <w:trPr>
          <w:trHeight w:val="179" w:hRule="atLeast"/>
        </w:trPr>
        <w:tc>
          <w:tcPr>
            <w:tcW w:w="1639" w:type="dxa"/>
            <w:vMerge w:val="continue"/>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r>
          </w:p>
        </w:tc>
        <w:tc>
          <w:tcPr>
            <w:tcW w:w="2184" w:type="dxa"/>
            <w:vMerge w:val="continue"/>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r>
          </w:p>
        </w:tc>
        <w:tc>
          <w:tcPr>
            <w:tcW w:w="3718" w:type="dxa"/>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t>Fortaleza de las relaciones</w:t>
            </w:r>
          </w:p>
        </w:tc>
        <w:tc>
          <w:tcPr>
            <w:tcW w:w="1429" w:type="dxa"/>
            <w:vMerge w:val="continue"/>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r>
          </w:p>
        </w:tc>
      </w:tr>
      <w:tr>
        <w:trPr>
          <w:trHeight w:val="179" w:hRule="atLeast"/>
        </w:trPr>
        <w:tc>
          <w:tcPr>
            <w:tcW w:w="1639" w:type="dxa"/>
            <w:vMerge w:val="continue"/>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r>
          </w:p>
        </w:tc>
        <w:tc>
          <w:tcPr>
            <w:tcW w:w="2184" w:type="dxa"/>
            <w:vMerge w:val="continue"/>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r>
          </w:p>
        </w:tc>
        <w:tc>
          <w:tcPr>
            <w:tcW w:w="3718" w:type="dxa"/>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t>Grado de cubrimiento de situaciones con alta y baja ocurrencia en BD</w:t>
            </w:r>
          </w:p>
        </w:tc>
        <w:tc>
          <w:tcPr>
            <w:tcW w:w="1429" w:type="dxa"/>
            <w:vMerge w:val="continue"/>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r>
          </w:p>
        </w:tc>
      </w:tr>
      <w:tr>
        <w:trPr>
          <w:trHeight w:val="179" w:hRule="atLeast"/>
        </w:trPr>
        <w:tc>
          <w:tcPr>
            <w:tcW w:w="1639" w:type="dxa"/>
            <w:vMerge w:val="continue"/>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r>
          </w:p>
        </w:tc>
        <w:tc>
          <w:tcPr>
            <w:tcW w:w="2184" w:type="dxa"/>
            <w:vMerge w:val="restart"/>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t>Eficiencia de algoritmos</w:t>
            </w:r>
          </w:p>
        </w:tc>
        <w:tc>
          <w:tcPr>
            <w:tcW w:w="3718" w:type="dxa"/>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t>Complejidad computacional</w:t>
            </w:r>
          </w:p>
        </w:tc>
        <w:tc>
          <w:tcPr>
            <w:tcW w:w="1429" w:type="dxa"/>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t>Complejidad</w:t>
            </w:r>
          </w:p>
        </w:tc>
      </w:tr>
      <w:tr>
        <w:trPr>
          <w:trHeight w:val="178" w:hRule="atLeast"/>
        </w:trPr>
        <w:tc>
          <w:tcPr>
            <w:tcW w:w="1639" w:type="dxa"/>
            <w:vMerge w:val="continue"/>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r>
          </w:p>
        </w:tc>
        <w:tc>
          <w:tcPr>
            <w:tcW w:w="2184" w:type="dxa"/>
            <w:vMerge w:val="continue"/>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r>
          </w:p>
        </w:tc>
        <w:tc>
          <w:tcPr>
            <w:tcW w:w="3718" w:type="dxa"/>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t>Tiempo de ejecución</w:t>
            </w:r>
          </w:p>
        </w:tc>
        <w:tc>
          <w:tcPr>
            <w:tcW w:w="1429" w:type="dxa"/>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t>Minutos</w:t>
            </w:r>
          </w:p>
        </w:tc>
      </w:tr>
      <w:tr>
        <w:trPr>
          <w:trHeight w:val="178" w:hRule="atLeast"/>
        </w:trPr>
        <w:tc>
          <w:tcPr>
            <w:tcW w:w="1639" w:type="dxa"/>
            <w:vMerge w:val="continue"/>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r>
          </w:p>
        </w:tc>
        <w:tc>
          <w:tcPr>
            <w:tcW w:w="2184" w:type="dxa"/>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t>Desempeño integral de los algoritmos</w:t>
            </w:r>
          </w:p>
        </w:tc>
        <w:tc>
          <w:tcPr>
            <w:tcW w:w="3718" w:type="dxa"/>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t>Evaluación integral de los algoritmos considerando eficacia y eficiencia</w:t>
            </w:r>
          </w:p>
        </w:tc>
        <w:tc>
          <w:tcPr>
            <w:tcW w:w="1429" w:type="dxa"/>
            <w:tcBorders>
              <w:left w:val="nil"/>
              <w:right w:val="nil"/>
              <w:insideV w:val="nil"/>
            </w:tcBorders>
            <w:shd w:color="auto" w:fill="auto" w:val="clear"/>
            <w:vAlign w:val="center"/>
          </w:tcPr>
          <w:p>
            <w:pPr>
              <w:pStyle w:val="Normal"/>
              <w:spacing w:lineRule="auto" w:line="288" w:before="0" w:after="60"/>
              <w:jc w:val="center"/>
              <w:rPr>
                <w:sz w:val="20"/>
                <w:szCs w:val="20"/>
              </w:rPr>
            </w:pPr>
            <w:r>
              <w:rPr>
                <w:sz w:val="20"/>
                <w:szCs w:val="20"/>
              </w:rPr>
              <w:t>Orden de los algoritmos</w:t>
            </w:r>
          </w:p>
        </w:tc>
      </w:tr>
    </w:tbl>
    <w:p>
      <w:pPr>
        <w:pStyle w:val="TDNormal"/>
        <w:spacing w:before="80" w:after="0"/>
        <w:rPr/>
      </w:pPr>
      <w:bookmarkStart w:id="200" w:name="_Hlk79823200"/>
      <w:bookmarkStart w:id="201" w:name="__RefHeading__344_1220193368"/>
      <w:bookmarkEnd w:id="201"/>
      <w:r>
        <w:rPr/>
        <w:t xml:space="preserve">Para evaluar la variable dependiente y las independientes se diseñan conjuntos de pruebas por cada dimensión </w:t>
      </w:r>
      <w:bookmarkEnd w:id="200"/>
      <w:r>
        <w:rPr/>
        <w:t>como se muestra a continuación.</w:t>
      </w:r>
    </w:p>
    <w:p>
      <w:pPr>
        <w:pStyle w:val="TDNormal"/>
        <w:rPr/>
      </w:pPr>
      <w:r>
        <w:rPr/>
        <w:t>En el capítulo 3 se evalúa la variable independiente “Indicadores de evaluación de resúmenes”, para ello se aplica el conjunto de pruebas 1:</w:t>
      </w:r>
    </w:p>
    <w:p>
      <w:pPr>
        <w:pStyle w:val="TDNormal"/>
        <w:numPr>
          <w:ilvl w:val="0"/>
          <w:numId w:val="76"/>
        </w:numPr>
        <w:ind w:left="709" w:hanging="425"/>
        <w:rPr/>
      </w:pPr>
      <w:r>
        <w:rPr/>
        <w:t xml:space="preserve">Se compara el comportamiento de los indicadores de evaluación tradicionales con las nuevas extensiones propuestas considerando las medidas: “Capacidad para el tratamiento de la incertidumbre” y “Comportamiento en los escenarios de prueba”. Para las comparaciones se simulan 29 posibles escenarios sobre los que se realizan los siguientes análisis: </w:t>
      </w:r>
    </w:p>
    <w:p>
      <w:pPr>
        <w:pStyle w:val="ListParagraph"/>
        <w:numPr>
          <w:ilvl w:val="0"/>
          <w:numId w:val="77"/>
        </w:numPr>
        <w:ind w:left="1276" w:hanging="360"/>
        <w:rPr>
          <w:lang w:val="es-ES"/>
        </w:rPr>
      </w:pPr>
      <w:r>
        <w:rPr>
          <w:lang w:val="es-ES"/>
        </w:rPr>
        <w:t>Comportamiento del indicador grado de verdad y sus extensiones.</w:t>
      </w:r>
    </w:p>
    <w:p>
      <w:pPr>
        <w:pStyle w:val="ListParagraph"/>
        <w:numPr>
          <w:ilvl w:val="0"/>
          <w:numId w:val="77"/>
        </w:numPr>
        <w:ind w:left="1276" w:hanging="360"/>
        <w:rPr/>
      </w:pPr>
      <w:r>
        <w:rPr>
          <w:lang w:val="es-ES"/>
        </w:rPr>
        <w:t>Comportamiento del indicador</w:t>
      </w:r>
      <w:r>
        <w:rPr/>
        <w:t xml:space="preserve"> de soporte y sus extensiones</w:t>
      </w:r>
      <w:r>
        <w:rPr>
          <w:lang w:val="es-ES"/>
        </w:rPr>
        <w:t>.</w:t>
      </w:r>
    </w:p>
    <w:p>
      <w:pPr>
        <w:pStyle w:val="ListParagraph"/>
        <w:numPr>
          <w:ilvl w:val="0"/>
          <w:numId w:val="77"/>
        </w:numPr>
        <w:ind w:left="1276" w:hanging="360"/>
        <w:rPr>
          <w:lang w:val="es-ES"/>
        </w:rPr>
      </w:pPr>
      <w:r>
        <w:rPr>
          <w:lang w:val="es-ES"/>
        </w:rPr>
        <w:t>Comportamiento del indicador grado de adecuación y sus extensiones.</w:t>
      </w:r>
    </w:p>
    <w:p>
      <w:pPr>
        <w:pStyle w:val="ListParagraph"/>
        <w:numPr>
          <w:ilvl w:val="0"/>
          <w:numId w:val="77"/>
        </w:numPr>
        <w:ind w:left="1276" w:hanging="360"/>
        <w:rPr/>
      </w:pPr>
      <w:r>
        <w:rPr>
          <w:lang w:val="es-ES"/>
        </w:rPr>
        <w:t>Comportamiento de los</w:t>
      </w:r>
      <w:r>
        <w:rPr/>
        <w:t xml:space="preserve"> indicadores asociados al tamaño del resumen</w:t>
      </w:r>
      <w:r>
        <w:rPr>
          <w:lang w:val="es-ES"/>
        </w:rPr>
        <w:t>.</w:t>
      </w:r>
    </w:p>
    <w:p>
      <w:pPr>
        <w:pStyle w:val="TDNormal"/>
        <w:rPr/>
      </w:pPr>
      <w:r>
        <w:rPr/>
        <w:t>En el capítulo 4 se evalúa la variable independiente “Algoritmos para la generación y evaluación de resúmenes lingüísticos de datos”, combinando técnicas de triangulación de métodos y triangulación de datos</w:t>
      </w:r>
      <w:bookmarkStart w:id="202" w:name="__RefHeading__358_1220193368"/>
      <w:bookmarkStart w:id="203" w:name="__RefHeading__399_1820660768"/>
      <w:bookmarkStart w:id="204" w:name="__RefHeading__276_1544525110"/>
      <w:bookmarkStart w:id="205" w:name="__RefHeading__192_208808435"/>
      <w:bookmarkStart w:id="206" w:name="__RefHeading__194_2137108762"/>
      <w:bookmarkStart w:id="207" w:name="__RefHeading__6885_1368057344"/>
      <w:bookmarkStart w:id="208" w:name="__RefHeading__461_234932185"/>
      <w:bookmarkStart w:id="209" w:name="__RefHeading__151_473670690"/>
      <w:bookmarkStart w:id="210" w:name="__RefHeading__368_1103062518"/>
      <w:bookmarkStart w:id="211" w:name="__RefHeading__1083_1498667250"/>
      <w:bookmarkStart w:id="212" w:name="__RefHeading__722_567337369"/>
      <w:bookmarkEnd w:id="202"/>
      <w:bookmarkEnd w:id="203"/>
      <w:bookmarkEnd w:id="204"/>
      <w:bookmarkEnd w:id="205"/>
      <w:bookmarkEnd w:id="206"/>
      <w:bookmarkEnd w:id="207"/>
      <w:bookmarkEnd w:id="208"/>
      <w:bookmarkEnd w:id="209"/>
      <w:bookmarkEnd w:id="210"/>
      <w:bookmarkEnd w:id="211"/>
      <w:bookmarkEnd w:id="212"/>
      <w:r>
        <w:rPr/>
        <w:t>, y se realizan los siguientes conjuntos de pruebas:</w:t>
      </w:r>
    </w:p>
    <w:p>
      <w:pPr>
        <w:pStyle w:val="TDNormal"/>
        <w:numPr>
          <w:ilvl w:val="0"/>
          <w:numId w:val="76"/>
        </w:numPr>
        <w:ind w:left="709" w:hanging="360"/>
        <w:rPr/>
      </w:pPr>
      <w:r>
        <w:rPr>
          <w:lang w:val="en-US"/>
        </w:rPr>
        <w:t xml:space="preserve"> </w:t>
      </w:r>
      <w:r>
        <w:rPr>
          <w:lang w:val="en-US"/>
        </w:rPr>
        <w:t>Se evalúa la variable dependiente respecto a la dimensión “Calidad de los resúmenes”. En este caso se comparan los algoritmos propuestos con diferentes algoritmos reportados en la biblio</w:t>
      </w:r>
      <w:r>
        <w:rPr/>
        <w:t xml:space="preserve">grafía tales como: la metaheurística propuesta en </w:t>
      </w:r>
      <w:r>
        <w:fldChar w:fldCharType="begin"/>
      </w:r>
      <w:r>
        <w:instrText>ADDIN ZOTERO_ITEM CSL_CITATION {"citationID":"e5VjNgFO","properties":{"formattedCitation":"(Donis-D\\uc0\\u237{}az, Bello y Kacprzyk 2015)","plainCitation":"(Donis-Díaz, Bello y Kacprzyk 2015)","noteIndex":0},"citationItems":[{"id":"NJclqhNX/4naOJElr","uris":["http://zotero.org/users/local/rsuvzjK6/items/7DS66S9U"],"uri":["http://zotero.org/users/local/rsuvzjK6/items/7DS66S9U"],"itemData":{"id":3264,"type":"paper-conference","abstract":"Some models using metaheuristics based in an “improvement of solutions” procedure, specifically Genetic Algorithms (GA), have been proposed previously to the linguistic summarization of numerical data (LDS). In the present work is proposed a new model for LDS based in Ant Colony Optimization (ACO), a metaheuristic that use a “construction of solution” procedure. Both models are compared in LDS over creep data. Results show how the ACO based model overcomes the measures of goodness of the final summary but fails to improve the results of the GA based model in relation to the diversity of the summary. Features of both models are considered to explain the results.","collection-title":"Advances in Intelligent Systems and Computing","container-title":"Intelligent Systems'2014","DOI":"10.1007/978-3-319-11313-5_8","event-place":"Cham","ISBN":"978-3-319-11313-5","language":"en","page":"81–92","publisher":"Springer International Publishing","publisher-place":"Cham","title":"Using Ant Colony Optimization and Genetic Algorithms for the Linguistic Summarization of Creep Data","author":[{"family":"Donis-Díaz","given":"Carlos A."},{"family":"Bello","given":"Rafael"},{"family":"Kacprzyk","given":"Janusz"}],"editor":[{"family":"Angelov","given":"P."},{"family":"Atanassov","given":"K.T."},{"family":"Doukovska","given":"L."},{"family":"Hadjiski","given":"M."},{"family":"Jotsov","given":"V."},{"family":"Kacprzyk","given":"J."},{"family":"Kasabov","given":"N."},{"family":"Sotirov","given":"S."},{"family":"Szmidt","given":"E."},{"family":"Zadrożny","given":"S."}],"issued":{"date-parts":[["2015"]]}}}],"schema":"https://github.com/citation-style-language/schema/raw/master/csl-citation.json"}</w:instrText>
      </w:r>
      <w:r>
        <w:fldChar w:fldCharType="separate"/>
      </w:r>
      <w:bookmarkStart w:id="213" w:name="__Fieldmark__2717_2067855929"/>
      <w:r>
        <w:rPr/>
      </w:r>
      <w:r>
        <w:rPr>
          <w:szCs w:val="24"/>
        </w:rPr>
        <w:t>(</w:t>
      </w:r>
      <w:bookmarkStart w:id="214" w:name="__Fieldmark__2464_498839314"/>
      <w:r>
        <w:rPr>
          <w:szCs w:val="24"/>
        </w:rPr>
        <w:t>D</w:t>
      </w:r>
      <w:bookmarkStart w:id="215" w:name="__Fieldmark__2329_998588997"/>
      <w:r>
        <w:rPr>
          <w:szCs w:val="24"/>
        </w:rPr>
        <w:t>o</w:t>
      </w:r>
      <w:bookmarkStart w:id="216" w:name="__Fieldmark__4419_118561941"/>
      <w:r>
        <w:rPr>
          <w:szCs w:val="24"/>
        </w:rPr>
        <w:t>nis-Díaz, Bello y Kacprzyk 2015)</w:t>
      </w:r>
      <w:r>
        <w:rPr/>
      </w:r>
      <w:r>
        <w:fldChar w:fldCharType="end"/>
      </w:r>
      <w:bookmarkEnd w:id="213"/>
      <w:bookmarkEnd w:id="214"/>
      <w:bookmarkEnd w:id="215"/>
      <w:bookmarkEnd w:id="216"/>
      <w:r>
        <w:rPr/>
        <w:t xml:space="preserve"> y el algoritmo basado en reglas de asociación propuestos en </w:t>
      </w:r>
      <w:r>
        <w:fldChar w:fldCharType="begin"/>
      </w:r>
      <w:r>
        <w:instrText>ADDIN ZOTERO_ITEM CSL_CITATION {"citationID":"3RZTY8qk","properties":{"formattedCitation":"(Dijkman y Wilbik 2017)","plainCitation":"(Dijkman y Wilbik 2017)","noteIndex":0},"citationItems":[{"id":"NJclqhNX/tUNDshry","uris":["http://zotero.org/users/local/rsuvzjK6/items/8GWFVIKD"],"uri":["http://zotero.org/users/local/rsuvzjK6/items/8GWFVIKD"],"itemData":{"id":3297,"type":"article-journal","abstract":"The amount of data that is generated during the execution of a business process is growing. As a consequence it is increasingly hard to extract useful information from the large amount of data that is produced. Linguistic summarization helps to point business analysts in the direction of useful information, by verbalizing interesting patterns that exist in the data. In previous work we showed how linguistic summarization can be used to automatically generate diagnostic statements about event logs, such as ‘for most cases that contained the sequence ABC, the throughput time was long’. However, we also showed that our technique produced too many of these statements to be useful in a practical setting. Therefore this paper presents a novel technique for linguistic summarization of event logs, which generates linguistic summaries that are concise enough to be used in a practical setting, while at the same time enriching the summaries that are produced by also enabling conjunctive statements. The improved technique is based on pruning and clustering of linguistic summaries. We show that it can be used to reduce the number of summary statements 80–100% compared to previous work. In a survey among 51 practitioners, we found that practitioners consider linguistic summarization useful and easy to use and intend to use it if it were commercially available.","container-title":"Information Systems","DOI":"10.1016/j.is.2017.03.009","ISSN":"0306-4379","language":"en","page":"114–125","title":"Linguistic summarization of event logs – A practical approach","volume":"67","author":[{"family":"Dijkman","given":"Remco"},{"family":"Wilbik","given":"Anna"}],"issued":{"date-parts":[["2017",7]]}}}],"schema":"https://github.com/citation-style-language/schema/raw/master/csl-citation.json"}</w:instrText>
      </w:r>
      <w:r>
        <w:fldChar w:fldCharType="separate"/>
      </w:r>
      <w:bookmarkStart w:id="217" w:name="__Fieldmark__2732_2067855929"/>
      <w:r>
        <w:rPr/>
        <w:t>(</w:t>
      </w:r>
      <w:bookmarkStart w:id="218" w:name="__Fieldmark__2475_498839314"/>
      <w:r>
        <w:rPr/>
        <w:t>D</w:t>
      </w:r>
      <w:bookmarkStart w:id="219" w:name="__Fieldmark__2336_998588997"/>
      <w:r>
        <w:rPr/>
        <w:t>i</w:t>
      </w:r>
      <w:bookmarkStart w:id="220" w:name="__Fieldmark__4429_118561941"/>
      <w:r>
        <w:rPr/>
        <w:t>jkman y Wilbik 2017)</w:t>
      </w:r>
      <w:r>
        <w:rPr/>
      </w:r>
      <w:r>
        <w:fldChar w:fldCharType="end"/>
      </w:r>
      <w:bookmarkEnd w:id="217"/>
      <w:bookmarkEnd w:id="218"/>
      <w:bookmarkEnd w:id="219"/>
      <w:bookmarkEnd w:id="220"/>
      <w:r>
        <w:rPr/>
        <w:t xml:space="preserve"> de la siguiente forma</w:t>
      </w:r>
      <w:r>
        <w:rPr>
          <w:lang w:val="en-US"/>
        </w:rPr>
        <w:t xml:space="preserve">: </w:t>
      </w:r>
    </w:p>
    <w:p>
      <w:pPr>
        <w:pStyle w:val="TDNormal"/>
        <w:numPr>
          <w:ilvl w:val="0"/>
          <w:numId w:val="78"/>
        </w:numPr>
        <w:ind w:left="1134" w:hanging="284"/>
        <w:rPr/>
      </w:pPr>
      <w:r>
        <w:rPr>
          <w:lang w:val="en-US"/>
        </w:rPr>
        <w:t xml:space="preserve">Se comparan los resultados obtenidos por los algoritmos, respecto a los indicadores tradicionales </w:t>
      </w:r>
      <w:r>
        <w:rPr>
          <w:i/>
          <w:lang w:val="en-US"/>
        </w:rPr>
        <w:t>T</w:t>
      </w:r>
      <w:r>
        <w:rPr>
          <w:i/>
          <w:vertAlign w:val="subscript"/>
          <w:lang w:val="en-US"/>
        </w:rPr>
        <w:t>1</w:t>
      </w:r>
      <w:r>
        <w:rPr>
          <w:i/>
          <w:lang w:val="en-US"/>
        </w:rPr>
        <w:t>, T</w:t>
      </w:r>
      <w:r>
        <w:rPr>
          <w:i/>
          <w:vertAlign w:val="subscript"/>
          <w:lang w:val="en-US"/>
        </w:rPr>
        <w:t>2</w:t>
      </w:r>
      <w:r>
        <w:rPr>
          <w:i/>
          <w:lang w:val="en-US"/>
        </w:rPr>
        <w:t>, T</w:t>
      </w:r>
      <w:r>
        <w:rPr>
          <w:i/>
          <w:vertAlign w:val="subscript"/>
          <w:lang w:val="en-US"/>
        </w:rPr>
        <w:t>3</w:t>
      </w:r>
      <w:r>
        <w:rPr>
          <w:i/>
          <w:lang w:val="en-US"/>
        </w:rPr>
        <w:t>, T</w:t>
      </w:r>
      <w:r>
        <w:rPr>
          <w:i/>
          <w:vertAlign w:val="subscript"/>
          <w:lang w:val="en-US"/>
        </w:rPr>
        <w:t>4</w:t>
      </w:r>
      <w:r>
        <w:rPr>
          <w:i/>
          <w:lang w:val="en-US"/>
        </w:rPr>
        <w:t xml:space="preserve"> </w:t>
      </w:r>
      <w:r>
        <w:rPr>
          <w:lang w:val="en-US"/>
        </w:rPr>
        <w:t>y</w:t>
      </w:r>
      <w:r>
        <w:rPr>
          <w:i/>
          <w:lang w:val="en-US"/>
        </w:rPr>
        <w:t xml:space="preserve"> T</w:t>
      </w:r>
      <w:r>
        <w:rPr>
          <w:i/>
          <w:vertAlign w:val="subscript"/>
          <w:lang w:val="en-US"/>
        </w:rPr>
        <w:t>5</w:t>
      </w:r>
      <w:r>
        <w:rPr>
          <w:lang w:val="en-US"/>
        </w:rPr>
        <w:t xml:space="preserve"> y respecto a los indicadores extendidos </w:t>
      </w:r>
      <w:r>
        <w:rPr>
          <w:i/>
          <w:lang w:val="en-US"/>
        </w:rPr>
        <w:t>Te</w:t>
      </w:r>
      <w:r>
        <w:rPr>
          <w:i/>
          <w:vertAlign w:val="subscript"/>
          <w:lang w:val="en-US"/>
        </w:rPr>
        <w:t>1a</w:t>
      </w:r>
      <w:r>
        <w:rPr>
          <w:i/>
          <w:lang w:val="en-US"/>
        </w:rPr>
        <w:t>, Te</w:t>
      </w:r>
      <w:r>
        <w:rPr>
          <w:i/>
          <w:vertAlign w:val="subscript"/>
          <w:lang w:val="en-US"/>
        </w:rPr>
        <w:t>1b</w:t>
      </w:r>
      <w:r>
        <w:rPr>
          <w:i/>
          <w:lang w:val="en-US"/>
        </w:rPr>
        <w:t>, Te</w:t>
      </w:r>
      <w:r>
        <w:rPr>
          <w:i/>
          <w:vertAlign w:val="subscript"/>
          <w:lang w:val="en-US"/>
        </w:rPr>
        <w:t>3</w:t>
      </w:r>
      <w:r>
        <w:rPr>
          <w:i/>
          <w:lang w:val="en-US"/>
        </w:rPr>
        <w:t>, Te</w:t>
      </w:r>
      <w:r>
        <w:rPr>
          <w:i/>
          <w:vertAlign w:val="subscript"/>
          <w:lang w:val="en-US"/>
        </w:rPr>
        <w:t>4</w:t>
      </w:r>
      <w:r>
        <w:rPr>
          <w:i/>
          <w:lang w:val="en-US"/>
        </w:rPr>
        <w:t xml:space="preserve"> </w:t>
      </w:r>
      <w:r>
        <w:rPr>
          <w:lang w:val="en-US"/>
        </w:rPr>
        <w:t>y</w:t>
      </w:r>
      <w:r>
        <w:rPr>
          <w:i/>
          <w:lang w:val="en-US"/>
        </w:rPr>
        <w:t xml:space="preserve"> Te</w:t>
      </w:r>
      <w:r>
        <w:rPr>
          <w:i/>
          <w:vertAlign w:val="subscript"/>
          <w:lang w:val="en-US"/>
        </w:rPr>
        <w:t>5</w:t>
      </w:r>
      <w:r>
        <w:rPr>
          <w:lang w:val="en-US"/>
        </w:rPr>
        <w:t xml:space="preserve">. </w:t>
      </w:r>
    </w:p>
    <w:p>
      <w:pPr>
        <w:pStyle w:val="TDNormal"/>
        <w:numPr>
          <w:ilvl w:val="0"/>
          <w:numId w:val="78"/>
        </w:numPr>
        <w:ind w:left="1134" w:hanging="284"/>
        <w:rPr/>
      </w:pPr>
      <w:r>
        <w:rPr>
          <w:lang w:val="en-US"/>
        </w:rPr>
        <w:t xml:space="preserve">Se aplican técnicas de </w:t>
      </w:r>
      <w:r>
        <w:rPr/>
        <w:t xml:space="preserve">triangulación de datos en las siguientes 12 bases de datos: </w:t>
      </w:r>
    </w:p>
    <w:p>
      <w:pPr>
        <w:pStyle w:val="ListParagraph"/>
        <w:numPr>
          <w:ilvl w:val="1"/>
          <w:numId w:val="18"/>
        </w:numPr>
        <w:rPr/>
      </w:pPr>
      <w:r>
        <w:rPr>
          <w:lang w:val="en-US"/>
        </w:rPr>
        <w:t xml:space="preserve">7 bases de datos públicas en </w:t>
      </w:r>
      <w:r>
        <w:rPr>
          <w:lang w:val="es-ES"/>
        </w:rPr>
        <w:t xml:space="preserve">el Repositorio de Investigaciones en Gestión de Proyectos </w:t>
      </w:r>
      <w:r>
        <w:fldChar w:fldCharType="begin"/>
      </w:r>
      <w:r>
        <w:instrText>ADDIN ZOTERO_ITEM CSL_CITATION {"citationID":"z8A9p38z","properties":{"formattedCitation":"(Pi\\uc0\\u241{}ero et\\uc0\\u160{}al. 2019)","plainCitation":"(Piñero et al. 2019)","noteIndex":0},"citationItems":[{"id":"NJclqhNX/j2L6UaC9","uris":["http://zotero.org/users/local/rsuvzjK6/items/WYIWE43D"],"uri":["http://zotero.org/users/local/rsuvzjK6/items/WYIWE43D"],"itemData":{"id":2198,"type":"article-journal","container-title":"Revista Cubana de Ciencias Informáticas","ISSN":"2227-1899","issue":"1","page":"176–191","title":"Repositorio de datos para investigaciones en gestión de proyectos","volume":"13","author":[{"family":"Piñero","given":"Pedro"},{"family":"Pupo","given":"Iliana"},{"family":"Rivero Hechavarría","given":"Claudia Celeste"},{"family":"Rojas","given":"Clarisbel"},{"family":"Sosa","given":"Rosel"},{"family":"Torres","given":"Surayne"}],"issued":{"date-parts":[["2019"]]}}}],"schema":"https://github.com/citation-style-language/schema/raw/master/csl-citation.json"}</w:instrText>
      </w:r>
      <w:r>
        <w:fldChar w:fldCharType="separate"/>
      </w:r>
      <w:bookmarkStart w:id="221" w:name="__Fieldmark__2782_2067855929"/>
      <w:r>
        <w:rPr>
          <w:lang w:val="es-ES"/>
        </w:rPr>
      </w:r>
      <w:r>
        <w:rPr>
          <w:szCs w:val="24"/>
          <w:lang w:val="es-ES"/>
        </w:rPr>
        <w:t>(</w:t>
      </w:r>
      <w:bookmarkStart w:id="222" w:name="__Fieldmark__2519_498839314"/>
      <w:r>
        <w:rPr>
          <w:szCs w:val="24"/>
          <w:lang w:val="es-ES"/>
        </w:rPr>
        <w:t>P</w:t>
      </w:r>
      <w:bookmarkStart w:id="223" w:name="__Fieldmark__2376_998588997"/>
      <w:r>
        <w:rPr>
          <w:szCs w:val="24"/>
          <w:lang w:val="es-ES"/>
        </w:rPr>
        <w:t>i</w:t>
      </w:r>
      <w:bookmarkStart w:id="224" w:name="__Fieldmark__4478_118561941"/>
      <w:r>
        <w:rPr>
          <w:szCs w:val="24"/>
          <w:lang w:val="es-ES"/>
        </w:rPr>
        <w:t>ñero et al. 2019)</w:t>
      </w:r>
      <w:r>
        <w:rPr>
          <w:lang w:val="es-ES"/>
        </w:rPr>
      </w:r>
      <w:r>
        <w:fldChar w:fldCharType="end"/>
      </w:r>
      <w:bookmarkEnd w:id="221"/>
      <w:bookmarkEnd w:id="222"/>
      <w:bookmarkEnd w:id="223"/>
      <w:bookmarkEnd w:id="224"/>
      <w:r>
        <w:rPr>
          <w:lang w:val="es-ES"/>
        </w:rPr>
        <w:t>, asociadas</w:t>
      </w:r>
      <w:r>
        <w:rPr>
          <w:lang w:val="en-US"/>
        </w:rPr>
        <w:t xml:space="preserve"> a evaluación y toma de decisiones en gestión de proyectos. </w:t>
      </w:r>
    </w:p>
    <w:p>
      <w:pPr>
        <w:pStyle w:val="ListParagraph"/>
        <w:numPr>
          <w:ilvl w:val="1"/>
          <w:numId w:val="18"/>
        </w:numPr>
        <w:rPr>
          <w:lang w:val="en-US"/>
        </w:rPr>
      </w:pPr>
      <w:r>
        <w:rPr>
          <w:lang w:val="en-US"/>
        </w:rPr>
        <w:t xml:space="preserve">2 bases de datos relacionadas con auditorías y controles internos realizados a entidades estatales y no estatales del país. </w:t>
      </w:r>
    </w:p>
    <w:p>
      <w:pPr>
        <w:pStyle w:val="ListParagraph"/>
        <w:numPr>
          <w:ilvl w:val="1"/>
          <w:numId w:val="18"/>
        </w:numPr>
        <w:rPr>
          <w:lang w:val="en-US"/>
        </w:rPr>
      </w:pPr>
      <w:r>
        <w:rPr>
          <w:lang w:val="en-US"/>
        </w:rPr>
        <w:t>3 bases de datos asociadas a información clínica, 2 de ellas sobre predicción de complicaciones en pacientes embarazadas cardiópatas y la 3ra sobre enfermos de covid-19 en Cuba.</w:t>
      </w:r>
    </w:p>
    <w:p>
      <w:pPr>
        <w:pStyle w:val="TDNormal"/>
        <w:numPr>
          <w:ilvl w:val="0"/>
          <w:numId w:val="78"/>
        </w:numPr>
        <w:ind w:left="1134" w:hanging="284"/>
        <w:rPr/>
      </w:pPr>
      <w:r>
        <w:rPr/>
        <w:t xml:space="preserve">Comparación de los algoritmos respecto al </w:t>
      </w:r>
      <w:r>
        <w:rPr>
          <w:lang w:val="en-US"/>
        </w:rPr>
        <w:t>indicador “Cubrimiento de diferentes situaciones en la base de datos”. Este indicador es importante porque apoya el análisis de los algoritmos respecto a su aplicabilidad en entornos asociados a la minería de datos anómalos.</w:t>
      </w:r>
      <w:r>
        <w:rPr/>
        <w:t xml:space="preserve"> </w:t>
      </w:r>
    </w:p>
    <w:p>
      <w:pPr>
        <w:pStyle w:val="TDNormal"/>
        <w:numPr>
          <w:ilvl w:val="0"/>
          <w:numId w:val="78"/>
        </w:numPr>
        <w:ind w:left="1134" w:hanging="284"/>
        <w:rPr/>
      </w:pPr>
      <w:r>
        <w:rPr/>
        <w:t xml:space="preserve">Comparación de los algoritmos respecto a la “Fortaleza de las dependencias descubiertas”. Este último indicador fue </w:t>
      </w:r>
      <w:r>
        <w:rPr>
          <w:lang w:val="en-US"/>
        </w:rPr>
        <w:t xml:space="preserve">empleado en </w:t>
      </w:r>
      <w:r>
        <w:fldChar w:fldCharType="begin"/>
      </w:r>
      <w:r>
        <w:instrText>ADDIN ZOTERO_ITEM CSL_CITATION {"citationID":"963hItCU","properties":{"formattedCitation":"(Donis-D\\uc0\\u237{}az, Bello y Kacprzyk 2015)","plainCitation":"(Donis-Díaz, Bello y Kacprzyk 2015)","noteIndex":0},"citationItems":[{"id":"NJclqhNX/4naOJElr","uris":["http://zotero.org/users/local/rsuvzjK6/items/7DS66S9U"],"uri":["http://zotero.org/users/local/rsuvzjK6/items/7DS66S9U"],"itemData":{"id":3264,"type":"paper-conference","abstract":"Some models using metaheuristics based in an “improvement of solutions” procedure, specifically Genetic Algorithms (GA), have been proposed previously to the linguistic summarization of numerical data (LDS). In the present work is proposed a new model for LDS based in Ant Colony Optimization (ACO), a metaheuristic that use a “construction of solution” procedure. Both models are compared in LDS over creep data. Results show how the ACO based model overcomes the measures of goodness of the final summary but fails to improve the results of the GA based model in relation to the diversity of the summary. Features of both models are considered to explain the results.","collection-title":"Advances in Intelligent Systems and Computing","container-title":"Intelligent Systems'2014","DOI":"10.1007/978-3-319-11313-5_8","event-place":"Cham","ISBN":"978-3-319-11313-5","language":"en","page":"81–92","publisher":"Springer International Publishing","publisher-place":"Cham","title":"Using Ant Colony Optimization and Genetic Algorithms for the Linguistic Summarization of Creep Data","author":[{"family":"Donis-Díaz","given":"Carlos A."},{"family":"Bello","given":"Rafael"},{"family":"Kacprzyk","given":"Janusz"}],"editor":[{"family":"Angelov","given":"P."},{"family":"Atanassov","given":"K.T."},{"family":"Doukovska","given":"L."},{"family":"Hadjiski","given":"M."},{"family":"Jotsov","given":"V."},{"family":"Kacprzyk","given":"J."},{"family":"Kasabov","given":"N."},{"family":"Sotirov","given":"S."},{"family":"Szmidt","given":"E."},{"family":"Zadrożny","given":"S."}],"issued":{"date-parts":[["2015"]]}}}],"schema":"https://github.com/citation-style-language/schema/raw/master/csl-citation.json"}</w:instrText>
      </w:r>
      <w:r>
        <w:fldChar w:fldCharType="separate"/>
      </w:r>
      <w:bookmarkStart w:id="225" w:name="__Fieldmark__2809_2067855929"/>
      <w:r>
        <w:rPr>
          <w:lang w:val="en-US"/>
        </w:rPr>
      </w:r>
      <w:r>
        <w:rPr>
          <w:szCs w:val="24"/>
          <w:lang w:val="en-US"/>
        </w:rPr>
        <w:t>(</w:t>
      </w:r>
      <w:bookmarkStart w:id="226" w:name="__Fieldmark__2539_498839314"/>
      <w:r>
        <w:rPr>
          <w:szCs w:val="24"/>
          <w:lang w:val="en-US"/>
        </w:rPr>
        <w:t>D</w:t>
      </w:r>
      <w:bookmarkStart w:id="227" w:name="__Fieldmark__2392_998588997"/>
      <w:r>
        <w:rPr>
          <w:szCs w:val="24"/>
          <w:lang w:val="en-US"/>
        </w:rPr>
        <w:t>o</w:t>
      </w:r>
      <w:bookmarkStart w:id="228" w:name="__Fieldmark__4505_118561941"/>
      <w:r>
        <w:rPr>
          <w:szCs w:val="24"/>
          <w:lang w:val="en-US"/>
        </w:rPr>
        <w:t>nis-Díaz, Bello y Kacprzyk 2015)</w:t>
      </w:r>
      <w:r>
        <w:rPr>
          <w:lang w:val="en-US"/>
        </w:rPr>
      </w:r>
      <w:r>
        <w:fldChar w:fldCharType="end"/>
      </w:r>
      <w:bookmarkEnd w:id="225"/>
      <w:bookmarkEnd w:id="226"/>
      <w:bookmarkEnd w:id="227"/>
      <w:bookmarkEnd w:id="228"/>
      <w:r>
        <w:rPr/>
        <w:t xml:space="preserve"> </w:t>
      </w:r>
      <w:r>
        <w:rPr>
          <w:lang w:val="en-US"/>
        </w:rPr>
        <w:t xml:space="preserve">para la comparación de algoritmos, </w:t>
      </w:r>
      <w:r>
        <w:rPr/>
        <w:t>mide la</w:t>
      </w:r>
      <w:r>
        <w:rPr>
          <w:lang w:val="en-US"/>
        </w:rPr>
        <w:t xml:space="preserve"> aparición de cuantificadores “la mayoría”, “casi la totalidad” y “muchos” entre los resúmenes.</w:t>
      </w:r>
    </w:p>
    <w:p>
      <w:pPr>
        <w:pStyle w:val="TDNormal"/>
        <w:numPr>
          <w:ilvl w:val="0"/>
          <w:numId w:val="76"/>
        </w:numPr>
        <w:ind w:left="709" w:hanging="360"/>
        <w:rPr/>
      </w:pPr>
      <w:r>
        <w:rPr>
          <w:lang w:val="en-US"/>
        </w:rPr>
        <w:t xml:space="preserve"> </w:t>
      </w:r>
      <w:r>
        <w:rPr>
          <w:lang w:val="en-US"/>
        </w:rPr>
        <w:t>Análisis de la dimensión “Eficiencia de los algoritmos”, donde se comparan los algoritmos propuestos con otros reportados en la bibliografía respecto a la complejidad computacional y al tiempo de ejecución.</w:t>
      </w:r>
    </w:p>
    <w:p>
      <w:pPr>
        <w:pStyle w:val="TDNormal"/>
        <w:numPr>
          <w:ilvl w:val="0"/>
          <w:numId w:val="76"/>
        </w:numPr>
        <w:ind w:left="709" w:hanging="360"/>
        <w:rPr/>
      </w:pPr>
      <w:r>
        <w:rPr>
          <w:lang w:val="en-US"/>
        </w:rPr>
        <w:t xml:space="preserve">Análisis de la dimensión “Desempeño integral de los algoritmos” a partir de aplicar el test de ranking </w:t>
      </w:r>
      <w:r>
        <w:rPr>
          <w:i/>
          <w:lang w:val="en-US"/>
        </w:rPr>
        <w:t>Page´L Trent Test</w:t>
      </w:r>
      <w:r>
        <w:rPr>
          <w:lang w:val="en-US"/>
        </w:rPr>
        <w:t xml:space="preserve"> </w:t>
      </w:r>
      <w:r>
        <w:fldChar w:fldCharType="begin"/>
      </w:r>
      <w:r>
        <w:instrText>ADDIN ZOTERO_ITEM CSL_CITATION {"citationID":"aihbk46vbn","properties":{"formattedCitation":"(Salkind 2007)","plainCitation":"(Salkind 2007)","noteIndex":0},"citationItems":[{"id":"NJclqhNX/s064lcIa","uris":["http://zotero.org/users/local/rsuvzjK6/items/N26QQV7K"],"uri":["http://zotero.org/users/local/rsuvzjK6/items/N26QQV7K"],"itemData":{"id":3555,"type":"book","abstract":"\"The study of measurement and statistics can be less than inviting. However, in fields as varying as education, politics, and health care, assessment and the use of measurement and statistics have become integral parts of almost every activity undertaken. These activities require the organization of ideas, the generation of hypotheses, the collection of data, and the interpretation, illustration, and analysis of data. No matter where educated people look, this critical analysis is more important than ever in an age where information - and lots of it - is readily available. The Encyclopedia of Measurement and Statistics presents state-of-the-art information and ready-to-use facts from the fields of measurement and statistics in an unintimidating style. The ideas and tools contained in these pages are approachable and can be invaluable for understanding our very technical world and the increasing flow of information. Although there are references that cover statistics and assessment in depth, none provides as comprehensive a resource in as focused and accessible a manner as the two volumes of this encyclopedia. Through approximately 500 contributions, experts provide an overview and an explanation of the major topics in these two areas. Key Features Covers every major facet of these two different, but highly integrated disciplines - from mean, mode, and median to reliability, validity, significance, correlation, and much more - all without overwhelming the informed reader Offers cross-disciplinary coverage, with contributions from and applications to the fields of Psychology, Education, Sociology, Human Development, Political Science, Business and Management, Public Health, and others Provides cross-reference terms, a brief listing of further readings, and Web site URLs following most entries, as well as an extensive set of appendices and an annotated list of organizations relevant to measurement and statistics Appendices Features Appendix A is a guide to basic statistics for those readers who might like an instructional step-by-step presentation of basic concepts in statistics and measurement Appendix B is a table of critical values used in hypothesis testing and an important part of any reference in this area Appendix C represents a collection of some important and useful measurement and statistics Internet sites A primary goal of creating this set of volumes is to open up the broad discipline of measurement and statistics to a wider and more general audience than usual. Edited by bestselling author Neil J. Salkind, this encyclopedia is specifically designed to appeal to beginning and intermediate-level students, practitioners, researchers, and consumers of information. It is a welcome addition to any academic library.\" http://www.loc.gov/catdir/enhancements/fy0657/2006011888-d.html.","ISBN":"978-1-4129-1611-0","language":"en","note":"Google-Books-ID: dqc5DQAAQBAJ","number-of-pages":"1417","publisher":"SAGE, ISBN: 978-1-4129-1611-0","source":"Google Books","title":"Encyclopedia of Measurement and Statistics","author":[{"family":"Salkind","given":"Neil J."}],"issued":{"date-parts":[["2007"]]}}}],"schema":"https://github.com/citation-style-language/schema/raw/master/csl-citation.json"}</w:instrText>
      </w:r>
      <w:r>
        <w:fldChar w:fldCharType="separate"/>
      </w:r>
      <w:bookmarkStart w:id="229" w:name="__Fieldmark__2834_2067855929"/>
      <w:r>
        <w:rPr>
          <w:lang w:val="en-US"/>
        </w:rPr>
        <w:t>(</w:t>
      </w:r>
      <w:bookmarkStart w:id="230" w:name="__Fieldmark__2559_498839314"/>
      <w:r>
        <w:rPr>
          <w:lang w:val="en-US"/>
        </w:rPr>
        <w:t>S</w:t>
      </w:r>
      <w:bookmarkStart w:id="231" w:name="__Fieldmark__2408_998588997"/>
      <w:r>
        <w:rPr>
          <w:lang w:val="en-US"/>
        </w:rPr>
        <w:t>a</w:t>
      </w:r>
      <w:bookmarkStart w:id="232" w:name="__Fieldmark__4539_118561941"/>
      <w:r>
        <w:rPr>
          <w:lang w:val="en-US"/>
        </w:rPr>
        <w:t>lkind 2007)</w:t>
      </w:r>
      <w:r>
        <w:rPr>
          <w:lang w:val="en-US"/>
        </w:rPr>
      </w:r>
      <w:r>
        <w:fldChar w:fldCharType="end"/>
      </w:r>
      <w:bookmarkEnd w:id="229"/>
      <w:bookmarkEnd w:id="230"/>
      <w:bookmarkEnd w:id="231"/>
      <w:bookmarkEnd w:id="232"/>
      <w:r>
        <w:rPr>
          <w:lang w:val="en-US"/>
        </w:rPr>
        <w:t xml:space="preserve"> que integra los resultados de los conjuntos de pruebas 2 y 3.</w:t>
      </w:r>
    </w:p>
    <w:p>
      <w:pPr>
        <w:pStyle w:val="TDNormal"/>
        <w:ind w:left="115" w:hanging="0"/>
        <w:rPr/>
      </w:pPr>
      <w:r>
        <w:rPr>
          <w:lang w:val="en-US"/>
        </w:rPr>
        <w:t xml:space="preserve">En las pruebas de comparación de los algoritmos, se emplean pruebas estadísticas bien fundamentadas y la herramienta </w:t>
      </w:r>
      <w:r>
        <w:rPr>
          <w:i/>
          <w:iCs/>
          <w:lang w:val="en-US"/>
        </w:rPr>
        <w:t>IBM SPSS Statistics</w:t>
      </w:r>
      <w:r>
        <w:rPr>
          <w:lang w:val="en-US"/>
        </w:rPr>
        <w:t xml:space="preserve"> versión </w:t>
      </w:r>
      <w:r>
        <w:rPr>
          <w:iCs/>
          <w:lang w:val="en-US"/>
        </w:rPr>
        <w:t>25</w:t>
      </w:r>
      <w:r>
        <w:rPr/>
        <w:t xml:space="preserve"> </w:t>
      </w:r>
      <w:r>
        <w:fldChar w:fldCharType="begin"/>
      </w:r>
      <w:r>
        <w:instrText>ADDIN ZOTERO_ITEM CSL_CITATION {"citationID":"as1iqc2fiq","properties":{"formattedCitation":"(McCormick y Salcedo 2017)","plainCitation":"(McCormick y Salcedo 2017)","noteIndex":0},"citationItems":[{"id":"NJclqhNX/haKHIq9O","uris":["http://zotero.org/users/local/rsuvzjK6/items/G2GQEPUZ"],"uri":["http://zotero.org/users/local/rsuvzjK6/items/G2GQEPUZ"],"itemData":{"id":3549,"type":"book","abstract":"Dive deeper into SPSS Statistics for more efficient, accurate, and sophisticated data analysis and visualization SPSS Statistics for Data Analysis and Visualization goes beyond the basics of SPSS Statistics to show you advanced techniques that exploit the full capabilities of SPSS. The authors explain when and why to use each technique, and then walk you through the execution with a pragmatic, nuts and bolts example. Coverage includes extensive, in-depth discussion of advanced statistical techniques, data visualization, predictive analytics, and SPSS programming, including automation and integration with other languages like R and Python. You'll learn the best methods to power through an analysis, with more efficient, elegant, and accurate code. IBM SPSS Statistics is complex: true mastery requires a deep understanding of statistical theory, the user interface, and programming. Most users don't encounter all of the methods SPSS offers, leaving many little-known modules undiscovered. This book walks you through tools you may have never noticed, and shows you how they can be used to streamline your workflow and enable you to produce more accurate results.  Conduct a more efficient and accurate analysis Display complex relationships and create better visualizations Model complex interactions and master predictive analytics Integrate R and Python with SPSS Statistics for more efficient, more powerful code  These \"hidden tools\" can help you produce charts that simply wouldn't be possible any other way, and the support for other programming languages gives you better options for solving complex problems. If you're ready to take advantage of everything this powerful software package has to offer, SPSS Statistics for Data Analysis and Visualization is the expert-led training you need.","ISBN":"978-1-119-00355-7","language":"en","note":"Google-Books-ID: kvkwBgAAQBAJ","number-of-pages":"528","publisher":"John Wiley &amp; Sons, ISBN: 978-1-119-00355-7","source":"Google Books","title":"SPSS Statistics for Data Analysis and Visualization","author":[{"family":"McCormick","given":"Keith"},{"family":"Salcedo","given":"Jesus"}],"issued":{"date-parts":[["2017"]]}}}],"schema":"https://github.com/citation-style-language/schema/raw/master/csl-citation.json"}</w:instrText>
      </w:r>
      <w:r>
        <w:fldChar w:fldCharType="separate"/>
      </w:r>
      <w:bookmarkStart w:id="233" w:name="__Fieldmark__2856_2067855929"/>
      <w:r>
        <w:rPr/>
        <w:t>(</w:t>
      </w:r>
      <w:bookmarkStart w:id="234" w:name="__Fieldmark__2576_498839314"/>
      <w:r>
        <w:rPr/>
        <w:t>M</w:t>
      </w:r>
      <w:bookmarkStart w:id="235" w:name="__Fieldmark__2421_998588997"/>
      <w:r>
        <w:rPr/>
        <w:t>c</w:t>
      </w:r>
      <w:bookmarkStart w:id="236" w:name="__Fieldmark__4553_118561941"/>
      <w:r>
        <w:rPr/>
        <w:t>Cormick y Salcedo 2017)</w:t>
      </w:r>
      <w:r>
        <w:rPr/>
      </w:r>
      <w:r>
        <w:fldChar w:fldCharType="end"/>
      </w:r>
      <w:bookmarkEnd w:id="233"/>
      <w:bookmarkEnd w:id="234"/>
      <w:bookmarkEnd w:id="235"/>
      <w:bookmarkEnd w:id="236"/>
      <w:r>
        <w:rPr/>
        <w:t xml:space="preserve">, cumpliendo los siguientes pasos </w:t>
      </w:r>
      <w:r>
        <w:fldChar w:fldCharType="begin"/>
      </w:r>
      <w:r>
        <w:instrText>ADDIN ZOTERO_ITEM CSL_CITATION {"citationID":"a1pahiv6sfr","properties":{"formattedCitation":"(Grau, Correa y Rojas 1999)","plainCitation":"(Grau, Correa y Rojas 1999)","noteIndex":0},"citationItems":[{"id":3460,"uris":["http://zotero.org/users/local/EJ15hJE2/items/FBAA3F9U"],"uri":["http://zotero.org/users/local/EJ15hJE2/items/FBAA3F9U"],"itemData":{"id":3460,"type":"book","edition":"Corporación universitaria de Ibague","ISBN":"958-8028-10-8","number-of-pages":"131","title":"Metodología de la investigación","author":[{"family":"Grau","given":"Ricardo"},{"family":"Correa","given":"Cecilia"},{"family":"Rojas","given":"Mauricio"}],"issued":{"date-parts":[["1999"]]}}}],"schema":"https://github.com/citation-style-language/schema/raw/master/csl-citation.json"}</w:instrText>
      </w:r>
      <w:r>
        <w:fldChar w:fldCharType="separate"/>
      </w:r>
      <w:bookmarkStart w:id="237" w:name="__Fieldmark__2871_2067855929"/>
      <w:r>
        <w:rPr/>
      </w:r>
      <w:r>
        <w:rPr>
          <w:szCs w:val="24"/>
        </w:rPr>
        <w:t>(</w:t>
      </w:r>
      <w:bookmarkStart w:id="238" w:name="__Fieldmark__2587_498839314"/>
      <w:r>
        <w:rPr>
          <w:szCs w:val="24"/>
        </w:rPr>
        <w:t>G</w:t>
      </w:r>
      <w:bookmarkStart w:id="239" w:name="__Fieldmark__2428_998588997"/>
      <w:r>
        <w:rPr>
          <w:szCs w:val="24"/>
        </w:rPr>
        <w:t>r</w:t>
      </w:r>
      <w:bookmarkStart w:id="240" w:name="__Fieldmark__4560_118561941"/>
      <w:r>
        <w:rPr>
          <w:szCs w:val="24"/>
        </w:rPr>
        <w:t>au, Correa y Rojas 1999)</w:t>
      </w:r>
      <w:r>
        <w:rPr/>
      </w:r>
      <w:r>
        <w:fldChar w:fldCharType="end"/>
      </w:r>
      <w:bookmarkEnd w:id="237"/>
      <w:bookmarkEnd w:id="238"/>
      <w:bookmarkEnd w:id="239"/>
      <w:bookmarkEnd w:id="240"/>
      <w:r>
        <w:rPr/>
        <w:t xml:space="preserve"> para una </w:t>
      </w:r>
      <w:r>
        <w:rPr>
          <w:lang w:val="en-US"/>
        </w:rPr>
        <w:t>significación de</w:t>
      </w:r>
      <w:r>
        <w:rPr/>
        <w:t xml:space="preserve"> </w:t>
      </w:r>
      <w:r>
        <w:rPr>
          <w:lang w:val="en-US"/>
        </w:rPr>
        <w:t>0.05 e intervalos de confianza del 99%</w:t>
      </w:r>
      <w:r>
        <w:rPr/>
        <w:t>:</w:t>
      </w:r>
    </w:p>
    <w:p>
      <w:pPr>
        <w:pStyle w:val="TDNormal"/>
        <w:numPr>
          <w:ilvl w:val="0"/>
          <w:numId w:val="60"/>
        </w:numPr>
        <w:ind w:left="1276" w:hanging="801"/>
        <w:rPr/>
      </w:pPr>
      <w:r>
        <w:rPr/>
        <w:t>Se aplica prueba de normalidad (</w:t>
      </w:r>
      <w:r>
        <w:rPr>
          <w:lang w:val="en-US"/>
        </w:rPr>
        <w:t xml:space="preserve">empleando los </w:t>
      </w:r>
      <w:r>
        <w:rPr>
          <w:i/>
          <w:iCs/>
          <w:lang w:val="en-US"/>
        </w:rPr>
        <w:t>test</w:t>
      </w:r>
      <w:r>
        <w:rPr>
          <w:lang w:val="en-US"/>
        </w:rPr>
        <w:t xml:space="preserve"> de </w:t>
      </w:r>
      <w:r>
        <w:rPr>
          <w:i/>
          <w:iCs/>
        </w:rPr>
        <w:t>Shapiro-Wilk y Kolmogorov-Smirnov</w:t>
      </w:r>
      <w:r>
        <w:rPr/>
        <w:t>) y análisis descriptivo.</w:t>
      </w:r>
    </w:p>
    <w:p>
      <w:pPr>
        <w:pStyle w:val="TDNormal"/>
        <w:numPr>
          <w:ilvl w:val="0"/>
          <w:numId w:val="60"/>
        </w:numPr>
        <w:ind w:left="1276" w:hanging="801"/>
        <w:rPr/>
      </w:pPr>
      <w:r>
        <w:rPr/>
        <w:t xml:space="preserve">En caso de que las muestras cumplan con la distribución normal, se aplican pruebas paramétricas </w:t>
      </w:r>
      <w:r>
        <w:rPr>
          <w:lang w:val="en-US"/>
        </w:rPr>
        <w:t xml:space="preserve">empleando </w:t>
      </w:r>
      <w:r>
        <w:rPr>
          <w:i/>
          <w:lang w:val="en-US"/>
        </w:rPr>
        <w:t>T-Student</w:t>
      </w:r>
      <w:r>
        <w:rPr>
          <w:lang w:val="en-US"/>
        </w:rPr>
        <w:t xml:space="preserve"> para dos muestras relacionadas</w:t>
      </w:r>
      <w:r>
        <w:rPr/>
        <w:t>.</w:t>
      </w:r>
    </w:p>
    <w:p>
      <w:pPr>
        <w:pStyle w:val="TDNormal"/>
        <w:numPr>
          <w:ilvl w:val="0"/>
          <w:numId w:val="60"/>
        </w:numPr>
        <w:ind w:left="1276" w:hanging="801"/>
        <w:rPr/>
      </w:pPr>
      <w:r>
        <w:rPr/>
        <w:t xml:space="preserve">En caso de que las muestras no cumplan con la distribución normal, se aplican pruebas no paramétricas </w:t>
      </w:r>
      <w:r>
        <w:rPr>
          <w:lang w:val="en-US"/>
        </w:rPr>
        <w:t>empleando</w:t>
      </w:r>
      <w:r>
        <w:rPr/>
        <w:t xml:space="preserve"> </w:t>
      </w:r>
      <w:r>
        <w:rPr>
          <w:i/>
        </w:rPr>
        <w:t>Friedman</w:t>
      </w:r>
      <w:r>
        <w:rPr/>
        <w:t xml:space="preserve"> para </w:t>
      </w:r>
      <w:r>
        <w:rPr>
          <w:i/>
        </w:rPr>
        <w:t>n</w:t>
      </w:r>
      <w:r>
        <w:rPr/>
        <w:t xml:space="preserve"> muestras relacionadas.</w:t>
      </w:r>
    </w:p>
    <w:p>
      <w:pPr>
        <w:pStyle w:val="TDNormal"/>
        <w:numPr>
          <w:ilvl w:val="0"/>
          <w:numId w:val="60"/>
        </w:numPr>
        <w:ind w:left="1276" w:hanging="801"/>
        <w:rPr/>
      </w:pPr>
      <w:r>
        <w:rPr/>
        <w:t xml:space="preserve">Si </w:t>
      </w:r>
      <w:r>
        <w:rPr>
          <w:i/>
        </w:rPr>
        <w:t>Friedman</w:t>
      </w:r>
      <w:r>
        <w:rPr/>
        <w:t xml:space="preserve"> indica que no hay diferencias significativas en las </w:t>
      </w:r>
      <w:r>
        <w:rPr>
          <w:i/>
        </w:rPr>
        <w:t>n</w:t>
      </w:r>
      <w:r>
        <w:rPr/>
        <w:t xml:space="preserve"> muestras relacionadas, entonces se concluye que no hay diferencias significativas.</w:t>
      </w:r>
    </w:p>
    <w:p>
      <w:pPr>
        <w:pStyle w:val="TDNormal"/>
        <w:numPr>
          <w:ilvl w:val="0"/>
          <w:numId w:val="60"/>
        </w:numPr>
        <w:ind w:left="1276" w:hanging="801"/>
        <w:rPr/>
      </w:pPr>
      <w:r>
        <w:rPr/>
        <w:t xml:space="preserve">Si </w:t>
      </w:r>
      <w:r>
        <w:rPr>
          <w:i/>
        </w:rPr>
        <w:t>Friedman</w:t>
      </w:r>
      <w:r>
        <w:rPr/>
        <w:t xml:space="preserve"> indica que hay diferencias significativas en las </w:t>
      </w:r>
      <w:r>
        <w:rPr>
          <w:i/>
        </w:rPr>
        <w:t>n</w:t>
      </w:r>
      <w:r>
        <w:rPr/>
        <w:t xml:space="preserve"> muestras relacionadas, entonces se aplican pruebas </w:t>
      </w:r>
      <w:r>
        <w:rPr>
          <w:i/>
        </w:rPr>
        <w:t>post-hoc</w:t>
      </w:r>
      <w:r>
        <w:rPr/>
        <w:t xml:space="preserve"> </w:t>
      </w:r>
      <w:r>
        <w:rPr>
          <w:i/>
        </w:rPr>
        <w:t>Test Wilcoxon</w:t>
      </w:r>
      <w:r>
        <w:rPr/>
        <w:t xml:space="preserve"> para dos muestras relacionadas. </w:t>
      </w:r>
    </w:p>
    <w:p>
      <w:pPr>
        <w:pStyle w:val="TDNormal"/>
        <w:rPr/>
      </w:pPr>
      <w:r>
        <w:rPr>
          <w:lang w:val="en-US"/>
        </w:rPr>
        <w:t xml:space="preserve">En este análisis de resultados, los algoritmos se organizan según el orden establecido en el </w:t>
      </w:r>
      <w:r>
        <w:rPr/>
        <w:t>análisis descriptivo.</w:t>
      </w:r>
    </w:p>
    <w:p>
      <w:pPr>
        <w:pStyle w:val="TDNormal"/>
        <w:rPr/>
      </w:pPr>
      <w:r>
        <w:rPr>
          <w:lang w:val="en-US"/>
        </w:rPr>
        <w:t>También en el capítulo 4 se evalúa la variable dependiente “</w:t>
      </w:r>
      <w:r>
        <w:rPr/>
        <w:t>Eficacia de los algoritmos para la ayuda a la toma de decisiones” a partir de los siguientes conjuntos de pruebas:</w:t>
      </w:r>
    </w:p>
    <w:p>
      <w:pPr>
        <w:pStyle w:val="ListParagraph"/>
        <w:numPr>
          <w:ilvl w:val="0"/>
          <w:numId w:val="76"/>
        </w:numPr>
        <w:ind w:left="709" w:hanging="360"/>
        <w:rPr>
          <w:lang w:val="en-US"/>
        </w:rPr>
      </w:pPr>
      <w:r>
        <w:rPr>
          <w:lang w:val="en-US"/>
        </w:rPr>
        <w:t xml:space="preserve">Evaluación de la variable dependiente en la dimensión “Aplicabilidad de los algoritmos propuestos en la toma de decisiones”. Para esto se combinan los algoritmos propuestos en un meta-algoritmo </w:t>
      </w:r>
      <w:r>
        <w:rPr>
          <w:i/>
          <w:iCs/>
          <w:lang w:val="en-US"/>
        </w:rPr>
        <w:t>Hybrid_LDS</w:t>
      </w:r>
      <w:r>
        <w:rPr>
          <w:lang w:val="en-US"/>
        </w:rPr>
        <w:t xml:space="preserve"> y se aplican en los casos de estudio: “toma de decisiones en la gestión de proyectos” y “toma de decisiones en embarazadas cardiópatas”. Ade</w:t>
      </w:r>
      <w:r>
        <w:rPr>
          <w:lang w:val="es-ES"/>
        </w:rPr>
        <w:t>má</w:t>
      </w:r>
      <w:r>
        <w:rPr>
          <w:lang w:val="en-US"/>
        </w:rPr>
        <w:t>s, en cada caso de estudio se analizan los indicadores “Interpretabilidad de los resúmenes” y “Facilidad para la toma de decisiones” a partir de aplicar una técnica de análisis multicriterio.</w:t>
      </w:r>
    </w:p>
    <w:p>
      <w:pPr>
        <w:pStyle w:val="TDNormal"/>
        <w:numPr>
          <w:ilvl w:val="0"/>
          <w:numId w:val="76"/>
        </w:numPr>
        <w:ind w:left="709" w:hanging="360"/>
        <w:rPr/>
      </w:pPr>
      <w:r>
        <w:rPr>
          <w:lang w:val="en-US"/>
        </w:rPr>
        <w:t>Análisis de la variable dependiente respecto a la dimensión “Enfoque multilingüe” donde se analiza la facilidad de los algoritmos para la generación de resúmenes en los idiomas: español, inglés, japonés y árabe. Se seleccionan estos idiomas porque se dispone de especialistas que puedan validar la calidad de los resúmenes lingüísticos generados.</w:t>
      </w:r>
    </w:p>
    <w:p>
      <w:pPr>
        <w:pStyle w:val="Normal"/>
        <w:rPr>
          <w:b/>
          <w:b/>
        </w:rPr>
      </w:pPr>
      <w:bookmarkStart w:id="241" w:name="_Toc476476096"/>
      <w:bookmarkStart w:id="242" w:name="_Toc484293857"/>
      <w:bookmarkStart w:id="243" w:name="__RefHeading__360_1220193368"/>
      <w:bookmarkEnd w:id="241"/>
      <w:bookmarkEnd w:id="242"/>
      <w:bookmarkEnd w:id="243"/>
      <w:r>
        <w:rPr>
          <w:b/>
        </w:rPr>
        <w:t>Novedad</w:t>
      </w:r>
    </w:p>
    <w:p>
      <w:pPr>
        <w:pStyle w:val="TDNormalLista"/>
        <w:numPr>
          <w:ilvl w:val="0"/>
          <w:numId w:val="4"/>
        </w:numPr>
        <w:ind w:left="426" w:hanging="360"/>
        <w:rPr/>
      </w:pPr>
      <w:r>
        <w:rPr/>
        <w:t>Se proponen nuevas extensiones a los indicadores de evaluación de resúmenes lingüísticos complementando a los reportados en la bibliografía. Estos nuevos indicadores incorporan elementos de la teoría de conjuntos aproximados y de la teoría neutrosófica, mejorando el tratamiento de la indeterminación y el comportamiento de los indicadores en diferentes situaciones.</w:t>
      </w:r>
    </w:p>
    <w:p>
      <w:pPr>
        <w:pStyle w:val="TDNormalLista"/>
        <w:numPr>
          <w:ilvl w:val="0"/>
          <w:numId w:val="4"/>
        </w:numPr>
        <w:ind w:left="426" w:hanging="360"/>
        <w:rPr/>
      </w:pPr>
      <w:r>
        <w:rPr/>
        <w:t xml:space="preserve">Se proponen nuevos algoritmos para la generación de resúmenes lingüísticos a partir de datos estructurados que combinan diferentes técnicas de </w:t>
      </w:r>
      <w:bookmarkStart w:id="244" w:name="_Hlk71016333"/>
      <w:r>
        <w:rPr/>
        <w:t>computación emergente</w:t>
      </w:r>
      <w:bookmarkEnd w:id="244"/>
      <w:r>
        <w:rPr/>
        <w:t>, entre las que se destacan la teoría neutrosófica, los conjuntos aproximados, el aprendizaje de reglas de asociación y el aprendizaje de grafos probabilísticos, mejorando la eficacia de los algoritmos existentes. Se discuten diferentes enfoques de aplicación de la sumarización lingüística de datos en el tratamiento y la representación de situaciones anómalas. Además, se propone el uso de los lenguajes naturales controlados combinados con los algoritmos propuestos para facilitar la representación de los resúmenes lingüísticos en múltiples lenguajes.</w:t>
      </w:r>
    </w:p>
    <w:p>
      <w:pPr>
        <w:pStyle w:val="Normal"/>
        <w:rPr>
          <w:b/>
          <w:b/>
        </w:rPr>
      </w:pPr>
      <w:bookmarkStart w:id="245" w:name="_Toc476476097"/>
      <w:bookmarkStart w:id="246" w:name="_Toc484293858"/>
      <w:bookmarkEnd w:id="245"/>
      <w:bookmarkEnd w:id="246"/>
      <w:r>
        <w:rPr>
          <w:b/>
        </w:rPr>
        <w:t>Aporte práctico de la investigación.</w:t>
      </w:r>
    </w:p>
    <w:p>
      <w:pPr>
        <w:pStyle w:val="TDNormalLista"/>
        <w:numPr>
          <w:ilvl w:val="0"/>
          <w:numId w:val="3"/>
        </w:numPr>
        <w:ind w:left="567" w:hanging="360"/>
        <w:rPr/>
      </w:pPr>
      <w:r>
        <w:rPr/>
        <w:t xml:space="preserve">Se incorporan los algoritmos propuestos a una </w:t>
      </w:r>
      <w:r>
        <w:rPr>
          <w:lang w:val="x-none"/>
        </w:rPr>
        <w:t xml:space="preserve">biblioteca de </w:t>
      </w:r>
      <w:r>
        <w:rPr/>
        <w:t>análisis de datos</w:t>
      </w:r>
      <w:r>
        <w:rPr>
          <w:lang w:val="x-none"/>
        </w:rPr>
        <w:t xml:space="preserve"> </w:t>
      </w:r>
      <w:r>
        <w:rPr/>
        <w:t xml:space="preserve">para la ayuda a la toma de decisiones, integrada a un ecosistema que incluye facilidades de cuadro de mando para la gestión de proyectos y entornos productivos </w:t>
      </w:r>
      <w:r>
        <w:fldChar w:fldCharType="begin"/>
      </w:r>
      <w:r>
        <w:instrText>ADDIN ZOTERO_ITEM CSL_CITATION {"citationID":"a23kku0jhkd","properties":{"formattedCitation":"(P\\uc0\\u233{}rez Pupo, Villavicencio, Pi\\uc0\\u241{}ero P\\uc0\\u233{}rez, et\\uc0\\u160{}al. 2020)","plainCitation":"(Pérez Pupo, Villavicencio, Piñero Pérez, et al. 2020)","noteIndex":0},"citationItems":[{"id":"NJclqhNX/oI1qTJeb","uris":["http://zotero.org/users/local/rsuvzjK6/items/TYRFINYV"],"uri":["http://zotero.org/users/local/rsuvzjK6/items/TYRFINYV"],"itemData":{"id":3459,"type":"chapter","abstract":"En este artículo los autores presentan un modelo para la construcción de ecosistemas de software basados en software libre para el desarrollo de sistemas de información para la gestión de organizaciones oientadas a proyectos. Los autores combinan sistemas ERP con paquetes de herramientas de análisis de datos para el desarrollo de sistemas de información inteligentes. La base de la propuesta se centra en la definición de una arquitectura común que garantiza la eficiencia en el desarrollo de las soluciones. El modelo propuesto se emplea para la construcción del ecosistema de software BusinessRedmine. Este ecosistema combine diferentes técnicas de soft computing en la toma de decisiones en gestión de proyectos. En particular los autores proponen la combinación de algoritmos para la sumarización lingüística de datos, las metaheurísticas y los sistemas de inferencia borrosos. Los resultados de los algoritmos son comparados con diferentes parámetros de calidad de los resúmenes obtenidos. Los resultados finales de los algoritmos son evaluados por expertos humanos y la aplicabilidad de la propuesta es demostrada.","container-title":"Experiencias Iberoamericanas de Ingeneria de Proyectos","event-place":"Guayaquil, Ecuador","ISBN":"978-9942-82-511-7","page":"832-845","publisher":"Universidad Católica de Santiago de Guayaquil","publisher-place":"Guayaquil, Ecuador","title":"Proerp, ecosistema de software para la toma de decisiones en gestión de proyectos","author":[{"family":"Pérez Pupo","given":"Iliana"},{"family":"Villavicencio","given":"Nicolás"},{"family":"Piñero Pérez","given":"Pedro"},{"family":"García Vacacela","given":"Roberto"},{"family":"García Sanchez","given":"Roberto"}],"issued":{"date-parts":[["2020"]]}}}],"schema":"https://github.com/citation-style-language/schema/raw/master/csl-citation.json"}</w:instrText>
      </w:r>
      <w:r>
        <w:fldChar w:fldCharType="separate"/>
      </w:r>
      <w:bookmarkStart w:id="247" w:name="__Fieldmark__2973_2067855929"/>
      <w:r>
        <w:rPr/>
      </w:r>
      <w:r>
        <w:rPr>
          <w:szCs w:val="24"/>
        </w:rPr>
        <w:t>(</w:t>
      </w:r>
      <w:bookmarkStart w:id="248" w:name="__Fieldmark__2673_498839314"/>
      <w:r>
        <w:rPr>
          <w:szCs w:val="24"/>
        </w:rPr>
        <w:t>P</w:t>
      </w:r>
      <w:bookmarkStart w:id="249" w:name="__Fieldmark__2510_998588997"/>
      <w:r>
        <w:rPr>
          <w:szCs w:val="24"/>
        </w:rPr>
        <w:t>é</w:t>
      </w:r>
      <w:bookmarkStart w:id="250" w:name="__Fieldmark__4826_118561941"/>
      <w:r>
        <w:rPr>
          <w:szCs w:val="24"/>
        </w:rPr>
        <w:t>rez Pupo, Villavicencio, Piñero Pérez, et al. 2020)</w:t>
      </w:r>
      <w:r>
        <w:rPr/>
      </w:r>
      <w:r>
        <w:fldChar w:fldCharType="end"/>
      </w:r>
      <w:bookmarkEnd w:id="247"/>
      <w:bookmarkEnd w:id="248"/>
      <w:bookmarkEnd w:id="249"/>
      <w:bookmarkEnd w:id="250"/>
      <w:r>
        <w:rPr/>
        <w:t xml:space="preserve"> </w:t>
      </w:r>
      <w:r>
        <w:fldChar w:fldCharType="begin"/>
      </w:r>
      <w:r>
        <w:instrText>ADDIN ZOTERO_ITEM CSL_CITATION {"citationID":"a1uk7gv43tg","properties":{"formattedCitation":"(P\\uc0\\u233{}rez et\\uc0\\u160{}al. 2018)","plainCitation":"(Pérez et al. 2018)","noteIndex":0},"citationItems":[{"id":"NJclqhNX/83N4B8Z0","uris":["http://zotero.org/users/local/rsuvzjK6/items/ERT9SDN5"],"uri":["http://zotero.org/users/local/rsuvzjK6/items/ERT9SDN5"],"itemData":{"id":3349,"type":"article-journal","abstract":"Uno de los factores con mayor influencia en el desarrollo de los proyectos de tecnologías de la información son los recursos humanos. Se han identificado en múltiples investigaciones la importancia de los mismos tanto en la calidad de los proyectos como en la eficiencia. En particular es relevante conocer qué relación existe entre los rasgos de la personalidad de un individuo y su rendimiento laboral en diferentes puestos de trabajo. En la presente investigación se aplican algoritmos para la construcción de resúmenes lingüísticos a partir de datos en una base de datos de personas que laboran en proyectos de desarrollo de software y a los que se les aplicaron los siguientes instrumentos de evaluación de la personalidad: BFQ, 16 PF Forma C y el cuestionario sobre estilos de dirección. En el trabajo se presentan los resultados principales obtenidos a partir de la aplicación de un algoritmo para la sumarización lingüística de datos basados en el descubrimiento de reglas de asociación.","container-title":"Revista Cubana de Ciencias Informáticas","ISSN":"1994-1536","page":"135–150","title":"Construcción de resúmenes lingüísticos a partir rasgos de la personalidad y el desempeño en el desarrollo de software","volume":"12","author":[{"family":"Pérez","given":"Iliana"},{"family":"López","given":"Pastor"},{"family":"Varona","given":"Esmerida"},{"family":"Piñero","given":"Pedro"},{"family":"García","given":"Roberto"}],"issued":{"date-parts":[["2018"]]}}}],"schema":"https://github.com/citation-style-language/schema/raw/master/csl-citation.json"}</w:instrText>
      </w:r>
      <w:r>
        <w:fldChar w:fldCharType="separate"/>
      </w:r>
      <w:bookmarkStart w:id="251" w:name="__Fieldmark__2990_2067855929"/>
      <w:r>
        <w:rPr/>
      </w:r>
      <w:r>
        <w:rPr>
          <w:szCs w:val="24"/>
        </w:rPr>
        <w:t>(</w:t>
      </w:r>
      <w:bookmarkStart w:id="252" w:name="__Fieldmark__2684_498839314"/>
      <w:r>
        <w:rPr>
          <w:szCs w:val="24"/>
        </w:rPr>
        <w:t>P</w:t>
      </w:r>
      <w:bookmarkStart w:id="253" w:name="__Fieldmark__2517_998588997"/>
      <w:r>
        <w:rPr>
          <w:szCs w:val="24"/>
        </w:rPr>
        <w:t>é</w:t>
      </w:r>
      <w:bookmarkStart w:id="254" w:name="__Fieldmark__4831_118561941"/>
      <w:r>
        <w:rPr>
          <w:szCs w:val="24"/>
        </w:rPr>
        <w:t>rez et al. 2018)</w:t>
      </w:r>
      <w:r>
        <w:rPr/>
      </w:r>
      <w:r>
        <w:fldChar w:fldCharType="end"/>
      </w:r>
      <w:bookmarkEnd w:id="251"/>
      <w:bookmarkEnd w:id="252"/>
      <w:bookmarkEnd w:id="253"/>
      <w:bookmarkEnd w:id="254"/>
      <w:r>
        <w:rPr/>
        <w:t xml:space="preserve"> </w:t>
      </w:r>
      <w:r>
        <w:fldChar w:fldCharType="begin"/>
      </w:r>
      <w:r>
        <w:instrText>ADDIN ZOTERO_ITEM CSL_CITATION {"citationID":"a32i62n10b","properties":{"formattedCitation":"(P\\uc0\\u233{}rez Pupo, Santos, et\\uc0\\u160{}al. 2018)","plainCitation":"(Pérez Pupo, Santos, et al. 2018)","noteIndex":0},"citationItems":[{"id":"NJclqhNX/l7qcdOKi","uris":["http://zotero.org/users/local/rsuvzjK6/items/EWBZ69Z7"],"uri":["http://zotero.org/users/local/rsuvzjK6/items/EWBZ69Z7"],"itemData":{"id":3213,"type":"article-journal","abstract":"Las técnicas de sumarización lingüística de datos agrupan un conjunto de algoritmos de minería de datos útiles para descubrir relaciones intrínsecas presentes en los datos. Estas relaciones son presentadas en lenguaje natural para facilitar la toma de decisiones en la temática objeto de estudio. Existen diferentes técnicas para la generación de resúmenes entre los que se destacan el uso de consultas de bases de datos aplicable en los resúmenes más sencillos y el uso de metaheurísticas en los resúmenes de mayor complejidad. En este trabajo se propone un algoritmo para la generación de resúmenes lingüísticos a partir de datos heterogéneos y tomando como base la generación de reglas de asociación. Además, se emplean las medidas propuestas por Zadeh para la evaluación de los resúmenes combinados con técnicas de aprendizaje activo. Finalmente, se aplica la técnica propuesta para la toma de decisiones en gestión de proyectos y se discute acerca de las decisiones tomadas a partir de los resúmenes obtenidos.","container-title":"Revista Cubana de Ciencias Informáticas","ISSN":"1994-1536","page":"163–175","title":"Descubrimiento de resúmenes lingüísticos para ayuda a la toma decisiones en gestión de proyecto","volume":"12","author":[{"family":"Pérez Pupo","given":"Iliana"},{"family":"Santos","given":"Osvaldo"},{"family":"García","given":"Roberto"},{"family":"Piñero Pérez","given":"Pedro Yobanis"},{"family":"Ramírez","given":"Esther Cristina"}],"issued":{"date-parts":[["2018"]]}}}],"schema":"https://github.com/citation-style-language/schema/raw/master/csl-citation.json"}</w:instrText>
      </w:r>
      <w:r>
        <w:fldChar w:fldCharType="separate"/>
      </w:r>
      <w:bookmarkStart w:id="255" w:name="__Fieldmark__3005_2067855929"/>
      <w:r>
        <w:rPr/>
      </w:r>
      <w:r>
        <w:rPr>
          <w:szCs w:val="24"/>
        </w:rPr>
        <w:t>(</w:t>
      </w:r>
      <w:bookmarkStart w:id="256" w:name="__Fieldmark__2695_498839314"/>
      <w:r>
        <w:rPr>
          <w:szCs w:val="24"/>
        </w:rPr>
        <w:t>P</w:t>
      </w:r>
      <w:bookmarkStart w:id="257" w:name="__Fieldmark__2524_998588997"/>
      <w:r>
        <w:rPr>
          <w:szCs w:val="24"/>
        </w:rPr>
        <w:t>é</w:t>
      </w:r>
      <w:bookmarkStart w:id="258" w:name="__Fieldmark__4836_118561941"/>
      <w:r>
        <w:rPr>
          <w:szCs w:val="24"/>
        </w:rPr>
        <w:t>rez Pupo, Santos, et al. 2018)</w:t>
      </w:r>
      <w:r>
        <w:rPr/>
      </w:r>
      <w:r>
        <w:fldChar w:fldCharType="end"/>
      </w:r>
      <w:bookmarkEnd w:id="255"/>
      <w:bookmarkEnd w:id="256"/>
      <w:bookmarkEnd w:id="257"/>
      <w:bookmarkEnd w:id="258"/>
      <w:r>
        <w:rPr/>
        <w:t xml:space="preserve"> </w:t>
      </w:r>
      <w:r>
        <w:fldChar w:fldCharType="begin"/>
      </w:r>
      <w:r>
        <w:instrText>ADDIN ZOTERO_ITEM CSL_CITATION {"citationID":"a2g4ib3k29","properties":{"formattedCitation":"(Pi\\uc0\\u241{}ero P\\uc0\\u233{}rez, P\\uc0\\u233{}rez Pupo y Pi\\uc0\\u241{}ero Cruz 2019)","plainCitation":"(Piñero Pérez, Pérez Pupo y Piñero Cruz 2019)","noteIndex":0},"citationItems":[{"id":3435,"uris":["http://zotero.org/users/local/EJ15hJE2/items/PTVAJJRM"],"uri":["http://zotero.org/users/local/EJ15hJE2/items/PTVAJJRM"],"itemData":{"id":3435,"type":"patent","event-place":"Centro Nacional de Derecho de Autor de Cuba (CENDA)","number":"4076-12-2019","publisher-place":"Centro Nacional de Derecho de Autor de Cuba (CENDA)","title":"Suite BusinessRedmine Sistema para la toma de decisiones empresariales y la gestión de proyectos 19.05","author":[{"family":"Piñero Pérez","given":"Pedro"},{"family":"Pérez Pupo","given":"Iliana"},{"family":"Piñero Cruz","given":"Pedro"}],"issued":{"date-parts":[["2019"]]},"submitted":{"date-parts":[["2019"]]}}}],"schema":"https://github.com/citation-style-language/schema/raw/master/csl-citation.json"}</w:instrText>
      </w:r>
      <w:r>
        <w:fldChar w:fldCharType="separate"/>
      </w:r>
      <w:bookmarkStart w:id="259" w:name="__Fieldmark__3022_2067855929"/>
      <w:r>
        <w:rPr/>
      </w:r>
      <w:r>
        <w:rPr>
          <w:szCs w:val="24"/>
        </w:rPr>
        <w:t>(</w:t>
      </w:r>
      <w:bookmarkStart w:id="260" w:name="__Fieldmark__2706_498839314"/>
      <w:r>
        <w:rPr>
          <w:szCs w:val="24"/>
        </w:rPr>
        <w:t>P</w:t>
      </w:r>
      <w:bookmarkStart w:id="261" w:name="__Fieldmark__2531_998588997"/>
      <w:r>
        <w:rPr>
          <w:szCs w:val="24"/>
        </w:rPr>
        <w:t>i</w:t>
      </w:r>
      <w:bookmarkStart w:id="262" w:name="__Fieldmark__4841_118561941"/>
      <w:r>
        <w:rPr>
          <w:szCs w:val="24"/>
        </w:rPr>
        <w:t>ñero Pérez, Pérez Pupo y Piñero Cruz 2019)</w:t>
      </w:r>
      <w:r>
        <w:rPr/>
      </w:r>
      <w:r>
        <w:fldChar w:fldCharType="end"/>
      </w:r>
      <w:bookmarkEnd w:id="259"/>
      <w:bookmarkEnd w:id="260"/>
      <w:bookmarkEnd w:id="261"/>
      <w:bookmarkEnd w:id="262"/>
      <w:r>
        <w:rPr>
          <w:lang w:val="x-none"/>
        </w:rPr>
        <w:t xml:space="preserve">. </w:t>
      </w:r>
    </w:p>
    <w:p>
      <w:pPr>
        <w:pStyle w:val="TDNormalLista"/>
        <w:numPr>
          <w:ilvl w:val="0"/>
          <w:numId w:val="3"/>
        </w:numPr>
        <w:ind w:left="567" w:hanging="360"/>
        <w:rPr/>
      </w:pPr>
      <w:r>
        <w:rPr/>
        <w:t xml:space="preserve">Se desarrolla y se publica un repositorio de bases de datos para el desarrollo de investigaciones en gestión de proyectos </w:t>
      </w:r>
      <w:r>
        <w:fldChar w:fldCharType="begin"/>
      </w:r>
      <w:r>
        <w:instrText>ADDIN ZOTERO_ITEM CSL_CITATION {"citationID":"aq068oeljf","properties":{"formattedCitation":"(Pi\\uc0\\u241{}ero et\\uc0\\u160{}al. 2019)","plainCitation":"(Piñero et al. 2019)","noteIndex":0},"citationItems":[{"id":"NJclqhNX/j2L6UaC9","uris":["http://zotero.org/users/local/rsuvzjK6/items/WYIWE43D"],"uri":["http://zotero.org/users/local/rsuvzjK6/items/WYIWE43D"],"itemData":{"id":2198,"type":"article-journal","container-title":"Revista Cubana de Ciencias Informáticas","ISSN":"2227-1899","issue":"1","page":"176–191","title":"Repositorio de datos para investigaciones en gestión de proyectos","volume":"13","author":[{"family":"Piñero","given":"Pedro"},{"family":"Pupo","given":"Iliana"},{"family":"Rivero Hechavarría","given":"Claudia Celeste"},{"family":"Rojas","given":"Clarisbel"},{"family":"Sosa","given":"Rosel"},{"family":"Torres","given":"Surayne"}],"issued":{"date-parts":[["2019"]]}}}],"schema":"https://github.com/citation-style-language/schema/raw/master/csl-citation.json"}</w:instrText>
      </w:r>
      <w:r>
        <w:fldChar w:fldCharType="separate"/>
      </w:r>
      <w:bookmarkStart w:id="263" w:name="__Fieldmark__3039_2067855929"/>
      <w:r>
        <w:rPr/>
      </w:r>
      <w:r>
        <w:rPr>
          <w:szCs w:val="24"/>
        </w:rPr>
        <w:t>(</w:t>
      </w:r>
      <w:bookmarkStart w:id="264" w:name="__Fieldmark__2719_498839314"/>
      <w:r>
        <w:rPr>
          <w:szCs w:val="24"/>
        </w:rPr>
        <w:t>P</w:t>
      </w:r>
      <w:bookmarkStart w:id="265" w:name="__Fieldmark__2540_998588997"/>
      <w:r>
        <w:rPr>
          <w:szCs w:val="24"/>
        </w:rPr>
        <w:t>i</w:t>
      </w:r>
      <w:bookmarkStart w:id="266" w:name="__Fieldmark__4854_118561941"/>
      <w:r>
        <w:rPr>
          <w:szCs w:val="24"/>
        </w:rPr>
        <w:t>ñero et al. 2019)</w:t>
      </w:r>
      <w:r>
        <w:rPr/>
      </w:r>
      <w:r>
        <w:fldChar w:fldCharType="end"/>
      </w:r>
      <w:bookmarkEnd w:id="263"/>
      <w:bookmarkEnd w:id="264"/>
      <w:bookmarkEnd w:id="265"/>
      <w:bookmarkEnd w:id="266"/>
      <w:r>
        <w:rPr/>
        <w:t>.</w:t>
      </w:r>
    </w:p>
    <w:p>
      <w:pPr>
        <w:pStyle w:val="Normal"/>
        <w:rPr/>
      </w:pPr>
      <w:r>
        <w:rPr/>
        <w:t xml:space="preserve">La producción científica del autor asociada a esta investigación se describe en el </w:t>
      </w:r>
      <w:r>
        <w:rPr/>
        <w:fldChar w:fldCharType="begin"/>
      </w:r>
      <w:r>
        <w:instrText> REF _Ref70268671 \h </w:instrText>
      </w:r>
      <w:r>
        <w:fldChar w:fldCharType="separate"/>
      </w:r>
      <w:r>
        <w:t>Anexo 1</w:t>
      </w:r>
      <w:r>
        <w:fldChar w:fldCharType="end"/>
      </w:r>
      <w:r>
        <w:rPr/>
        <w:t>.</w:t>
      </w:r>
    </w:p>
    <w:p>
      <w:pPr>
        <w:pStyle w:val="Normal"/>
        <w:rPr>
          <w:b/>
          <w:b/>
        </w:rPr>
      </w:pPr>
      <w:bookmarkStart w:id="267" w:name="_Toc476476098"/>
      <w:bookmarkStart w:id="268" w:name="_Toc484293859"/>
      <w:bookmarkEnd w:id="267"/>
      <w:bookmarkEnd w:id="268"/>
      <w:r>
        <w:rPr>
          <w:b/>
        </w:rPr>
        <w:t>Estructura de la tesis</w:t>
      </w:r>
    </w:p>
    <w:p>
      <w:pPr>
        <w:pStyle w:val="TDNormal"/>
        <w:rPr/>
      </w:pPr>
      <w:r>
        <w:rPr/>
        <w:t xml:space="preserve">La tesis está organizada en cuatro capítulos. En el primer capítulo se presenta el marco teórico de la investigación y se realiza un análisis de las tendencias en la sumarización lingüística de datos. En el capítulo 2 se presentan nuevos algoritmos para la generación de resúmenes lingüísticos que combinan diferentes técnicas de </w:t>
      </w:r>
      <w:r>
        <w:rPr>
          <w:i/>
        </w:rPr>
        <w:t>soft computing</w:t>
      </w:r>
      <w:r>
        <w:rPr/>
        <w:t>. Luego en el capítulo 3 se proponen nuevos indicadores que permiten la evaluación de resúmenes lingüísticos y complementan los indicadores existentes. En el capítulo 4 se comparan los algoritmos propuestos con otras investigaciones reportadas en la bibliografía. Finalmente se presentan las conclusiones y recomendaciones de la investigación.</w:t>
      </w:r>
    </w:p>
    <w:p>
      <w:pPr>
        <w:pStyle w:val="Heading1"/>
        <w:numPr>
          <w:ilvl w:val="0"/>
          <w:numId w:val="80"/>
        </w:numPr>
        <w:rPr/>
      </w:pPr>
      <w:bookmarkStart w:id="269" w:name="_Toc84598921"/>
      <w:bookmarkStart w:id="270" w:name="_Toc476476099"/>
      <w:bookmarkStart w:id="271" w:name="_Toc484293860"/>
      <w:r>
        <w:rPr/>
        <w:t xml:space="preserve">Capítulo 1: </w:t>
      </w:r>
      <w:bookmarkEnd w:id="270"/>
      <w:bookmarkEnd w:id="271"/>
      <w:r>
        <w:rPr/>
        <w:t>Fundamentación teórica</w:t>
      </w:r>
      <w:bookmarkEnd w:id="269"/>
      <w:r>
        <w:rPr/>
        <w:t xml:space="preserve"> </w:t>
      </w:r>
    </w:p>
    <w:p>
      <w:pPr>
        <w:pStyle w:val="Normal"/>
        <w:rPr>
          <w:lang w:val="en-US"/>
        </w:rPr>
      </w:pPr>
      <w:r>
        <w:rPr/>
        <w:t xml:space="preserve">En este capítulo se construye el marco teórico referencial que sustenta la investigación, donde </w:t>
      </w:r>
      <w:r>
        <w:rPr>
          <w:lang w:val="en-US"/>
        </w:rPr>
        <w:t>se realiza un análisis de la evolución y las tendencias de la sumarización lingüística de datos.</w:t>
      </w:r>
      <w:r>
        <w:rPr/>
        <w:t xml:space="preserve"> </w:t>
      </w:r>
      <w:r>
        <w:rPr>
          <w:lang w:val="en-US"/>
        </w:rPr>
        <w:t>El capítulo se encuentra organizado de la siguiente forma</w:t>
      </w:r>
      <w:r>
        <w:rPr/>
        <w:t xml:space="preserve">: </w:t>
      </w:r>
      <w:r>
        <w:rPr>
          <w:lang w:val="en-US"/>
        </w:rPr>
        <w:t>un primer epígrafe donde se exponen</w:t>
      </w:r>
      <w:r>
        <w:rPr/>
        <w:t xml:space="preserve"> los conceptos generales y principales formas de representación de los resúmenes </w:t>
      </w:r>
      <w:r>
        <w:rPr>
          <w:lang w:val="en-US"/>
        </w:rPr>
        <w:t>lingüísticos</w:t>
      </w:r>
      <w:r>
        <w:rPr/>
        <w:t xml:space="preserve">. Luego, </w:t>
      </w:r>
      <w:r>
        <w:rPr>
          <w:lang w:val="en-US"/>
        </w:rPr>
        <w:t xml:space="preserve">se analizan las </w:t>
      </w:r>
      <w:r>
        <w:rPr/>
        <w:t>principales técnicas reportadas en la bibliografía asociadas a la generación de resúmenes lingüísticos de datos. En el tercer epígrafe se realiza un análisis de los métodos de validación empleados en las investigaciones de la bibliografía estudiada. En un cuarto epígrafe se revisan las principales áreas o escenarios de aplicación de los resúmenes lingüísticos para la toma de decisiones. Finalmente se presentan las conclusiones del capítulo</w:t>
      </w:r>
      <w:r>
        <w:rPr>
          <w:lang w:val="en-US"/>
        </w:rPr>
        <w:t>.</w:t>
      </w:r>
    </w:p>
    <w:p>
      <w:pPr>
        <w:pStyle w:val="Normal"/>
        <w:rPr/>
      </w:pPr>
      <w:r>
        <w:rPr>
          <w:szCs w:val="24"/>
        </w:rPr>
        <w:t xml:space="preserve">Para la elaboración del </w:t>
      </w:r>
      <w:r>
        <w:rPr/>
        <w:t>marco teórico referencial</w:t>
      </w:r>
      <w:r>
        <w:rPr>
          <w:szCs w:val="24"/>
        </w:rPr>
        <w:t xml:space="preserve"> se aplican buenas prácticas de investigación </w:t>
      </w:r>
      <w:r>
        <w:fldChar w:fldCharType="begin"/>
      </w:r>
      <w:r>
        <w:instrText>ADDIN ZOTERO_ITEM CSL_CITATION {"citationID":"aaq1pdrhsq","properties":{"formattedCitation":"(Kelley y Kelley 2019)","plainCitation":"(Kelley y Kelley 2019)","noteIndex":0},"citationItems":[{"id":3479,"uris":["http://zotero.org/users/local/EJ15hJE2/items/BR2L3CM7"],"uri":["http://zotero.org/users/local/EJ15hJE2/items/BR2L3CM7"],"itemData":{"id":3479,"type":"article-journal","abstract":"There exists an ever-increasing number of systematic reviews, with or without meta-analysis, in the field of nutrition. Concomitant with this increase is the increased use of such to guide future research as well as both practice and policy-based decisions. Given this increased production and consumption, a need exists to educate both producers and consumers of systematic reviews, with or without meta-analysis, on how to conduct and evaluate high-quality reviews of this nature in nutrition. The purpose of this paper is to try and address this gap. In the present manuscript, the different types of systematic reviews, with or without meta-analyses, are described as well as the description of the major elements, including methodology and interpretation, with a focus on nutrition. It is hoped that this non-technical information will be helpful to producers, reviewers and consumers of systematic reviews, with or without meta-analysis, in the field of nutrition.","container-title":"British Journal of Nutrition","DOI":"10.1017/S0007114519002241","ISSN":"0007-1145, 1475-2662","issue":"11","language":"en","page":"1279-1294","source":"Cambridge Core","title":"Systematic reviews and meta-analysis in nutrition research","volume":"122","author":[{"family":"Kelley","given":"George A."},{"family":"Kelley","given":"Kristi S."}],"issued":{"date-parts":[["2019",12]]}}}],"schema":"https://github.com/citation-style-language/schema/raw/master/csl-citation.json"}</w:instrText>
      </w:r>
      <w:r>
        <w:fldChar w:fldCharType="separate"/>
      </w:r>
      <w:bookmarkStart w:id="272" w:name="__Fieldmark__3102_2067855929"/>
      <w:r>
        <w:rPr>
          <w:szCs w:val="24"/>
        </w:rPr>
        <w:t>(</w:t>
      </w:r>
      <w:bookmarkStart w:id="273" w:name="__Fieldmark__2770_498839314"/>
      <w:r>
        <w:rPr>
          <w:szCs w:val="24"/>
        </w:rPr>
        <w:t>K</w:t>
      </w:r>
      <w:bookmarkStart w:id="274" w:name="__Fieldmark__2589_998588997"/>
      <w:r>
        <w:rPr>
          <w:szCs w:val="24"/>
        </w:rPr>
        <w:t>e</w:t>
      </w:r>
      <w:bookmarkStart w:id="275" w:name="__Fieldmark__4944_118561941"/>
      <w:r>
        <w:rPr>
          <w:szCs w:val="24"/>
        </w:rPr>
        <w:t>lley y Kelley 2019)</w:t>
      </w:r>
      <w:r>
        <w:rPr>
          <w:szCs w:val="24"/>
        </w:rPr>
      </w:r>
      <w:r>
        <w:fldChar w:fldCharType="end"/>
      </w:r>
      <w:bookmarkEnd w:id="272"/>
      <w:bookmarkEnd w:id="273"/>
      <w:bookmarkEnd w:id="274"/>
      <w:bookmarkEnd w:id="275"/>
      <w:r>
        <w:rPr>
          <w:szCs w:val="24"/>
        </w:rPr>
        <w:t xml:space="preserve"> </w:t>
      </w:r>
      <w:r>
        <w:fldChar w:fldCharType="begin"/>
      </w:r>
      <w:r>
        <w:instrText>ADDIN ZOTERO_ITEM CSL_CITATION {"citationID":"a18435sbmsl","properties":{"formattedCitation":"(B\\uc0\\u246{}ger et\\uc0\\u160{}al. 2021)","plainCitation":"(Böger et al. 2021)","noteIndex":0},"citationItems":[{"id":3478,"uris":["http://zotero.org/users/local/EJ15hJE2/items/42NIPF5F"],"uri":["http://zotero.org/users/local/EJ15hJE2/items/42NIPF5F"],"itemData":{"id":3478,"type":"article-journal","abstract":"Objective\nTo collate the evidence on the accuracy parameters of all available diagnostic methods for detecting SARS-CoV-2.\nMethods\nA systematic review with meta-analysis was performed. Searches were conducted in Pubmed and Scopus (April 2020). Studies reporting data on sensitivity or specificity of diagnostic tests for COVID-19 using any human biological sample were included.\nResults\nSixteen studies were evaluated. Meta-analysis showed that computed tomography has high sensitivity (91.9% [89.8%-93.7%]), but low specificity (25.1% [21.0%-29.5%]). The combination of IgM and IgG antibodies demonstrated promising results for both parameters (84.5% [82.2%-86.6%]; 91.6% [86.0%-95.4%], respectively). For RT-PCR tests, rectal stools/swab, urine, and plasma were less sensitive while sputum (97.2% [90.3%-99.7%]) presented higher sensitivity for detecting the virus.\nConclusions\nRT-PCR remains the gold standard for the diagnosis of COVID-19 in sputum samples. However, the combination of different diagnostic tests is highly recommended to achieve adequate sensitivity and specificity.","container-title":"American Journal of Infection Control","DOI":"10.1016/j.ajic.2020.07.011","ISSN":"0196-6553","issue":"1","journalAbbreviation":"American Journal of Infection Control","language":"en","page":"21-29","source":"ScienceDirect","title":"Systematic review with meta-analysis of the accuracy of diagnostic tests for COVID-19","volume":"49","author":[{"family":"Böger","given":"Beatriz"},{"family":"Fachi","given":"Mariana M."},{"family":"Vilhena","given":"Raquel O."},{"family":"Cobre","given":"Alexandre F."},{"family":"Tonin","given":"Fernanda S."},{"family":"Pontarolo","given":"Roberto"}],"issued":{"date-parts":[["2021",1,1]]}}}],"schema":"https://github.com/citation-style-language/schema/raw/master/csl-citation.json"}</w:instrText>
      </w:r>
      <w:r>
        <w:fldChar w:fldCharType="separate"/>
      </w:r>
      <w:bookmarkStart w:id="276" w:name="__Fieldmark__3117_2067855929"/>
      <w:r>
        <w:rPr>
          <w:szCs w:val="24"/>
        </w:rPr>
        <w:t>(</w:t>
      </w:r>
      <w:bookmarkStart w:id="277" w:name="__Fieldmark__2781_498839314"/>
      <w:r>
        <w:rPr>
          <w:szCs w:val="24"/>
        </w:rPr>
        <w:t>B</w:t>
      </w:r>
      <w:bookmarkStart w:id="278" w:name="__Fieldmark__2596_998588997"/>
      <w:r>
        <w:rPr>
          <w:szCs w:val="24"/>
        </w:rPr>
        <w:t>ö</w:t>
      </w:r>
      <w:bookmarkStart w:id="279" w:name="__Fieldmark__4949_118561941"/>
      <w:r>
        <w:rPr>
          <w:szCs w:val="24"/>
        </w:rPr>
        <w:t>ger et al. 2021)</w:t>
      </w:r>
      <w:r>
        <w:rPr>
          <w:szCs w:val="24"/>
        </w:rPr>
      </w:r>
      <w:r>
        <w:fldChar w:fldCharType="end"/>
      </w:r>
      <w:bookmarkEnd w:id="276"/>
      <w:bookmarkEnd w:id="277"/>
      <w:bookmarkEnd w:id="278"/>
      <w:bookmarkEnd w:id="279"/>
      <w:r>
        <w:rPr>
          <w:szCs w:val="24"/>
          <w:lang w:val="en-US"/>
        </w:rPr>
        <w:t xml:space="preserve"> </w:t>
      </w:r>
      <w:r>
        <w:fldChar w:fldCharType="begin"/>
      </w:r>
      <w:r>
        <w:instrText>ADDIN ZOTERO_ITEM CSL_CITATION {"citationID":"a131rajmut","properties":{"formattedCitation":"(Grau, Correa y Rojas 1999)","plainCitation":"(Grau, Correa y Rojas 1999)","noteIndex":0},"citationItems":[{"id":3460,"uris":["http://zotero.org/users/local/EJ15hJE2/items/FBAA3F9U"],"uri":["http://zotero.org/users/local/EJ15hJE2/items/FBAA3F9U"],"itemData":{"id":3460,"type":"book","edition":"Corporación universitaria de Ibague","ISBN":"958-8028-10-8","number-of-pages":"131","title":"Metodología de la investigación","author":[{"family":"Grau","given":"Ricardo"},{"family":"Correa","given":"Cecilia"},{"family":"Rojas","given":"Mauricio"}],"issued":{"date-parts":[["1999"]]}}}],"schema":"https://github.com/citation-style-language/schema/raw/master/csl-citation.json"}</w:instrText>
      </w:r>
      <w:r>
        <w:fldChar w:fldCharType="separate"/>
      </w:r>
      <w:bookmarkStart w:id="280" w:name="__Fieldmark__3132_2067855929"/>
      <w:r>
        <w:rPr>
          <w:szCs w:val="24"/>
          <w:lang w:val="en-US"/>
        </w:rPr>
        <w:t>(</w:t>
      </w:r>
      <w:bookmarkStart w:id="281" w:name="__Fieldmark__2792_498839314"/>
      <w:r>
        <w:rPr>
          <w:szCs w:val="24"/>
          <w:lang w:val="en-US"/>
        </w:rPr>
        <w:t>G</w:t>
      </w:r>
      <w:bookmarkStart w:id="282" w:name="__Fieldmark__2603_998588997"/>
      <w:r>
        <w:rPr>
          <w:szCs w:val="24"/>
          <w:lang w:val="en-US"/>
        </w:rPr>
        <w:t>r</w:t>
      </w:r>
      <w:bookmarkStart w:id="283" w:name="__Fieldmark__4954_118561941"/>
      <w:r>
        <w:rPr>
          <w:szCs w:val="24"/>
          <w:lang w:val="en-US"/>
        </w:rPr>
        <w:t>au, Correa y Rojas 1999)</w:t>
      </w:r>
      <w:r>
        <w:rPr>
          <w:szCs w:val="24"/>
          <w:lang w:val="en-US"/>
        </w:rPr>
      </w:r>
      <w:r>
        <w:fldChar w:fldCharType="end"/>
      </w:r>
      <w:bookmarkEnd w:id="280"/>
      <w:bookmarkEnd w:id="281"/>
      <w:bookmarkEnd w:id="282"/>
      <w:bookmarkEnd w:id="283"/>
      <w:r>
        <w:rPr>
          <w:szCs w:val="24"/>
          <w:lang w:val="en-US"/>
        </w:rPr>
        <w:t xml:space="preserve"> </w:t>
      </w:r>
      <w:r>
        <w:rPr>
          <w:szCs w:val="24"/>
        </w:rPr>
        <w:t xml:space="preserve">siguiendo los pasos: </w:t>
      </w:r>
    </w:p>
    <w:p>
      <w:pPr>
        <w:pStyle w:val="ListParagraph"/>
        <w:numPr>
          <w:ilvl w:val="0"/>
          <w:numId w:val="21"/>
        </w:numPr>
        <w:suppressAutoHyphens w:val="false"/>
        <w:overflowPunct w:val="true"/>
        <w:spacing w:before="0" w:after="0"/>
        <w:ind w:left="998" w:hanging="777"/>
        <w:contextualSpacing/>
        <w:textAlignment w:val="auto"/>
        <w:rPr/>
      </w:pPr>
      <w:r>
        <w:rPr>
          <w:rFonts w:cs="Arial"/>
          <w:szCs w:val="24"/>
          <w:lang w:val="en-US"/>
        </w:rPr>
        <w:t xml:space="preserve">Diseño de un protocolo de revisión sistemática que permite construir un marco teórico referencial asociado a la temática, ver </w:t>
      </w:r>
      <w:r>
        <w:rPr>
          <w:szCs w:val="24"/>
          <w:lang w:val="en-US"/>
        </w:rPr>
        <w:t xml:space="preserve">el </w:t>
      </w:r>
      <w:r>
        <w:rPr>
          <w:szCs w:val="24"/>
          <w:lang w:val="en-US"/>
        </w:rPr>
        <w:fldChar w:fldCharType="begin"/>
      </w:r>
      <w:r>
        <w:instrText> REF _Ref70268640 \h </w:instrText>
      </w:r>
      <w:r>
        <w:fldChar w:fldCharType="separate"/>
      </w:r>
      <w:r>
        <w:t>Anexo 2</w:t>
      </w:r>
      <w:r>
        <w:fldChar w:fldCharType="end"/>
      </w:r>
      <w:r>
        <w:rPr>
          <w:rFonts w:cs="Arial"/>
          <w:szCs w:val="24"/>
          <w:lang w:val="en-US"/>
        </w:rPr>
        <w:t>.</w:t>
      </w:r>
    </w:p>
    <w:p>
      <w:pPr>
        <w:pStyle w:val="ListParagraph"/>
        <w:numPr>
          <w:ilvl w:val="0"/>
          <w:numId w:val="21"/>
        </w:numPr>
        <w:suppressAutoHyphens w:val="false"/>
        <w:overflowPunct w:val="true"/>
        <w:spacing w:before="0" w:after="0"/>
        <w:ind w:left="998" w:hanging="777"/>
        <w:contextualSpacing/>
        <w:textAlignment w:val="auto"/>
        <w:rPr>
          <w:rFonts w:cs="Arial"/>
          <w:szCs w:val="24"/>
          <w:lang w:val="en-US"/>
        </w:rPr>
      </w:pPr>
      <w:r>
        <w:rPr>
          <w:rFonts w:cs="Arial"/>
          <w:szCs w:val="24"/>
          <w:lang w:val="en-US"/>
        </w:rPr>
        <w:t>Análisis a profundidad de la bibliografía consultada por cada una de las categorías establecidas</w:t>
      </w:r>
      <w:r>
        <w:rPr>
          <w:lang w:val="en-US"/>
        </w:rPr>
        <w:t xml:space="preserve"> y caracterización respecto a los siguientes elementos:</w:t>
      </w:r>
    </w:p>
    <w:p>
      <w:pPr>
        <w:pStyle w:val="ListParagraph"/>
        <w:numPr>
          <w:ilvl w:val="0"/>
          <w:numId w:val="23"/>
        </w:numPr>
        <w:rPr>
          <w:lang w:val="en-US"/>
        </w:rPr>
      </w:pPr>
      <w:r>
        <w:rPr>
          <w:lang w:val="en-US"/>
        </w:rPr>
        <w:t>Estructura de los resúmenes lingüísticos y técnicas para su generación.</w:t>
      </w:r>
    </w:p>
    <w:p>
      <w:pPr>
        <w:pStyle w:val="ListParagraph"/>
        <w:numPr>
          <w:ilvl w:val="0"/>
          <w:numId w:val="23"/>
        </w:numPr>
        <w:rPr>
          <w:lang w:val="en-US"/>
        </w:rPr>
      </w:pPr>
      <w:r>
        <w:rPr>
          <w:lang w:val="en-US"/>
        </w:rPr>
        <w:t>Técnicas y métodos de validación empleados en las investigaciones.</w:t>
      </w:r>
    </w:p>
    <w:p>
      <w:pPr>
        <w:pStyle w:val="ListParagraph"/>
        <w:numPr>
          <w:ilvl w:val="0"/>
          <w:numId w:val="23"/>
        </w:numPr>
        <w:rPr>
          <w:rFonts w:cs="Arial"/>
          <w:szCs w:val="24"/>
          <w:lang w:val="en-US"/>
        </w:rPr>
      </w:pPr>
      <w:r>
        <w:rPr>
          <w:lang w:val="en-US"/>
        </w:rPr>
        <w:t>Principales áreas de aplicación.</w:t>
      </w:r>
    </w:p>
    <w:p>
      <w:pPr>
        <w:pStyle w:val="ListParagraph"/>
        <w:numPr>
          <w:ilvl w:val="0"/>
          <w:numId w:val="21"/>
        </w:numPr>
        <w:suppressAutoHyphens w:val="false"/>
        <w:overflowPunct w:val="true"/>
        <w:spacing w:before="0" w:after="0"/>
        <w:ind w:left="998" w:hanging="777"/>
        <w:contextualSpacing/>
        <w:textAlignment w:val="auto"/>
        <w:rPr>
          <w:rFonts w:cs="Arial"/>
          <w:szCs w:val="24"/>
          <w:lang w:val="en-US"/>
        </w:rPr>
      </w:pPr>
      <w:r>
        <w:rPr>
          <w:rFonts w:cs="Arial"/>
          <w:szCs w:val="24"/>
          <w:lang w:val="en-US"/>
        </w:rPr>
        <w:t>Aplicación de técnicas estadísticas para el análisis de los resultados de la revisión.</w:t>
      </w:r>
    </w:p>
    <w:p>
      <w:pPr>
        <w:pStyle w:val="ListParagraph"/>
        <w:numPr>
          <w:ilvl w:val="0"/>
          <w:numId w:val="21"/>
        </w:numPr>
        <w:suppressAutoHyphens w:val="false"/>
        <w:overflowPunct w:val="true"/>
        <w:spacing w:before="0" w:after="0"/>
        <w:ind w:left="998" w:hanging="777"/>
        <w:contextualSpacing/>
        <w:textAlignment w:val="auto"/>
        <w:rPr>
          <w:rFonts w:cs="Arial"/>
          <w:szCs w:val="24"/>
          <w:lang w:val="en-US"/>
        </w:rPr>
      </w:pPr>
      <w:r>
        <w:rPr>
          <w:rFonts w:cs="Arial"/>
          <w:szCs w:val="24"/>
          <w:lang w:val="es-ES" w:eastAsia="ja-JP"/>
        </w:rPr>
        <w:t>Identificar líneas abiertas de investigación.</w:t>
      </w:r>
    </w:p>
    <w:p>
      <w:pPr>
        <w:pStyle w:val="Normal"/>
        <w:rPr>
          <w:szCs w:val="24"/>
          <w:lang w:val="en-US"/>
        </w:rPr>
      </w:pPr>
      <w:r>
        <w:rPr>
          <w:szCs w:val="24"/>
          <w:lang w:val="en-US"/>
        </w:rPr>
        <w:t>En la revisión sistemática se analiza la evolución histórica de la sumarización lingüística en los siguientes períodos: publicaciones antes del 2000, publicaciones entre el 2000-2015 y publicaciones a partir del 2015.</w:t>
      </w:r>
    </w:p>
    <w:p>
      <w:pPr>
        <w:pStyle w:val="Heading2"/>
        <w:numPr>
          <w:ilvl w:val="1"/>
          <w:numId w:val="80"/>
        </w:numPr>
        <w:rPr/>
      </w:pPr>
      <w:bookmarkStart w:id="284" w:name="_Toc84598922"/>
      <w:bookmarkEnd w:id="284"/>
      <w:r>
        <w:rPr/>
        <w:t>Conceptos generales sobre sumarización lingüística de datos</w:t>
      </w:r>
    </w:p>
    <w:p>
      <w:pPr>
        <w:pStyle w:val="Normal"/>
        <w:rPr/>
      </w:pPr>
      <w:r>
        <w:rPr/>
        <w:t xml:space="preserve">Zadrożny identificó que la esencia de esta técnica es que un conjunto de datos se puede resumir lingüísticamente con respecto a un atributo o atributos seleccionados, mediante proposiciones cuantificadas lingüísticamente </w:t>
      </w:r>
      <w:r>
        <w:fldChar w:fldCharType="begin"/>
      </w:r>
      <w:r>
        <w:instrText>ADDIN ZOTERO_ITEM CSL_CITATION {"citationID":"46UscUG0","properties":{"formattedCitation":"(Kacprzyk, J. y Zadro\\uc0\\u380{}ny 2005)","plainCitation":"(Kacprzyk, J. y Zadrożny 2005)","noteIndex":0},"citationItems":[{"id":92,"uris":["http://zotero.org/users/local/EJ15hJE2/items/5NJU8UWN"],"uri":["http://zotero.org/users/local/EJ15hJE2/items/5NJU8UWN"],"itemData":{"id":92,"type":"chapter","abstract":"16.5 Concluding RemarksIn this chapter we have presented an interactive, fuzzy logic based approach to the linguistic summarization of databases, and have advocated it as a means to obtain human consistent summaries of (large) sets of data. Such “raw” sets of data are incomprehensible by the human being, while they linguistic summaries are easily comprehensible. Our intention was to show it as an example of a simple inexpensive information technology that can be implementable even in small companies, and is easily adaptable to varying needs of the users, their preferences, profiles, and proficiency.Moreover, through the use of Zadeh’s computing with words and perceptions paradigm, and of protoforms we have attained the above characteristics to a higher extent and at a lower cost and effort.","collection-title":"Studies in Fuzziness and Soft Computing","container-title":"Do Smart Adaptive Systems Exist? Best Practice for Selection and Combination of Intelligent Methods","event-place":"Berlin, Heidelberg","ISBN":"978-3-540-32374-7","language":"en","note":"DOI: 10.1007/3-540-32374-0_16","page":"321–340","publisher":"Springer","publisher-place":"Berlin, Heidelberg","title":"Fuzzy linguistic data summaries as a human consistent, user adaptable solution to data mining","URL":"https://doi.org/10.1007/3-540-32374-0_16","author":[{"family":"Kacprzyk","given":"J."},{"family":"Zadrożny","given":"S."}],"editor":[{"family":"Gabrys","given":"Bogdan"},{"family":"Leiviskä","given":"Kauko"},{"family":"Strackeljan","given":"Jens"}],"accessed":{"date-parts":[["2020",1,10]]},"issued":{"date-parts":[["2005"]]}}}],"schema":"https://github.com/citation-style-language/schema/raw/master/csl-citation.json"}</w:instrText>
      </w:r>
      <w:r>
        <w:fldChar w:fldCharType="separate"/>
      </w:r>
      <w:bookmarkStart w:id="285" w:name="__Fieldmark__3172_2067855929"/>
      <w:r>
        <w:rPr/>
      </w:r>
      <w:r>
        <w:rPr>
          <w:szCs w:val="24"/>
        </w:rPr>
        <w:t>(</w:t>
      </w:r>
      <w:bookmarkStart w:id="286" w:name="__Fieldmark__2824_498839314"/>
      <w:r>
        <w:rPr>
          <w:szCs w:val="24"/>
        </w:rPr>
        <w:t>K</w:t>
      </w:r>
      <w:bookmarkStart w:id="287" w:name="__Fieldmark__2631_998588997"/>
      <w:r>
        <w:rPr>
          <w:szCs w:val="24"/>
        </w:rPr>
        <w:t>a</w:t>
      </w:r>
      <w:bookmarkStart w:id="288" w:name="__Fieldmark__5009_118561941"/>
      <w:r>
        <w:rPr>
          <w:szCs w:val="24"/>
        </w:rPr>
        <w:t>cprzyk, J. y Zadrożny 2005)</w:t>
      </w:r>
      <w:r>
        <w:rPr/>
      </w:r>
      <w:r>
        <w:fldChar w:fldCharType="end"/>
      </w:r>
      <w:bookmarkEnd w:id="285"/>
      <w:bookmarkEnd w:id="286"/>
      <w:bookmarkEnd w:id="287"/>
      <w:bookmarkEnd w:id="288"/>
      <w:r>
        <w:rPr/>
        <w:t>.</w:t>
      </w:r>
    </w:p>
    <w:p>
      <w:pPr>
        <w:pStyle w:val="Normal"/>
        <w:rPr/>
      </w:pPr>
      <w:r>
        <w:rPr/>
        <w:t xml:space="preserve">Boran, Akay y Yager en </w:t>
      </w:r>
      <w:r>
        <w:fldChar w:fldCharType="begin"/>
      </w:r>
      <w:r>
        <w:instrText>ADDIN ZOTERO_ITEM CSL_CITATION {"citationID":"cJ6jkeaq","properties":{"formattedCitation":"(Boran, Akay y Yager 2016)","plainCitation":"(Boran, Akay y Yager 2016)","noteIndex":0},"citationItems":[{"id":"NJclqhNX/6PyOWd0u","uris":["http://zotero.org/users/local/rsuvzjK6/items/QWDE7BJJ"],"uri":["http://zotero.org/users/local/rsuvzjK6/items/QWDE7BJJ"],"itemData":{"id":3343,"type":"article-journal","container-title":"Expert Systems with Applications","DOI":"10.1016/j.eswa.2016.05.044","page":"356–377","title":"An overview of methods for linguistic summarization with fuzzy sets","volume":"61","author":[{"family":"Boran","given":"Fatih Emre"},{"family":"Akay","given":"Diyar"},{"family":"Yager","given":"Ronald R"}],"issued":{"date-parts":[["2016"]]}}}],"schema":"https://github.com/citation-style-language/schema/raw/master/csl-citation.json"}</w:instrText>
      </w:r>
      <w:r>
        <w:fldChar w:fldCharType="separate"/>
      </w:r>
      <w:bookmarkStart w:id="289" w:name="__Fieldmark__3189_2067855929"/>
      <w:r>
        <w:rPr/>
        <w:t>(</w:t>
      </w:r>
      <w:bookmarkStart w:id="290" w:name="__Fieldmark__2837_498839314"/>
      <w:r>
        <w:rPr/>
        <w:t>B</w:t>
      </w:r>
      <w:bookmarkStart w:id="291" w:name="__Fieldmark__2640_998588997"/>
      <w:r>
        <w:rPr/>
        <w:t>o</w:t>
      </w:r>
      <w:bookmarkStart w:id="292" w:name="__Fieldmark__5016_118561941"/>
      <w:r>
        <w:rPr/>
        <w:t>ran, Akay y Yager 2016)</w:t>
      </w:r>
      <w:r>
        <w:rPr/>
      </w:r>
      <w:r>
        <w:fldChar w:fldCharType="end"/>
      </w:r>
      <w:bookmarkEnd w:id="289"/>
      <w:bookmarkEnd w:id="290"/>
      <w:bookmarkEnd w:id="291"/>
      <w:bookmarkEnd w:id="292"/>
      <w:r>
        <w:rPr/>
        <w:t xml:space="preserve"> plantean que la SLD es una poderosa técnica de descubrimiento de conocimiento descriptivo sobre conjuntos de datos, capaz de extraer conocimiento potencial, útil y abstracto de datos tanto numéricos como categóricos, cuyo objetivo es descubrir las relaciones existentes entre atributos en una base de datos. </w:t>
      </w:r>
    </w:p>
    <w:p>
      <w:pPr>
        <w:pStyle w:val="Normal"/>
        <w:tabs>
          <w:tab w:val="left" w:pos="0" w:leader="none"/>
        </w:tabs>
        <w:rPr/>
      </w:pPr>
      <w:r>
        <w:rPr/>
        <w:t xml:space="preserve">Por otro lado, Anna Wilbik y otros autores plantean que el objetivo de los resúmenes lingüísticos es proporcionar de forma ágil la comprensión de grandes cantidades de datos, al describir en forma lingüística las principales propiedades de los datos </w:t>
      </w:r>
      <w:r>
        <w:fldChar w:fldCharType="begin"/>
      </w:r>
      <w:r>
        <w:instrText>ADDIN ZOTERO_ITEM CSL_CITATION {"citationID":"01lnB8jt","properties":{"formattedCitation":"(Wilbik y Dijkman 2016)","plainCitation":"(Wilbik y Dijkman 2016)","noteIndex":0},"citationItems":[{"id":"NJclqhNX/1ebjSrdZ","uris":["http://zotero.org/users/local/rsuvzjK6/items/9WRTM8B6"],"uri":["http://zotero.org/users/local/rsuvzjK6/items/9WRTM8B6"],"itemData":{"id":3260,"type":"paper-conference","abstract":"Linguistic summarization techniques make it easy to gain insight into large amounts of data by describing the main properties of the data linguistically. In this paper we focus on a specific type of data, namely process data, i.e., event logs that contain information about when some activities were performed for a particular customer case. An event log may contain many different sequences, because actions or events are often performed in slightly different orders for different customer cases. This easily leads to a very large number of generated summaries. As the point of linguistic summarization is to provide a quick overview, such a large number of summaries is not helpful to the interpreter. To address this problem, we propose a method for the generation of linguistic summaries of sequences that groups similar sequences and returns them in a single linguistic summary. We show the applicability of our technique on an event log from practice and show that it can be used to reduce the number of produced summaries by 80%, while keeping the important information that is contained in those summaries.","container-title":"2016 IEEE International Conference on Fuzzy Systems (FUZZ-IEEE)","DOI":"10.1109/FUZZ-IEEE.2016.7737736","page":"555–562","title":"On the generation of useful linguistic summaries of sequences","author":[{"family":"Wilbik","given":"Anna"},{"family":"Dijkman","given":"Remco M."}],"issued":{"date-parts":[["2016",7]]}}}],"schema":"https://github.com/citation-style-language/schema/raw/master/csl-citation.json"}</w:instrText>
      </w:r>
      <w:r>
        <w:fldChar w:fldCharType="separate"/>
      </w:r>
      <w:bookmarkStart w:id="293" w:name="__Fieldmark__3209_2067855929"/>
      <w:r>
        <w:rPr/>
        <w:t>(</w:t>
      </w:r>
      <w:bookmarkStart w:id="294" w:name="__Fieldmark__2850_498839314"/>
      <w:r>
        <w:rPr/>
        <w:t>W</w:t>
      </w:r>
      <w:bookmarkStart w:id="295" w:name="__Fieldmark__2649_998588997"/>
      <w:r>
        <w:rPr/>
        <w:t>i</w:t>
      </w:r>
      <w:bookmarkStart w:id="296" w:name="__Fieldmark__5037_118561941"/>
      <w:r>
        <w:rPr/>
        <w:t>lbik y Dijkman 2016)</w:t>
      </w:r>
      <w:r>
        <w:rPr/>
      </w:r>
      <w:r>
        <w:fldChar w:fldCharType="end"/>
      </w:r>
      <w:bookmarkEnd w:id="293"/>
      <w:bookmarkEnd w:id="294"/>
      <w:bookmarkEnd w:id="295"/>
      <w:bookmarkEnd w:id="296"/>
      <w:r>
        <w:rPr/>
        <w:t xml:space="preserve"> </w:t>
      </w:r>
      <w:r>
        <w:fldChar w:fldCharType="begin"/>
      </w:r>
      <w:r>
        <w:instrText>ADDIN ZOTERO_ITEM CSL_CITATION {"citationID":"ar70tomtt1","properties":{"formattedCitation":"(Eciolaza, Pereira-Fari\\uc0\\u241{}a y Trivino 2013)","plainCitation":"(Eciolaza, Pereira-Fariña y Trivino 2013)","noteIndex":0},"citationItems":[{"id":"NJclqhNX/GRJddXl6","uris":["http://zotero.org/users/local/rsuvzjK6/items/5VTWDAGS"],"uri":["http://zotero.org/users/local/rsuvzjK6/items/5VTWDAGS"],"itemData":{"id":3379,"type":"article-journal","abstract":"Linguistic data summarization targets the description of patterns emerging in data by means of linguistic expressions. Just as human beings do, computers can use natural language to represent and fuse heterogeneous data in a multi criteria decision making environment. Linguistic data description is particularly well suited for applications in which there is a necessity of understanding data at different levels of expertise or human–computer interaction is involved. In this paper, an application for the linguistic descriptions of driving activity in a simulation environment has been developed. In order to ensure safe driving practices, all new onboard devices in transportation systems need to be evaluated. Work performed in this application paper will be used for the automatic evaluation of onboard devices. Based on Fuzzy Logic, and as a contribution to Computational Theory of Perceptions, the proposed solution is part of our research on granular linguistic models of phenomena. The application generates a set of valid sentences describing the quality of driving. Then a relevancy analysis is performed in order to compile the most representative and suitable statements in a final report. Real time-series data from a vehicle simulator have been used to evaluate the performance of the presented application in the framework of a real project.","container-title":"Applied Soft Computing","DOI":"10.1016/j.asoc.2012.09.007","issue":"9","page":"3956–3967","title":"Automatic linguistic reporting in driving simulation environments","volume":"13","author":[{"family":"Eciolaza","given":"Luka"},{"family":"Pereira-Fariña","given":"MartíN"},{"family":"Trivino","given":"Gracian"}],"issued":{"date-parts":[["2013"]]}}}],"schema":"https://github.com/citation-style-language/schema/raw/master/csl-citation.json"}</w:instrText>
      </w:r>
      <w:r>
        <w:fldChar w:fldCharType="separate"/>
      </w:r>
      <w:bookmarkStart w:id="297" w:name="__Fieldmark__3224_2067855929"/>
      <w:r>
        <w:rPr/>
      </w:r>
      <w:r>
        <w:rPr>
          <w:szCs w:val="24"/>
        </w:rPr>
        <w:t>(</w:t>
      </w:r>
      <w:bookmarkStart w:id="298" w:name="__Fieldmark__2861_498839314"/>
      <w:r>
        <w:rPr>
          <w:szCs w:val="24"/>
        </w:rPr>
        <w:t>E</w:t>
      </w:r>
      <w:bookmarkStart w:id="299" w:name="__Fieldmark__2656_998588997"/>
      <w:r>
        <w:rPr>
          <w:szCs w:val="24"/>
        </w:rPr>
        <w:t>c</w:t>
      </w:r>
      <w:bookmarkStart w:id="300" w:name="__Fieldmark__5042_118561941"/>
      <w:r>
        <w:rPr>
          <w:szCs w:val="24"/>
        </w:rPr>
        <w:t>iolaza, Pereira-Fariña y Trivino 2013)</w:t>
      </w:r>
      <w:r>
        <w:rPr/>
      </w:r>
      <w:r>
        <w:fldChar w:fldCharType="end"/>
      </w:r>
      <w:bookmarkEnd w:id="297"/>
      <w:bookmarkEnd w:id="298"/>
      <w:bookmarkEnd w:id="299"/>
      <w:bookmarkEnd w:id="300"/>
      <w:r>
        <w:rPr/>
        <w:t>.</w:t>
      </w:r>
    </w:p>
    <w:p>
      <w:pPr>
        <w:pStyle w:val="Normal"/>
        <w:tabs>
          <w:tab w:val="left" w:pos="0" w:leader="none"/>
        </w:tabs>
        <w:rPr/>
      </w:pPr>
      <w:r>
        <w:rPr/>
        <w:t xml:space="preserve">A partir del estudio realizado se identifica que autores europeos </w:t>
      </w:r>
      <w:r>
        <w:fldChar w:fldCharType="begin"/>
      </w:r>
      <w:r>
        <w:instrText>ADDIN ZOTERO_ITEM CSL_CITATION {"citationID":"KmTCA9jf","properties":{"formattedCitation":"(Zadeh 1983)","plainCitation":"(Zadeh 1983)","noteIndex":0},"citationItems":[{"id":"NJclqhNX/oiCPLXAg","uris":["http://zotero.org/users/local/rsuvzjK6/items/JNTI42JZ"],"uri":["http://zotero.org/users/local/rsuvzjK6/items/JNTI42JZ"],"itemData":{"id":16,"type":"article-journal","title":"A computational approach to fuzzy quantifiers in natural languages","container-title":"Computers &amp; Mathematics with applications","page":"149–184","volume":"9","issue":"1","author":[{"family":"Zadeh","given":"Lotfi A"}],"issued":{"date-parts":[["1983"]]}}}],"schema":"https://github.com/citation-style-language/schema/raw/master/csl-citation.json"}</w:instrText>
      </w:r>
      <w:r>
        <w:fldChar w:fldCharType="separate"/>
      </w:r>
      <w:bookmarkStart w:id="301" w:name="__Fieldmark__3242_2067855929"/>
      <w:r>
        <w:rPr/>
        <w:t>(</w:t>
      </w:r>
      <w:bookmarkStart w:id="302" w:name="__Fieldmark__2874_498839314"/>
      <w:r>
        <w:rPr/>
        <w:t>Z</w:t>
      </w:r>
      <w:bookmarkStart w:id="303" w:name="__Fieldmark__2665_998588997"/>
      <w:r>
        <w:rPr/>
        <w:t>a</w:t>
      </w:r>
      <w:bookmarkStart w:id="304" w:name="__Fieldmark__5050_118561941"/>
      <w:r>
        <w:rPr/>
        <w:t>deh 1983)</w:t>
      </w:r>
      <w:r>
        <w:rPr/>
      </w:r>
      <w:r>
        <w:fldChar w:fldCharType="end"/>
      </w:r>
      <w:bookmarkEnd w:id="301"/>
      <w:bookmarkEnd w:id="302"/>
      <w:bookmarkEnd w:id="303"/>
      <w:bookmarkEnd w:id="304"/>
      <w:r>
        <w:rPr/>
        <w:t xml:space="preserve"> </w:t>
      </w:r>
      <w:r>
        <w:fldChar w:fldCharType="begin"/>
      </w:r>
      <w:r>
        <w:instrText>ADDIN ZOTERO_ITEM CSL_CITATION {"citationID":"emI3YyYm","properties":{"formattedCitation":"(Kacprzyk y Strykowski 1999)","plainCitation":"(Kacprzyk y Strykowski 1999)","noteIndex":0},"citationItems":[{"id":"NJclqhNX/f5cwgFPZ","uris":["http://zotero.org/users/local/rsuvzjK6/items/82TIG4HA"],"uri":["http://zotero.org/users/local/rsuvzjK6/items/82TIG4HA"],"itemData":{"id":3359,"type":"article-journal","abstract":"We present an implementation (as an add-in to the DBMS) of fuzzy linguistic summaries of sales data of a small-to-medium size computer retailer in Southern Poland. The system derives linguistic summaries exemplified by \"about a half of sales of accessories is in autumn\" or \"about 1/3 of sales of network elements is in the beginning of the year\". An inherent imprecision of natural language is accounted for by using elements of fuzzy logic, and to effectively and efficiently search the company's database, a genetic algorithm is employed. The fitting function represents a multiaspect measure of the quality of a linguistic summary. The results obtained turned out to be useful to the owner, and suggested some changes in sales policy, determining the staff size, negotiation of commissions, etc. A combination of fuzzy logic and a genetic algorithm proved to be effective, efficient and synergistic.","container-title":"Proceedings of the 1999 Congress on Evolutionary Computation-CEC99 (Cat. No. 99TH8406)","DOI":"10.1109/CEC.1999.782523","page":"937–943","title":"Linguistic summaries of sales data at a computer retailer via fuzzy logic and a genetic algorithm","volume":"2","author":[{"family":"Kacprzyk","given":"J"},{"family":"Strykowski","given":"P"}],"issued":{"date-parts":[["1999"]]}}}],"schema":"https://github.com/citation-style-language/schema/raw/master/csl-citation.json"}</w:instrText>
      </w:r>
      <w:r>
        <w:fldChar w:fldCharType="separate"/>
      </w:r>
      <w:bookmarkStart w:id="305" w:name="__Fieldmark__3257_2067855929"/>
      <w:r>
        <w:rPr/>
        <w:t>(</w:t>
      </w:r>
      <w:bookmarkStart w:id="306" w:name="__Fieldmark__2885_498839314"/>
      <w:r>
        <w:rPr/>
        <w:t>K</w:t>
      </w:r>
      <w:bookmarkStart w:id="307" w:name="__Fieldmark__2672_998588997"/>
      <w:r>
        <w:rPr/>
        <w:t>a</w:t>
      </w:r>
      <w:bookmarkStart w:id="308" w:name="__Fieldmark__5055_118561941"/>
      <w:r>
        <w:rPr/>
        <w:t>cprzyk y Strykowski 1999)</w:t>
      </w:r>
      <w:r>
        <w:rPr/>
      </w:r>
      <w:r>
        <w:fldChar w:fldCharType="end"/>
      </w:r>
      <w:bookmarkEnd w:id="305"/>
      <w:bookmarkEnd w:id="306"/>
      <w:bookmarkEnd w:id="307"/>
      <w:bookmarkEnd w:id="308"/>
      <w:r>
        <w:rPr/>
        <w:t xml:space="preserve"> y norteamericanos </w:t>
      </w:r>
      <w:r>
        <w:fldChar w:fldCharType="begin"/>
      </w:r>
      <w:r>
        <w:instrText>ADDIN ZOTERO_ITEM CSL_CITATION {"citationID":"QTydkBRk","properties":{"formattedCitation":"(Yager 1982)","plainCitation":"(Yager 1982)","noteIndex":0},"citationItems":[{"id":"NJclqhNX/E1eUvurW","uris":["http://zotero.org/users/local/rsuvzjK6/items/YR5JT4VR"],"uri":["http://zotero.org/users/local/rsuvzjK6/items/YR5JT4VR"],"itemData":{"id":3204,"type":"article-journal","container-title":"Information Sciences","DOI":"10.1016/0020-0255(82)90033-0","issue":"1","page":"69–86","title":"A new approach to the summarization of data","volume":"28","author":[{"family":"Yager","given":"Ronald R"}],"issued":{"date-parts":[["1982"]]}}}],"schema":"https://github.com/citation-style-language/schema/raw/master/csl-citation.json"}</w:instrText>
      </w:r>
      <w:r>
        <w:fldChar w:fldCharType="separate"/>
      </w:r>
      <w:bookmarkStart w:id="309" w:name="__Fieldmark__3272_2067855929"/>
      <w:r>
        <w:rPr/>
        <w:t>(</w:t>
      </w:r>
      <w:bookmarkStart w:id="310" w:name="__Fieldmark__2896_498839314"/>
      <w:r>
        <w:rPr/>
        <w:t>Y</w:t>
      </w:r>
      <w:bookmarkStart w:id="311" w:name="__Fieldmark__2679_998588997"/>
      <w:r>
        <w:rPr/>
        <w:t>a</w:t>
      </w:r>
      <w:bookmarkStart w:id="312" w:name="__Fieldmark__5062_118561941"/>
      <w:r>
        <w:rPr/>
        <w:t>ger 1982)</w:t>
      </w:r>
      <w:r>
        <w:rPr/>
      </w:r>
      <w:r>
        <w:fldChar w:fldCharType="end"/>
      </w:r>
      <w:bookmarkEnd w:id="309"/>
      <w:bookmarkEnd w:id="310"/>
      <w:bookmarkEnd w:id="311"/>
      <w:bookmarkEnd w:id="312"/>
      <w:r>
        <w:rPr/>
        <w:t xml:space="preserve">, fueron pioneros en el desarrollo de la teoría en la década del 80 y del 90; mientras que en la actualidad, se observa una mayor dispersión de los trabajos respecto a áreas geográficas, ver la </w:t>
      </w:r>
      <w:r>
        <w:rPr/>
        <w:fldChar w:fldCharType="begin"/>
      </w:r>
      <w:r>
        <w:instrText> REF _Ref68774628 \h </w:instrText>
      </w:r>
      <w:r>
        <w:fldChar w:fldCharType="separate"/>
      </w:r>
      <w:r>
        <w:t>Figura 27</w:t>
      </w:r>
      <w:r>
        <w:fldChar w:fldCharType="end"/>
      </w:r>
      <w:r>
        <w:rPr/>
        <w:t xml:space="preserve"> en el </w:t>
      </w:r>
      <w:r>
        <w:rPr/>
        <w:fldChar w:fldCharType="begin"/>
      </w:r>
      <w:r>
        <w:instrText> REF _Ref79256146 \h </w:instrText>
      </w:r>
      <w:r>
        <w:fldChar w:fldCharType="separate"/>
      </w:r>
      <w:r>
        <w:t>Anexo 3</w:t>
      </w:r>
      <w:r>
        <w:fldChar w:fldCharType="end"/>
      </w:r>
      <w:r>
        <w:rPr/>
        <w:t>. Los siguientes elementos caracterizan la bibliografía consultada:</w:t>
      </w:r>
    </w:p>
    <w:p>
      <w:pPr>
        <w:pStyle w:val="ListParagraph"/>
        <w:numPr>
          <w:ilvl w:val="0"/>
          <w:numId w:val="52"/>
        </w:numPr>
        <w:suppressAutoHyphens w:val="false"/>
        <w:overflowPunct w:val="true"/>
        <w:spacing w:lineRule="auto" w:line="360" w:before="0" w:after="0"/>
        <w:contextualSpacing/>
        <w:textAlignment w:val="auto"/>
        <w:rPr/>
      </w:pPr>
      <w:r>
        <w:rPr>
          <w:rFonts w:cs="Arial"/>
        </w:rPr>
        <w:t>La mayoría de las investigaciones consultadas son artículos en revistas</w:t>
      </w:r>
      <w:r>
        <w:rPr>
          <w:rFonts w:cs="Arial"/>
          <w:lang w:val="es-ES"/>
        </w:rPr>
        <w:t xml:space="preserve">, existiendo </w:t>
      </w:r>
      <w:r>
        <w:rPr>
          <w:rFonts w:cs="Arial"/>
        </w:rPr>
        <w:t xml:space="preserve">pocas tesis de doctorado </w:t>
      </w:r>
      <w:r>
        <w:rPr>
          <w:rFonts w:cs="Arial"/>
          <w:lang w:val="es-ES"/>
        </w:rPr>
        <w:t>o libros sobre la temática</w:t>
      </w:r>
      <w:r>
        <w:rPr>
          <w:rFonts w:cs="Arial"/>
        </w:rPr>
        <w:t>, ver</w:t>
      </w:r>
      <w:r>
        <w:rPr>
          <w:rFonts w:cs="Arial"/>
          <w:lang w:val="es-ES"/>
        </w:rPr>
        <w:t xml:space="preserve"> </w:t>
      </w:r>
      <w:r>
        <w:rPr>
          <w:rFonts w:cs="Arial"/>
          <w:lang w:val="es-ES"/>
        </w:rPr>
        <w:fldChar w:fldCharType="begin"/>
      </w:r>
      <w:r>
        <w:instrText> REF _Ref79256146 \h </w:instrText>
      </w:r>
      <w:r>
        <w:fldChar w:fldCharType="separate"/>
      </w:r>
      <w:r>
        <w:t>Anexo 3</w:t>
      </w:r>
      <w:r>
        <w:fldChar w:fldCharType="end"/>
      </w:r>
      <w:r>
        <w:rPr>
          <w:rFonts w:cs="Arial"/>
        </w:rPr>
        <w:t xml:space="preserve"> </w:t>
      </w:r>
      <w:r>
        <w:rPr>
          <w:rFonts w:cs="Arial"/>
        </w:rPr>
        <w:fldChar w:fldCharType="begin"/>
      </w:r>
      <w:r>
        <w:instrText> REF _Ref79256895 \h </w:instrText>
      </w:r>
      <w:r>
        <w:fldChar w:fldCharType="separate"/>
      </w:r>
      <w:r>
        <w:t>Figura 28</w:t>
      </w:r>
      <w:r>
        <w:fldChar w:fldCharType="end"/>
      </w:r>
      <w:r>
        <w:rPr>
          <w:rFonts w:cs="Arial"/>
          <w:lang w:val="es-ES"/>
        </w:rPr>
        <w:t xml:space="preserve">, </w:t>
      </w:r>
      <w:r>
        <w:rPr>
          <w:lang w:val="es-ES"/>
        </w:rPr>
        <w:t>de</w:t>
      </w:r>
      <w:r>
        <w:rPr/>
        <w:t>mostrando que aún está en proceso de madurez</w:t>
      </w:r>
      <w:r>
        <w:rPr>
          <w:rFonts w:cs="Arial"/>
        </w:rPr>
        <w:t>.</w:t>
      </w:r>
    </w:p>
    <w:p>
      <w:pPr>
        <w:pStyle w:val="ListParagraph"/>
        <w:numPr>
          <w:ilvl w:val="0"/>
          <w:numId w:val="52"/>
        </w:numPr>
        <w:suppressAutoHyphens w:val="false"/>
        <w:overflowPunct w:val="true"/>
        <w:spacing w:lineRule="auto" w:line="360" w:before="0" w:after="0"/>
        <w:contextualSpacing/>
        <w:textAlignment w:val="auto"/>
        <w:rPr/>
      </w:pPr>
      <w:r>
        <w:rPr>
          <w:rFonts w:cs="Arial"/>
        </w:rPr>
        <w:t xml:space="preserve">La mayoría de las publicaciones consultadas están indexadas en </w:t>
      </w:r>
      <w:r>
        <w:rPr>
          <w:rFonts w:cs="Arial"/>
          <w:i/>
        </w:rPr>
        <w:t>Scopus</w:t>
      </w:r>
      <w:r>
        <w:rPr>
          <w:rFonts w:cs="Arial"/>
        </w:rPr>
        <w:t xml:space="preserve"> y </w:t>
      </w:r>
      <w:r>
        <w:rPr>
          <w:rFonts w:cs="Arial"/>
          <w:i/>
        </w:rPr>
        <w:t>Web Of Science</w:t>
      </w:r>
      <w:r>
        <w:rPr>
          <w:rFonts w:cs="Arial"/>
        </w:rPr>
        <w:t xml:space="preserve"> (</w:t>
      </w:r>
      <w:r>
        <w:rPr>
          <w:rFonts w:cs="Arial"/>
          <w:i/>
        </w:rPr>
        <w:t>WOS</w:t>
      </w:r>
      <w:r>
        <w:rPr>
          <w:rFonts w:cs="Arial"/>
        </w:rPr>
        <w:t>), ver</w:t>
      </w:r>
      <w:r>
        <w:rPr>
          <w:rFonts w:cs="Arial"/>
          <w:lang w:val="es-ES"/>
        </w:rPr>
        <w:t xml:space="preserve"> </w:t>
      </w:r>
      <w:r>
        <w:rPr>
          <w:rFonts w:cs="Arial"/>
          <w:lang w:val="es-ES"/>
        </w:rPr>
        <w:fldChar w:fldCharType="begin"/>
      </w:r>
      <w:r>
        <w:instrText> REF _Ref79256146 \h </w:instrText>
      </w:r>
      <w:r>
        <w:fldChar w:fldCharType="separate"/>
      </w:r>
      <w:r>
        <w:t>Anexo 3</w:t>
      </w:r>
      <w:r>
        <w:fldChar w:fldCharType="end"/>
      </w:r>
      <w:r>
        <w:rPr>
          <w:rFonts w:cs="Arial"/>
        </w:rPr>
        <w:t xml:space="preserve"> </w:t>
      </w:r>
      <w:r>
        <w:rPr>
          <w:rFonts w:cs="Arial"/>
        </w:rPr>
        <w:fldChar w:fldCharType="begin"/>
      </w:r>
      <w:r>
        <w:instrText> REF _Ref79256895 \h </w:instrText>
      </w:r>
      <w:r>
        <w:fldChar w:fldCharType="separate"/>
      </w:r>
      <w:r>
        <w:t>Figura 28</w:t>
      </w:r>
      <w:r>
        <w:fldChar w:fldCharType="end"/>
      </w:r>
      <w:r>
        <w:rPr>
          <w:rFonts w:cs="Arial"/>
        </w:rPr>
        <w:t>.</w:t>
      </w:r>
    </w:p>
    <w:p>
      <w:pPr>
        <w:pStyle w:val="ListParagraph"/>
        <w:numPr>
          <w:ilvl w:val="0"/>
          <w:numId w:val="52"/>
        </w:numPr>
        <w:suppressAutoHyphens w:val="false"/>
        <w:overflowPunct w:val="true"/>
        <w:spacing w:lineRule="auto" w:line="360" w:before="0" w:after="0"/>
        <w:contextualSpacing/>
        <w:textAlignment w:val="auto"/>
        <w:rPr/>
      </w:pPr>
      <w:r>
        <w:rPr>
          <w:rFonts w:cs="Arial"/>
        </w:rPr>
        <w:t xml:space="preserve">Las fuentes de información fundamentales para las investigaciones consultadas fueron </w:t>
      </w:r>
      <w:r>
        <w:rPr>
          <w:rFonts w:cs="Arial"/>
          <w:i/>
        </w:rPr>
        <w:t>IEEE</w:t>
      </w:r>
      <w:r>
        <w:rPr>
          <w:rFonts w:cs="Arial"/>
        </w:rPr>
        <w:t xml:space="preserve">, </w:t>
      </w:r>
      <w:r>
        <w:rPr>
          <w:rFonts w:cs="Arial"/>
          <w:i/>
        </w:rPr>
        <w:t>Elsevier</w:t>
      </w:r>
      <w:r>
        <w:rPr>
          <w:rFonts w:cs="Arial"/>
        </w:rPr>
        <w:t xml:space="preserve"> y </w:t>
      </w:r>
      <w:r>
        <w:rPr>
          <w:rFonts w:cs="Arial"/>
          <w:i/>
        </w:rPr>
        <w:t>Springer</w:t>
      </w:r>
      <w:r>
        <w:rPr>
          <w:rFonts w:cs="Arial"/>
        </w:rPr>
        <w:t>, ver</w:t>
      </w:r>
      <w:r>
        <w:rPr>
          <w:rFonts w:cs="Arial"/>
          <w:lang w:val="es-ES"/>
        </w:rPr>
        <w:t xml:space="preserve"> </w:t>
      </w:r>
      <w:r>
        <w:rPr>
          <w:rFonts w:cs="Arial"/>
          <w:lang w:val="es-ES"/>
        </w:rPr>
        <w:fldChar w:fldCharType="begin"/>
      </w:r>
      <w:r>
        <w:instrText> REF _Ref79256146 \h </w:instrText>
      </w:r>
      <w:r>
        <w:fldChar w:fldCharType="separate"/>
      </w:r>
      <w:r>
        <w:t>Anexo 3</w:t>
      </w:r>
      <w:r>
        <w:fldChar w:fldCharType="end"/>
      </w:r>
      <w:r>
        <w:rPr>
          <w:rFonts w:cs="Arial"/>
        </w:rPr>
        <w:t xml:space="preserve"> </w:t>
      </w:r>
      <w:r>
        <w:rPr>
          <w:rFonts w:cs="Arial"/>
        </w:rPr>
        <w:fldChar w:fldCharType="begin"/>
      </w:r>
      <w:r>
        <w:instrText> REF _Ref62104937 \h </w:instrText>
      </w:r>
      <w:r>
        <w:fldChar w:fldCharType="separate"/>
      </w:r>
      <w:r>
        <w:t>Figura 29</w:t>
      </w:r>
      <w:r>
        <w:fldChar w:fldCharType="end"/>
      </w:r>
      <w:r>
        <w:rPr>
          <w:rFonts w:cs="Arial"/>
          <w:lang w:val="es-ES"/>
        </w:rPr>
        <w:t>.</w:t>
      </w:r>
    </w:p>
    <w:p>
      <w:pPr>
        <w:pStyle w:val="Normal"/>
        <w:tabs>
          <w:tab w:val="left" w:pos="0" w:leader="none"/>
        </w:tabs>
        <w:rPr/>
      </w:pPr>
      <w:r>
        <w:rPr/>
        <w:t xml:space="preserve">En la bibliografía consultada se identifica un conjunto de elementos que caracterizan o forman parte de la notación establecida en esta área temática </w:t>
      </w:r>
      <w:r>
        <w:fldChar w:fldCharType="begin"/>
      </w:r>
      <w:r>
        <w:instrText>ADDIN ZOTERO_ITEM CSL_CITATION {"citationID":"QTydkBRk","properties":{"formattedCitation":"(Yager 1982)","plainCitation":"(Yager 1982)","noteIndex":0},"citationItems":[{"id":"NJclqhNX/E1eUvurW","uris":["http://zotero.org/users/local/rsuvzjK6/items/YR5JT4VR"],"uri":["http://zotero.org/users/local/rsuvzjK6/items/YR5JT4VR"],"itemData":{"id":3204,"type":"article-journal","container-title":"Information Sciences","DOI":"10.1016/0020-0255(82)90033-0","issue":"1","page":"69–86","title":"A new approach to the summarization of data","volume":"28","author":[{"family":"Yager","given":"Ronald R"}],"issued":{"date-parts":[["1982"]]}}}],"schema":"https://github.com/citation-style-language/schema/raw/master/csl-citation.json"}</w:instrText>
      </w:r>
      <w:r>
        <w:fldChar w:fldCharType="separate"/>
      </w:r>
      <w:bookmarkStart w:id="313" w:name="__Fieldmark__3344_2067855929"/>
      <w:r>
        <w:rPr/>
        <w:t>(</w:t>
      </w:r>
      <w:bookmarkStart w:id="314" w:name="__Fieldmark__2961_498839314"/>
      <w:r>
        <w:rPr/>
        <w:t>Y</w:t>
      </w:r>
      <w:bookmarkStart w:id="315" w:name="__Fieldmark__2740_998588997"/>
      <w:r>
        <w:rPr/>
        <w:t>a</w:t>
      </w:r>
      <w:bookmarkStart w:id="316" w:name="__Fieldmark__5141_118561941"/>
      <w:r>
        <w:rPr/>
        <w:t>ger 1982)</w:t>
      </w:r>
      <w:r>
        <w:rPr/>
      </w:r>
      <w:r>
        <w:fldChar w:fldCharType="end"/>
      </w:r>
      <w:bookmarkEnd w:id="313"/>
      <w:bookmarkEnd w:id="314"/>
      <w:bookmarkEnd w:id="315"/>
      <w:bookmarkEnd w:id="316"/>
      <w:r>
        <w:rPr/>
        <w:t xml:space="preserve"> </w:t>
      </w:r>
      <w:r>
        <w:fldChar w:fldCharType="begin"/>
      </w:r>
      <w:r>
        <w:instrText>ADDIN ZOTERO_ITEM CSL_CITATION {"citationID":"LMih7Vat","properties":{"formattedCitation":"(Donis-D\\uc0\\u237{}az, Bello y Kacprzyk 2015)","plainCitation":"(Donis-Díaz, Bello y Kacprzyk 2015)","noteIndex":0},"citationItems":[{"id":"NJclqhNX/4naOJElr","uris":["http://zotero.org/users/local/rsuvzjK6/items/7DS66S9U"],"uri":["http://zotero.org/users/local/rsuvzjK6/items/7DS66S9U"],"itemData":{"id":3264,"type":"paper-conference","abstract":"Some models using metaheuristics based in an “improvement of solutions” procedure, specifically Genetic Algorithms (GA), have been proposed previously to the linguistic summarization of numerical data (LDS). In the present work is proposed a new model for LDS based in Ant Colony Optimization (ACO), a metaheuristic that use a “construction of solution” procedure. Both models are compared in LDS over creep data. Results show how the ACO based model overcomes the measures of goodness of the final summary but fails to improve the results of the GA based model in relation to the diversity of the summary. Features of both models are considered to explain the results.","collection-title":"Advances in Intelligent Systems and Computing","container-title":"Intelligent Systems'2014","DOI":"10.1007/978-3-319-11313-5_8","event-place":"Cham","ISBN":"978-3-319-11313-5","language":"en","page":"81–92","publisher":"Springer International Publishing","publisher-place":"Cham","title":"Using Ant Colony Optimization and Genetic Algorithms for the Linguistic Summarization of Creep Data","author":[{"family":"Donis-Díaz","given":"Carlos A."},{"family":"Bello","given":"Rafael"},{"family":"Kacprzyk","given":"Janusz"}],"editor":[{"family":"Angelov","given":"P."},{"family":"Atanassov","given":"K.T."},{"family":"Doukovska","given":"L."},{"family":"Hadjiski","given":"M."},{"family":"Jotsov","given":"V."},{"family":"Kacprzyk","given":"J."},{"family":"Kasabov","given":"N."},{"family":"Sotirov","given":"S."},{"family":"Szmidt","given":"E."},{"family":"Zadrożny","given":"S."}],"issued":{"date-parts":[["2015"]]}}}],"schema":"https://github.com/citation-style-language/schema/raw/master/csl-citation.json"}</w:instrText>
      </w:r>
      <w:r>
        <w:fldChar w:fldCharType="separate"/>
      </w:r>
      <w:bookmarkStart w:id="317" w:name="__Fieldmark__3359_2067855929"/>
      <w:r>
        <w:rPr/>
      </w:r>
      <w:r>
        <w:rPr>
          <w:szCs w:val="24"/>
        </w:rPr>
        <w:t>(</w:t>
      </w:r>
      <w:bookmarkStart w:id="318" w:name="__Fieldmark__2972_498839314"/>
      <w:r>
        <w:rPr>
          <w:szCs w:val="24"/>
        </w:rPr>
        <w:t>D</w:t>
      </w:r>
      <w:bookmarkStart w:id="319" w:name="__Fieldmark__2747_998588997"/>
      <w:r>
        <w:rPr>
          <w:szCs w:val="24"/>
        </w:rPr>
        <w:t>o</w:t>
      </w:r>
      <w:bookmarkStart w:id="320" w:name="__Fieldmark__5146_118561941"/>
      <w:r>
        <w:rPr>
          <w:szCs w:val="24"/>
        </w:rPr>
        <w:t>nis-Díaz, Bello y Kacprzyk 2015)</w:t>
      </w:r>
      <w:r>
        <w:rPr/>
      </w:r>
      <w:r>
        <w:fldChar w:fldCharType="end"/>
      </w:r>
      <w:bookmarkEnd w:id="317"/>
      <w:bookmarkEnd w:id="318"/>
      <w:bookmarkEnd w:id="319"/>
      <w:bookmarkEnd w:id="320"/>
      <w:r>
        <w:rPr/>
        <w:t xml:space="preserve"> </w:t>
      </w:r>
      <w:r>
        <w:fldChar w:fldCharType="begin"/>
      </w:r>
      <w:r>
        <w:instrText>ADDIN ZOTERO_ITEM CSL_CITATION {"citationID":"W41GDl1x","properties":{"formattedCitation":"(Wu y Mendel 2010)","plainCitation":"(Wu y Mendel 2010)","noteIndex":0},"citationItems":[{"id":"NJclqhNX/udaTmsY9","uris":["http://zotero.org/users/local/rsuvzjK6/items/JLYAPKUQ"],"uri":["http://zotero.org/users/local/rsuvzjK6/items/JLYAPKUQ"],"itemData":{"id":3352,"type":"article-journal","abstract":"Linguistic summarization (LS) is a data mining or knowledge discovery approach to extract patterns from databases. Many authors have used this technique to generate summaries like “Most senior workers have high salary,” which can be used to better understand and communicate about data; however, few of them have used it to generate IF-THEN rules like “IF X is large and Y is medium, THEN Z is small,” which not only facilitate understanding and communication of data but can also be used in decision-making. In this paper, an LS approach to generate IF-THEN rules for causal databases is proposed. Both type-1 and interval type-2 fuzzy sets are considered. Five quality measures-the degrees of truth, sufficient coverage, reliability, outlier, and simplicity-are defined. Among them, the degree of reliability is especially valuable for finding the most reliable and representative rules, and the degree of outlier can be used to identify outlier rules and data for close-up investigation. An improved parallel coordinates approach for visualizing the IF-THEN rules is also proposed. Experiments on two datasets demonstrate our LS and rule visualization approaches. Finally, the relationships between our LS approach and the Wang-Mendel (WM) method, perceptual reasoning, and granular computing are pointed out","container-title":"IEEE Transactions on Fuzzy Systems","DOI":"10.1109/TFUZZ.2010.2088128","ISSN":"1063-6706","issue":"1","page":"136–151","title":"Linguistic summarization using IF–THEN rules and interval type-2 fuzzy sets","volume":"19","author":[{"family":"Wu","given":"Dongrui"},{"family":"Mendel","given":"Jerry M"}],"issued":{"date-parts":[["2010"]]}}}],"schema":"https://github.com/citation-style-language/schema/raw/master/csl-citation.json"}</w:instrText>
      </w:r>
      <w:r>
        <w:fldChar w:fldCharType="separate"/>
      </w:r>
      <w:bookmarkStart w:id="321" w:name="__Fieldmark__3374_2067855929"/>
      <w:r>
        <w:rPr/>
        <w:t>(</w:t>
      </w:r>
      <w:bookmarkStart w:id="322" w:name="__Fieldmark__2983_498839314"/>
      <w:r>
        <w:rPr/>
        <w:t>W</w:t>
      </w:r>
      <w:bookmarkStart w:id="323" w:name="__Fieldmark__2754_998588997"/>
      <w:r>
        <w:rPr/>
        <w:t>u</w:t>
      </w:r>
      <w:bookmarkStart w:id="324" w:name="__Fieldmark__5151_118561941"/>
      <w:r>
        <w:rPr/>
        <w:t xml:space="preserve"> y Mendel 2010)</w:t>
      </w:r>
      <w:r>
        <w:rPr/>
      </w:r>
      <w:r>
        <w:fldChar w:fldCharType="end"/>
      </w:r>
      <w:bookmarkEnd w:id="321"/>
      <w:bookmarkEnd w:id="322"/>
      <w:bookmarkEnd w:id="323"/>
      <w:bookmarkEnd w:id="324"/>
      <w:r>
        <w:rPr/>
        <w:t>:</w:t>
      </w:r>
    </w:p>
    <w:p>
      <w:pPr>
        <w:pStyle w:val="ListParagraph"/>
        <w:numPr>
          <w:ilvl w:val="0"/>
          <w:numId w:val="53"/>
        </w:numPr>
        <w:suppressAutoHyphens w:val="false"/>
        <w:overflowPunct w:val="true"/>
        <w:spacing w:before="0" w:after="0"/>
        <w:contextualSpacing/>
        <w:textAlignment w:val="auto"/>
        <w:rPr>
          <w:rFonts w:cs="Arial"/>
          <w:lang w:val="es-ES"/>
        </w:rPr>
      </w:pPr>
      <w:r>
        <w:rPr>
          <w:rFonts w:cs="Arial"/>
          <w:i/>
          <w:lang w:val="es-ES"/>
        </w:rPr>
        <w:t>D</w:t>
      </w:r>
      <w:r>
        <w:rPr>
          <w:rFonts w:cs="Arial"/>
          <w:lang w:val="es-ES"/>
        </w:rPr>
        <w:t>: Base de datos, por ejemplo sobre “trabajadores” o “proyectos”.</w:t>
      </w:r>
    </w:p>
    <w:p>
      <w:pPr>
        <w:pStyle w:val="ListParagraph"/>
        <w:numPr>
          <w:ilvl w:val="0"/>
          <w:numId w:val="53"/>
        </w:numPr>
        <w:suppressAutoHyphens w:val="false"/>
        <w:overflowPunct w:val="true"/>
        <w:spacing w:before="0" w:after="0"/>
        <w:contextualSpacing/>
        <w:textAlignment w:val="auto"/>
        <w:rPr>
          <w:rFonts w:cs="Arial"/>
          <w:lang w:val="es-ES"/>
        </w:rPr>
      </w:pPr>
      <w:r>
        <w:rPr>
          <w:rFonts w:cs="Arial"/>
          <w:i/>
          <w:lang w:val="es-ES"/>
        </w:rPr>
        <w:t>Y</w:t>
      </w:r>
      <w:r>
        <w:rPr>
          <w:rFonts w:cs="Arial"/>
          <w:lang w:val="es-ES"/>
        </w:rPr>
        <w:t xml:space="preserve"> =</w:t>
      </w:r>
      <w:r>
        <w:rPr>
          <w:rFonts w:cs="Arial"/>
          <w:i/>
          <w:lang w:val="es-ES"/>
        </w:rPr>
        <w:t xml:space="preserve"> {y</w:t>
      </w:r>
      <w:r>
        <w:rPr>
          <w:rFonts w:cs="Arial"/>
          <w:i/>
          <w:vertAlign w:val="subscript"/>
          <w:lang w:val="es-ES"/>
        </w:rPr>
        <w:t>1</w:t>
      </w:r>
      <w:r>
        <w:rPr>
          <w:rFonts w:cs="Arial"/>
          <w:i/>
          <w:lang w:val="es-ES"/>
        </w:rPr>
        <w:t>, ..., y</w:t>
      </w:r>
      <w:r>
        <w:rPr>
          <w:rFonts w:cs="Arial"/>
          <w:i/>
          <w:vertAlign w:val="subscript"/>
          <w:lang w:val="es-ES"/>
        </w:rPr>
        <w:t>n</w:t>
      </w:r>
      <w:r>
        <w:rPr>
          <w:rFonts w:cs="Arial"/>
          <w:i/>
          <w:lang w:val="es-ES"/>
        </w:rPr>
        <w:t xml:space="preserve">}, </w:t>
      </w:r>
      <w:r>
        <w:rPr>
          <w:rFonts w:cs="Arial"/>
          <w:lang w:val="es-ES"/>
        </w:rPr>
        <w:t>conjunto de objetos (registros) en la base de datos.</w:t>
      </w:r>
    </w:p>
    <w:p>
      <w:pPr>
        <w:pStyle w:val="ListParagraph"/>
        <w:numPr>
          <w:ilvl w:val="0"/>
          <w:numId w:val="53"/>
        </w:numPr>
        <w:suppressAutoHyphens w:val="false"/>
        <w:overflowPunct w:val="true"/>
        <w:spacing w:before="0" w:after="0"/>
        <w:contextualSpacing/>
        <w:textAlignment w:val="auto"/>
        <w:rPr>
          <w:rFonts w:cs="Arial"/>
          <w:lang w:val="es-ES"/>
        </w:rPr>
      </w:pPr>
      <w:r>
        <w:rPr>
          <w:rFonts w:cs="Arial"/>
          <w:i/>
          <w:lang w:val="es-ES"/>
        </w:rPr>
        <w:t>A</w:t>
      </w:r>
      <w:r>
        <w:rPr>
          <w:rFonts w:cs="Arial"/>
          <w:lang w:val="es-ES"/>
        </w:rPr>
        <w:t xml:space="preserve"> </w:t>
      </w:r>
      <w:r>
        <w:rPr>
          <w:rFonts w:cs="Arial"/>
          <w:i/>
          <w:lang w:val="es-ES"/>
        </w:rPr>
        <w:t>= {A</w:t>
      </w:r>
      <w:r>
        <w:rPr>
          <w:rFonts w:cs="Arial"/>
          <w:i/>
          <w:vertAlign w:val="subscript"/>
          <w:lang w:val="es-ES"/>
        </w:rPr>
        <w:t>1</w:t>
      </w:r>
      <w:r>
        <w:rPr>
          <w:rFonts w:cs="Arial"/>
          <w:i/>
          <w:lang w:val="es-ES"/>
        </w:rPr>
        <w:t>, ..., A</w:t>
      </w:r>
      <w:r>
        <w:rPr>
          <w:rFonts w:cs="Arial"/>
          <w:i/>
          <w:vertAlign w:val="subscript"/>
          <w:lang w:val="es-ES"/>
        </w:rPr>
        <w:t>m</w:t>
      </w:r>
      <w:r>
        <w:rPr>
          <w:rFonts w:cs="Arial"/>
          <w:i/>
          <w:lang w:val="es-ES"/>
        </w:rPr>
        <w:t>},</w:t>
      </w:r>
      <w:r>
        <w:rPr>
          <w:rFonts w:cs="Arial"/>
          <w:lang w:val="es-ES"/>
        </w:rPr>
        <w:t xml:space="preserve"> conjunto de atributos que describen a los objetos </w:t>
      </w:r>
      <w:r>
        <w:rPr>
          <w:rFonts w:cs="Arial"/>
          <w:i/>
          <w:lang w:val="es-ES"/>
        </w:rPr>
        <w:t>Y</w:t>
      </w:r>
      <w:r>
        <w:rPr>
          <w:rFonts w:cs="Arial"/>
          <w:lang w:val="es-ES"/>
        </w:rPr>
        <w:t>, ejemplo “salario”.</w:t>
      </w:r>
    </w:p>
    <w:p>
      <w:pPr>
        <w:pStyle w:val="ListParagraph"/>
        <w:numPr>
          <w:ilvl w:val="0"/>
          <w:numId w:val="53"/>
        </w:numPr>
        <w:suppressAutoHyphens w:val="false"/>
        <w:overflowPunct w:val="true"/>
        <w:spacing w:before="0" w:after="0"/>
        <w:contextualSpacing/>
        <w:textAlignment w:val="auto"/>
        <w:rPr>
          <w:rFonts w:cs="Arial"/>
          <w:lang w:val="es-ES"/>
        </w:rPr>
      </w:pPr>
      <w:r>
        <w:rPr>
          <w:rFonts w:cs="Arial"/>
          <w:i/>
          <w:lang w:val="es-ES"/>
        </w:rPr>
        <w:t>A</w:t>
      </w:r>
      <w:r>
        <w:rPr>
          <w:rFonts w:cs="Arial"/>
          <w:i/>
          <w:vertAlign w:val="subscript"/>
          <w:lang w:val="es-ES"/>
        </w:rPr>
        <w:t>j</w:t>
      </w:r>
      <w:r>
        <w:rPr>
          <w:rFonts w:cs="Arial"/>
          <w:i/>
          <w:lang w:val="es-ES"/>
        </w:rPr>
        <w:t>(y</w:t>
      </w:r>
      <w:r>
        <w:rPr>
          <w:rFonts w:cs="Arial"/>
          <w:i/>
          <w:vertAlign w:val="subscript"/>
          <w:lang w:val="es-ES"/>
        </w:rPr>
        <w:t>i</w:t>
      </w:r>
      <w:r>
        <w:rPr>
          <w:rFonts w:cs="Arial"/>
          <w:i/>
          <w:lang w:val="es-ES"/>
        </w:rPr>
        <w:t>)</w:t>
      </w:r>
      <w:r>
        <w:rPr>
          <w:rFonts w:cs="Arial"/>
          <w:lang w:val="es-ES"/>
        </w:rPr>
        <w:t xml:space="preserve">: denota el valor del atributo </w:t>
      </w:r>
      <w:r>
        <w:rPr>
          <w:rFonts w:cs="Arial"/>
          <w:i/>
          <w:lang w:val="es-ES"/>
        </w:rPr>
        <w:t>A</w:t>
      </w:r>
      <w:r>
        <w:rPr>
          <w:rFonts w:cs="Arial"/>
          <w:i/>
          <w:vertAlign w:val="subscript"/>
          <w:lang w:val="es-ES"/>
        </w:rPr>
        <w:t>j</w:t>
      </w:r>
      <w:r>
        <w:rPr>
          <w:rFonts w:cs="Arial"/>
          <w:i/>
          <w:lang w:val="es-ES"/>
        </w:rPr>
        <w:t xml:space="preserve"> </w:t>
      </w:r>
      <w:r>
        <w:rPr>
          <w:rFonts w:cs="Arial"/>
          <w:lang w:val="es-ES"/>
        </w:rPr>
        <w:t xml:space="preserve">para el objeto </w:t>
      </w:r>
      <w:r>
        <w:rPr>
          <w:rFonts w:cs="Arial"/>
          <w:i/>
          <w:lang w:val="es-ES"/>
        </w:rPr>
        <w:t>y</w:t>
      </w:r>
      <w:r>
        <w:rPr>
          <w:rFonts w:cs="Arial"/>
          <w:i/>
          <w:vertAlign w:val="subscript"/>
          <w:lang w:val="es-ES"/>
        </w:rPr>
        <w:t>i</w:t>
      </w:r>
      <w:r>
        <w:rPr>
          <w:rFonts w:cs="Arial"/>
          <w:lang w:val="es-ES"/>
        </w:rPr>
        <w:t xml:space="preserve">, por ejemplo </w:t>
      </w:r>
      <w:r>
        <w:rPr>
          <w:rFonts w:cs="Arial"/>
          <w:i/>
          <w:lang w:val="es-ES"/>
        </w:rPr>
        <w:t>“</w:t>
      </w:r>
      <w:r>
        <w:rPr>
          <w:rFonts w:cs="Arial"/>
          <w:lang w:val="es-ES"/>
        </w:rPr>
        <w:t>joven” para el atributo “edad”.</w:t>
      </w:r>
    </w:p>
    <w:p>
      <w:pPr>
        <w:pStyle w:val="ListParagraph"/>
        <w:numPr>
          <w:ilvl w:val="0"/>
          <w:numId w:val="53"/>
        </w:numPr>
        <w:suppressAutoHyphens w:val="false"/>
        <w:overflowPunct w:val="true"/>
        <w:spacing w:before="0" w:after="0"/>
        <w:contextualSpacing/>
        <w:textAlignment w:val="auto"/>
        <w:rPr>
          <w:rFonts w:cs="Arial"/>
          <w:lang w:val="es-ES"/>
        </w:rPr>
      </w:pPr>
      <w:r>
        <w:rPr>
          <w:rFonts w:cs="Arial"/>
          <w:i/>
          <w:lang w:val="es-ES"/>
        </w:rPr>
        <w:t>Q</w:t>
      </w:r>
      <w:r>
        <w:rPr>
          <w:rFonts w:cs="Arial"/>
          <w:lang w:val="es-ES"/>
        </w:rPr>
        <w:t>: cuantificador, es un conjunto borroso con el universo de discurso en el intervalo [0, 1] expresando una cantidad, por ejemplo, “la mayoría”, “el 60%” o “más de la mitad”.</w:t>
      </w:r>
    </w:p>
    <w:p>
      <w:pPr>
        <w:pStyle w:val="ListParagraph"/>
        <w:numPr>
          <w:ilvl w:val="0"/>
          <w:numId w:val="53"/>
        </w:numPr>
        <w:suppressAutoHyphens w:val="false"/>
        <w:overflowPunct w:val="true"/>
        <w:spacing w:before="0" w:after="0"/>
        <w:contextualSpacing/>
        <w:textAlignment w:val="auto"/>
        <w:rPr>
          <w:rFonts w:cs="Arial"/>
          <w:lang w:val="es-ES"/>
        </w:rPr>
      </w:pPr>
      <w:r>
        <w:rPr>
          <w:rFonts w:cs="Arial"/>
          <w:i/>
          <w:lang w:val="es-ES"/>
        </w:rPr>
        <w:t>R</w:t>
      </w:r>
      <w:r>
        <w:rPr>
          <w:rFonts w:cs="Arial"/>
          <w:lang w:val="es-ES"/>
        </w:rPr>
        <w:t xml:space="preserve">: calificador o filtro, es otro atributo que determina un subconjunto borroso del objeto </w:t>
      </w:r>
      <w:r>
        <w:rPr>
          <w:rFonts w:cs="Arial"/>
          <w:i/>
          <w:lang w:val="es-ES"/>
        </w:rPr>
        <w:t>y</w:t>
      </w:r>
      <w:r>
        <w:rPr>
          <w:rFonts w:cs="Arial"/>
          <w:i/>
          <w:vertAlign w:val="subscript"/>
          <w:lang w:val="es-ES"/>
        </w:rPr>
        <w:t>i</w:t>
      </w:r>
      <w:r>
        <w:rPr>
          <w:rFonts w:cs="Arial"/>
          <w:lang w:val="es-ES"/>
        </w:rPr>
        <w:t>, por ejemplo “joven” para el atributo “edad”.</w:t>
      </w:r>
    </w:p>
    <w:p>
      <w:pPr>
        <w:pStyle w:val="ListParagraph"/>
        <w:numPr>
          <w:ilvl w:val="0"/>
          <w:numId w:val="53"/>
        </w:numPr>
        <w:suppressAutoHyphens w:val="false"/>
        <w:overflowPunct w:val="true"/>
        <w:spacing w:before="0" w:after="0"/>
        <w:contextualSpacing/>
        <w:textAlignment w:val="auto"/>
        <w:rPr>
          <w:rFonts w:cs="Arial"/>
          <w:lang w:val="es-ES"/>
        </w:rPr>
      </w:pPr>
      <w:r>
        <w:rPr>
          <w:rFonts w:cs="Arial"/>
          <w:i/>
          <w:lang w:val="es-ES"/>
        </w:rPr>
        <w:t>S</w:t>
      </w:r>
      <w:r>
        <w:rPr>
          <w:rFonts w:cs="Arial"/>
          <w:lang w:val="es-ES"/>
        </w:rPr>
        <w:t xml:space="preserve">: sumarizador, es un atributo con un valor lingüístico (predicado borroso) definido en el dominio del atributo </w:t>
      </w:r>
      <w:r>
        <w:rPr>
          <w:rFonts w:cs="Arial"/>
          <w:i/>
          <w:lang w:val="es-ES"/>
        </w:rPr>
        <w:t>A</w:t>
      </w:r>
      <w:r>
        <w:rPr>
          <w:rFonts w:cs="Arial"/>
          <w:i/>
          <w:vertAlign w:val="subscript"/>
          <w:lang w:val="es-ES"/>
        </w:rPr>
        <w:t>j</w:t>
      </w:r>
      <w:r>
        <w:rPr>
          <w:rFonts w:cs="Arial"/>
          <w:lang w:val="es-ES"/>
        </w:rPr>
        <w:t>, por ejemplo “bajo salario” para el atributo “salario”.</w:t>
      </w:r>
    </w:p>
    <w:p>
      <w:pPr>
        <w:pStyle w:val="ListParagraph"/>
        <w:numPr>
          <w:ilvl w:val="0"/>
          <w:numId w:val="53"/>
        </w:numPr>
        <w:tabs>
          <w:tab w:val="left" w:pos="0" w:leader="none"/>
        </w:tabs>
        <w:rPr/>
      </w:pPr>
      <w:r>
        <w:rPr>
          <w:i/>
        </w:rPr>
        <w:t>T</w:t>
      </w:r>
      <w:r>
        <w:rPr/>
        <w:t xml:space="preserve">: </w:t>
      </w:r>
      <w:r>
        <w:rPr>
          <w:lang w:val="es-ES"/>
        </w:rPr>
        <w:t>g</w:t>
      </w:r>
      <w:r>
        <w:rPr/>
        <w:t>rado de verdad (validez) del resumen, es un número del intervalo [0, 1] que evalúa el grado de verdad del resumen;</w:t>
      </w:r>
      <w:r>
        <w:rPr>
          <w:lang w:val="es-ES"/>
        </w:rPr>
        <w:t xml:space="preserve"> los</w:t>
      </w:r>
      <w:r>
        <w:rPr/>
        <w:t xml:space="preserve"> resúmenes con un alto valor </w:t>
      </w:r>
      <w:r>
        <w:rPr>
          <w:i/>
        </w:rPr>
        <w:t>T</w:t>
      </w:r>
      <w:r>
        <w:rPr/>
        <w:t xml:space="preserve"> son de interés</w:t>
      </w:r>
      <w:r>
        <w:rPr>
          <w:lang w:val="es-ES"/>
        </w:rPr>
        <w:t>.</w:t>
      </w:r>
    </w:p>
    <w:p>
      <w:pPr>
        <w:pStyle w:val="Normal"/>
        <w:tabs>
          <w:tab w:val="left" w:pos="0" w:leader="none"/>
        </w:tabs>
        <w:rPr/>
      </w:pPr>
      <w:r>
        <w:rPr/>
        <w:t xml:space="preserve">Las sintaxis más empleadas para la construcción de los resúmenes son las siguientes </w:t>
      </w:r>
      <w:r>
        <w:fldChar w:fldCharType="begin"/>
      </w:r>
      <w:r>
        <w:instrText>ADDIN ZOTERO_ITEM CSL_CITATION {"citationID":"sNehXbtF","properties":{"formattedCitation":"(Donis-D\\uc0\\u237{}az, Bello y Kacprzyk 2015)","plainCitation":"(Donis-Díaz, Bello y Kacprzyk 2015)","noteIndex":0},"citationItems":[{"id":"NJclqhNX/4naOJElr","uris":["http://zotero.org/users/local/rsuvzjK6/items/7DS66S9U"],"uri":["http://zotero.org/users/local/rsuvzjK6/items/7DS66S9U"],"itemData":{"id":3264,"type":"paper-conference","abstract":"Some models using metaheuristics based in an “improvement of solutions” procedure, specifically Genetic Algorithms (GA), have been proposed previously to the linguistic summarization of numerical data (LDS). In the present work is proposed a new model for LDS based in Ant Colony Optimization (ACO), a metaheuristic that use a “construction of solution” procedure. Both models are compared in LDS over creep data. Results show how the ACO based model overcomes the measures of goodness of the final summary but fails to improve the results of the GA based model in relation to the diversity of the summary. Features of both models are considered to explain the results.","collection-title":"Advances in Intelligent Systems and Computing","container-title":"Intelligent Systems'2014","DOI":"10.1007/978-3-319-11313-5_8","event-place":"Cham","ISBN":"978-3-319-11313-5","language":"en","page":"81–92","publisher":"Springer International Publishing","publisher-place":"Cham","title":"Using Ant Colony Optimization and Genetic Algorithms for the Linguistic Summarization of Creep Data","author":[{"family":"Donis-Díaz","given":"Carlos A."},{"family":"Bello","given":"Rafael"},{"family":"Kacprzyk","given":"Janusz"}],"editor":[{"family":"Angelov","given":"P."},{"family":"Atanassov","given":"K.T."},{"family":"Doukovska","given":"L."},{"family":"Hadjiski","given":"M."},{"family":"Jotsov","given":"V."},{"family":"Kacprzyk","given":"J."},{"family":"Kasabov","given":"N."},{"family":"Sotirov","given":"S."},{"family":"Szmidt","given":"E."},{"family":"Zadrożny","given":"S."}],"issued":{"date-parts":[["2015"]]}}}],"schema":"https://github.com/citation-style-language/schema/raw/master/csl-citation.json"}</w:instrText>
      </w:r>
      <w:r>
        <w:fldChar w:fldCharType="separate"/>
      </w:r>
      <w:bookmarkStart w:id="325" w:name="__Fieldmark__3451_2067855929"/>
      <w:r>
        <w:rPr/>
      </w:r>
      <w:r>
        <w:rPr>
          <w:szCs w:val="24"/>
        </w:rPr>
        <w:t>(</w:t>
      </w:r>
      <w:bookmarkStart w:id="326" w:name="__Fieldmark__3052_498839314"/>
      <w:r>
        <w:rPr>
          <w:szCs w:val="24"/>
        </w:rPr>
        <w:t>D</w:t>
      </w:r>
      <w:bookmarkStart w:id="327" w:name="__Fieldmark__2819_998588997"/>
      <w:r>
        <w:rPr>
          <w:szCs w:val="24"/>
        </w:rPr>
        <w:t>o</w:t>
      </w:r>
      <w:bookmarkStart w:id="328" w:name="__Fieldmark__5251_118561941"/>
      <w:r>
        <w:rPr>
          <w:szCs w:val="24"/>
        </w:rPr>
        <w:t>nis-Díaz, Bello y Kacprzyk 2015)</w:t>
      </w:r>
      <w:r>
        <w:rPr/>
      </w:r>
      <w:r>
        <w:fldChar w:fldCharType="end"/>
      </w:r>
      <w:bookmarkEnd w:id="325"/>
      <w:bookmarkEnd w:id="326"/>
      <w:bookmarkEnd w:id="327"/>
      <w:bookmarkEnd w:id="328"/>
      <w:r>
        <w:rPr/>
        <w:t xml:space="preserve"> </w:t>
      </w:r>
      <w:r>
        <w:fldChar w:fldCharType="begin"/>
      </w:r>
      <w:r>
        <w:instrText>ADDIN ZOTERO_ITEM CSL_CITATION {"citationID":"a1llev2d9eq","properties":{"formattedCitation":"(Kacprzyk y Zadro\\uc0\\u380{}ny 2016a)","plainCitation":"(Kacprzyk y Zadrożny 2016a)","noteIndex":0},"citationItems":[{"id":3330,"uris":["http://zotero.org/users/local/EJ15hJE2/items/GKSSLAB9"],"uri":["http://zotero.org/users/local/EJ15hJE2/items/GKSSLAB9"],"itemData":{"id":3330,"type":"article-journal","abstract":"We present a novel approach to linguistic data summarization for numeric data, i.e., of the numbers to text type. Linguistic summarization is meant as a process of a comprehensive description of big and complex datasets via short statements in natural language. First, we briefly survey main developments in the traditional, well developed, and powerful approach to linguistic data summarization based on tools and techniques of natural language generation (NLG), notably due to Reiter and his collaborators. We indicate that this approach has a serious limitation on the representation and processing of imprecision that is characteristic for natural languages. We show that a fuzzy logic‐based approach to linguistic data summarization can be a simple yet efficient solution in this respect. We present the linguistic summaries represented by protoforms in the form of linguistically quantified propositions dealt with using tools and techniques of fuzzy logic to grasp an inherent imprecision of natural language. Such linguistic data summaries can provide a human user, whose only natural means of articulation and communication is natural language, with a simple yet effective and efficient means for the representation and manipulation of knowledge about processes and systems. We concentrate on the linguistic summarization of dynamic processes and systems, dealing with data represented as time series. We extend the basic, static data‐oriented concept of a linguistic data summary to the case of time series data, present various possible protoforms of linguistic summaries, and an analysis of their properties and ways of generation. We show two our own real applications of the new tools of linguistic summarization of time series, for the summarization of quotations of an investment (mutual) fund, and of Web server logs, to show the power of the tool. We also mention some other applications known from the literature. We conclude with some remarks on the strength of the linguistic summarization for broadly perceived data mining and knowledge discovery and some possible further research directions. WIREs Data Mining Knowl Discov 2016, 6:37–46. doi: 10.1002/widm.1175","container-title":"Wiley Interdisciplinary Reviews: Data Mining and Knowledge Discovery","DOI":"10.1002/widm.1175","issue":"1","page":"37–46","title":"Fuzzy logic-based linguistic summaries of time series: a powerful tool for discovering knowledge on time varying processes and systems under imprecision","volume":"6","author":[{"family":"Kacprzyk","given":"Janusz"},{"family":"Zadrożny","given":"Sławomir"}],"issued":{"date-parts":[["2016"]]}}}],"schema":"https://github.com/citation-style-language/schema/raw/master/csl-citation.json"}</w:instrText>
      </w:r>
      <w:r>
        <w:fldChar w:fldCharType="separate"/>
      </w:r>
      <w:bookmarkStart w:id="329" w:name="__Fieldmark__3466_2067855929"/>
      <w:r>
        <w:rPr/>
      </w:r>
      <w:r>
        <w:rPr>
          <w:szCs w:val="24"/>
        </w:rPr>
        <w:t>(</w:t>
      </w:r>
      <w:bookmarkStart w:id="330" w:name="__Fieldmark__3063_498839314"/>
      <w:r>
        <w:rPr>
          <w:szCs w:val="24"/>
        </w:rPr>
        <w:t>K</w:t>
      </w:r>
      <w:bookmarkStart w:id="331" w:name="__Fieldmark__2826_998588997"/>
      <w:r>
        <w:rPr>
          <w:szCs w:val="24"/>
        </w:rPr>
        <w:t>a</w:t>
      </w:r>
      <w:bookmarkStart w:id="332" w:name="__Fieldmark__5256_118561941"/>
      <w:r>
        <w:rPr>
          <w:szCs w:val="24"/>
        </w:rPr>
        <w:t>cprzyk y Zadrożny 2016a)</w:t>
      </w:r>
      <w:r>
        <w:rPr/>
      </w:r>
      <w:r>
        <w:fldChar w:fldCharType="end"/>
      </w:r>
      <w:bookmarkEnd w:id="329"/>
      <w:bookmarkEnd w:id="330"/>
      <w:bookmarkEnd w:id="331"/>
      <w:bookmarkEnd w:id="332"/>
      <w:r>
        <w:rPr/>
        <w:t xml:space="preserve"> </w:t>
      </w:r>
      <w:r>
        <w:fldChar w:fldCharType="begin"/>
      </w:r>
      <w:r>
        <w:instrText>ADDIN ZOTERO_ITEM CSL_CITATION {"citationID":"CoLiFN0Q","properties":{"formattedCitation":"(Wilbik, Kaymak y Dijkman 2017)","plainCitation":"(Wilbik, Kaymak y Dijkman 2017)","noteIndex":0},"citationItems":[{"id":"NJclqhNX/oxiUFrrO","uris":["http://zotero.org/users/local/rsuvzjK6/items/IMZ9T5H2"],"uri":["http://zotero.org/users/local/rsuvzjK6/items/IMZ9T5H2"],"itemData":{"id":3258,"type":"paper-conference","abstract":"Generation of linguistic summaries that are compact, short and relevant to the user remains an open challenge. In this paper, we propose a novel method for improving the generation of linguistic summaries inspired by the a-priori algorithm and the degree of appropriateness. The method generates all true summaries with related predicates in the summarizer, resulting in a small set of linguistic summaries, whose presentation to the user is compact. We tested our method on three real world data sets. The results indicate that our proposed approach is a good alternative to previous methods suggested for generating linguistic summaries.","container-title":"2017 IEEE International Conference on Fuzzy Systems (FUZZ-IEEE)","DOI":"10.1109/FUZZ-IEEE.2017.8015752","page":"1–6","title":"A method for improving the generation of linguistic summaries","author":[{"family":"Wilbik","given":"Anna"},{"family":"Kaymak","given":"Uzay"},{"family":"Dijkman","given":"Remco M."}],"issued":{"date-parts":[["2017",7]]}}}],"schema":"https://github.com/citation-style-language/schema/raw/master/csl-citation.json"}</w:instrText>
      </w:r>
      <w:r>
        <w:fldChar w:fldCharType="separate"/>
      </w:r>
      <w:bookmarkStart w:id="333" w:name="__Fieldmark__3481_2067855929"/>
      <w:r>
        <w:rPr/>
        <w:t>(</w:t>
      </w:r>
      <w:bookmarkStart w:id="334" w:name="__Fieldmark__3074_498839314"/>
      <w:r>
        <w:rPr/>
        <w:t>W</w:t>
      </w:r>
      <w:bookmarkStart w:id="335" w:name="__Fieldmark__2833_998588997"/>
      <w:r>
        <w:rPr/>
        <w:t>i</w:t>
      </w:r>
      <w:bookmarkStart w:id="336" w:name="__Fieldmark__5261_118561941"/>
      <w:r>
        <w:rPr/>
        <w:t>lbik, Kaymak y Dijkman 2017)</w:t>
      </w:r>
      <w:r>
        <w:rPr/>
      </w:r>
      <w:r>
        <w:fldChar w:fldCharType="end"/>
      </w:r>
      <w:bookmarkEnd w:id="333"/>
      <w:bookmarkEnd w:id="334"/>
      <w:bookmarkEnd w:id="335"/>
      <w:bookmarkEnd w:id="336"/>
      <w:r>
        <w:rPr/>
        <w:t>:</w:t>
      </w:r>
    </w:p>
    <w:p>
      <w:pPr>
        <w:pStyle w:val="ListParagraph"/>
        <w:numPr>
          <w:ilvl w:val="0"/>
          <w:numId w:val="54"/>
        </w:numPr>
        <w:suppressAutoHyphens w:val="false"/>
        <w:overflowPunct w:val="true"/>
        <w:spacing w:lineRule="auto" w:line="360" w:before="0" w:after="0"/>
        <w:contextualSpacing/>
        <w:textAlignment w:val="auto"/>
        <w:rPr>
          <w:rFonts w:cs="Arial"/>
        </w:rPr>
      </w:pPr>
      <w:r>
        <w:rPr>
          <w:rFonts w:cs="Arial"/>
          <w:i/>
          <w:lang w:val="es-ES"/>
        </w:rPr>
        <w:t>Qy’s are S</w:t>
      </w:r>
      <w:r>
        <w:rPr>
          <w:rFonts w:cs="Arial"/>
          <w:lang w:val="es-ES"/>
        </w:rPr>
        <w:t xml:space="preserve">: </w:t>
      </w:r>
      <w:r>
        <w:rPr>
          <w:rFonts w:cs="Arial"/>
        </w:rPr>
        <w:t>resúmenes lingüísticos sin filtro, en los que la declaración tiene la forma “</w:t>
      </w:r>
      <w:r>
        <w:rPr>
          <w:rFonts w:cs="Arial"/>
          <w:i/>
        </w:rPr>
        <w:t>Q</w:t>
      </w:r>
      <w:r>
        <w:rPr>
          <w:rFonts w:cs="Arial"/>
        </w:rPr>
        <w:t xml:space="preserve"> objetos son </w:t>
      </w:r>
      <w:r>
        <w:rPr>
          <w:rFonts w:cs="Arial"/>
          <w:i/>
        </w:rPr>
        <w:t>S”</w:t>
      </w:r>
      <w:r>
        <w:rPr>
          <w:rFonts w:cs="Arial"/>
        </w:rPr>
        <w:t>.</w:t>
      </w:r>
      <w:r>
        <w:rPr>
          <w:rFonts w:cs="Arial"/>
          <w:lang w:val="es-ES"/>
        </w:rPr>
        <w:t xml:space="preserve"> Por e</w:t>
      </w:r>
      <w:r>
        <w:rPr/>
        <w:t>jemplo: “La mayoría de los trabajadores son puntuales”.</w:t>
      </w:r>
    </w:p>
    <w:p>
      <w:pPr>
        <w:pStyle w:val="ListParagraph"/>
        <w:numPr>
          <w:ilvl w:val="0"/>
          <w:numId w:val="54"/>
        </w:numPr>
        <w:suppressAutoHyphens w:val="false"/>
        <w:overflowPunct w:val="true"/>
        <w:spacing w:lineRule="auto" w:line="360" w:before="0" w:after="0"/>
        <w:ind w:left="709" w:hanging="360"/>
        <w:contextualSpacing/>
        <w:textAlignment w:val="auto"/>
        <w:rPr/>
      </w:pPr>
      <w:r>
        <w:rPr>
          <w:rFonts w:cs="Arial"/>
          <w:i/>
        </w:rPr>
        <w:t>QRy’s are S</w:t>
      </w:r>
      <w:r>
        <w:rPr>
          <w:rFonts w:cs="Arial"/>
        </w:rPr>
        <w:t>: resúmenes lingüísticos con filtro, en los que la declaración tiene la forma “</w:t>
      </w:r>
      <w:r>
        <w:rPr>
          <w:rFonts w:cs="Arial"/>
          <w:i/>
        </w:rPr>
        <w:t>Q</w:t>
      </w:r>
      <w:r>
        <w:rPr>
          <w:rFonts w:cs="Arial"/>
        </w:rPr>
        <w:t xml:space="preserve"> objetos </w:t>
      </w:r>
      <w:r>
        <w:rPr>
          <w:rFonts w:cs="Arial"/>
          <w:i/>
        </w:rPr>
        <w:t xml:space="preserve">R </w:t>
      </w:r>
      <w:r>
        <w:rPr>
          <w:rFonts w:cs="Arial"/>
        </w:rPr>
        <w:t xml:space="preserve">son </w:t>
      </w:r>
      <w:r>
        <w:rPr>
          <w:rFonts w:cs="Arial"/>
          <w:i/>
        </w:rPr>
        <w:t>S”</w:t>
      </w:r>
      <w:r>
        <w:rPr>
          <w:rFonts w:cs="Arial"/>
        </w:rPr>
        <w:t xml:space="preserve">, donde </w:t>
      </w:r>
      <w:r>
        <w:rPr>
          <w:rFonts w:cs="Arial"/>
          <w:i/>
        </w:rPr>
        <w:t xml:space="preserve">R </w:t>
      </w:r>
      <w:r>
        <w:rPr>
          <w:rFonts w:cs="Arial"/>
        </w:rPr>
        <w:t>puede estar formado por uno o varios atributos que califican al objeto.</w:t>
      </w:r>
      <w:r>
        <w:rPr>
          <w:rFonts w:cs="Arial"/>
          <w:lang w:val="es-ES"/>
        </w:rPr>
        <w:t xml:space="preserve"> E</w:t>
      </w:r>
      <w:r>
        <w:rPr/>
        <w:t>jemplo: “La mayoría de los trabajadores jóvenes son impuntuales”.</w:t>
      </w:r>
    </w:p>
    <w:p>
      <w:pPr>
        <w:pStyle w:val="Normal"/>
        <w:rPr>
          <w:b/>
          <w:b/>
        </w:rPr>
      </w:pPr>
      <w:r>
        <w:rPr/>
        <w:t>Las estructuras de los resúmenes lingüísticos se han conceptualizado en protoformas, la siguiente subsección resume las tendencias en este sentido.</w:t>
      </w:r>
    </w:p>
    <w:p>
      <w:pPr>
        <w:pStyle w:val="Normal"/>
        <w:rPr>
          <w:b/>
          <w:b/>
        </w:rPr>
      </w:pPr>
      <w:r>
        <w:rPr>
          <w:b/>
        </w:rPr>
        <w:t xml:space="preserve">Evolución y las tendencias en las protoformas para la construcción de resúmenes  </w:t>
      </w:r>
    </w:p>
    <w:p>
      <w:pPr>
        <w:pStyle w:val="Normal"/>
        <w:rPr/>
      </w:pPr>
      <w:r>
        <w:rPr/>
        <w:t xml:space="preserve">Las protoformas que más se han empleado en la bibliografía para la construcción de los resúmenes lingüísticos siguen la estructura propuesta por Zadeh en </w:t>
      </w:r>
      <w:r>
        <w:fldChar w:fldCharType="begin"/>
      </w:r>
      <w:r>
        <w:instrText>ADDIN ZOTERO_ITEM CSL_CITATION {"citationID":"mw8qTYbR","properties":{"formattedCitation":"(Zadeh 2002)","plainCitation":"(Zadeh 2002)","noteIndex":0},"citationItems":[{"id":"NJclqhNX/ulnC1k1U","uris":["http://zotero.org/users/local/rsuvzjK6/items/B4BR6R9Y"],"uri":["http://zotero.org/users/local/rsuvzjK6/items/B4BR6R9Y"],"itemData":{"id":333,"type":"paper-conference","title":"A prototype-centered approach to adding deduction capability to search engines–the concept of protoform","container-title":"Intelligent Systems, 2002. Proceedings. 2002 First International IEEE Symposium","publisher":"IEEE","page":"2–3","volume":"1","DOI":"10.1109/IS.2002.1044219","author":[{"family":"Zadeh","given":"Lotfi A"}],"issued":{"date-parts":[["2002"]]}}}],"schema":"https://github.com/citation-style-language/schema/raw/master/csl-citation.json"}</w:instrText>
      </w:r>
      <w:r>
        <w:fldChar w:fldCharType="separate"/>
      </w:r>
      <w:bookmarkStart w:id="337" w:name="__Fieldmark__3523_2067855929"/>
      <w:r>
        <w:rPr/>
        <w:t>(</w:t>
      </w:r>
      <w:bookmarkStart w:id="338" w:name="__Fieldmark__3110_498839314"/>
      <w:r>
        <w:rPr/>
        <w:t>Z</w:t>
      </w:r>
      <w:bookmarkStart w:id="339" w:name="__Fieldmark__2865_998588997"/>
      <w:r>
        <w:rPr/>
        <w:t>a</w:t>
      </w:r>
      <w:bookmarkStart w:id="340" w:name="__Fieldmark__5293_118561941"/>
      <w:r>
        <w:rPr/>
        <w:t>deh 2002)</w:t>
      </w:r>
      <w:r>
        <w:rPr/>
      </w:r>
      <w:r>
        <w:fldChar w:fldCharType="end"/>
      </w:r>
      <w:bookmarkEnd w:id="337"/>
      <w:bookmarkEnd w:id="338"/>
      <w:bookmarkEnd w:id="339"/>
      <w:bookmarkEnd w:id="340"/>
      <w:r>
        <w:rPr/>
        <w:t xml:space="preserve"> y extendidas posteriormente por J. Kacprzyk y S. Zadrożny en </w:t>
      </w:r>
      <w:r>
        <w:fldChar w:fldCharType="begin"/>
      </w:r>
      <w:r>
        <w:instrText>ADDIN ZOTERO_ITEM CSL_CITATION {"citationID":"a3vncvvs4f","properties":{"formattedCitation":"(Kacprzyk, Janusz y Zadro\\uc0\\u380{}ny 2005)","plainCitation":"(Kacprzyk, Janusz y Zadrożny 2005)","noteIndex":0},"citationItems":[{"id":4,"uris":["http://zotero.org/users/local/EJ15hJE2/items/4K2AX2GP"],"uri":["http://zotero.org/users/local/EJ15hJE2/items/4K2AX2GP"],"itemData":{"id":4,"type":"article-journal","container-title":"Information Sciences","DOI":"10.1016/j.ins.2005.03.002","issue":"4","page":"281–304","title":"Linguistic database summaries and their protoforms: towards natural language based knowledge discovery tools","volume":"173","author":[{"family":"Kacprzyk","given":"Janusz"},{"family":"Zadrożny","given":"Sławomir"}],"issued":{"date-parts":[["2005"]]}}}],"schema":"https://github.com/citation-style-language/schema/raw/master/csl-citation.json"}</w:instrText>
      </w:r>
      <w:r>
        <w:fldChar w:fldCharType="separate"/>
      </w:r>
      <w:bookmarkStart w:id="341" w:name="__Fieldmark__3539_2067855929"/>
      <w:r>
        <w:rPr/>
      </w:r>
      <w:r>
        <w:rPr>
          <w:szCs w:val="24"/>
        </w:rPr>
        <w:t>(</w:t>
      </w:r>
      <w:bookmarkStart w:id="342" w:name="__Fieldmark__3121_498839314"/>
      <w:r>
        <w:rPr>
          <w:szCs w:val="24"/>
        </w:rPr>
        <w:t>K</w:t>
      </w:r>
      <w:bookmarkStart w:id="343" w:name="__Fieldmark__2872_998588997"/>
      <w:r>
        <w:rPr>
          <w:szCs w:val="24"/>
        </w:rPr>
        <w:t>a</w:t>
      </w:r>
      <w:bookmarkStart w:id="344" w:name="__Fieldmark__5299_118561941"/>
      <w:r>
        <w:rPr>
          <w:szCs w:val="24"/>
        </w:rPr>
        <w:t>cprzyk, Janusz y Zadrożny 2005)</w:t>
      </w:r>
      <w:r>
        <w:rPr/>
      </w:r>
      <w:r>
        <w:fldChar w:fldCharType="end"/>
      </w:r>
      <w:bookmarkEnd w:id="341"/>
      <w:bookmarkEnd w:id="342"/>
      <w:bookmarkEnd w:id="343"/>
      <w:bookmarkEnd w:id="344"/>
      <w:r>
        <w:rPr/>
        <w:t xml:space="preserve">. Estas protoformas las denominamos protoformas clásicas, ver </w:t>
      </w:r>
      <w:r>
        <w:rPr/>
        <w:fldChar w:fldCharType="begin"/>
      </w:r>
      <w:r>
        <w:instrText> REF _Ref51676665 \h </w:instrText>
      </w:r>
      <w:r>
        <w:fldChar w:fldCharType="separate"/>
      </w:r>
      <w:r>
        <w:t>Tabla 3</w:t>
      </w:r>
      <w:r>
        <w:fldChar w:fldCharType="end"/>
      </w:r>
      <w:r>
        <w:rPr/>
        <w:t>.</w:t>
      </w:r>
    </w:p>
    <w:p>
      <w:pPr>
        <w:pStyle w:val="Caption1"/>
        <w:keepNext/>
        <w:spacing w:before="80" w:after="0"/>
        <w:rPr/>
      </w:pPr>
      <w:bookmarkStart w:id="345" w:name="_Toc58849592"/>
      <w:bookmarkStart w:id="346" w:name="_Toc84598973"/>
      <w:bookmarkStart w:id="347" w:name="_Ref51676665"/>
      <w:r>
        <w:rPr>
          <w:rFonts w:cs="Arial"/>
          <w:sz w:val="22"/>
        </w:rPr>
        <w:t xml:space="preserve">Tabla </w:t>
      </w:r>
      <w:r>
        <w:rPr>
          <w:rFonts w:cs="Arial"/>
          <w:sz w:val="22"/>
        </w:rPr>
        <w:fldChar w:fldCharType="begin"/>
      </w:r>
      <w:r>
        <w:instrText> SEQ Tabla \* ARABIC </w:instrText>
      </w:r>
      <w:r>
        <w:fldChar w:fldCharType="separate"/>
      </w:r>
      <w:r>
        <w:t>3</w:t>
      </w:r>
      <w:r>
        <w:fldChar w:fldCharType="end"/>
      </w:r>
      <w:bookmarkEnd w:id="347"/>
      <w:r>
        <w:rPr/>
        <w:t>:</w:t>
      </w:r>
      <w:r>
        <w:rPr>
          <w:rFonts w:cs="Arial"/>
          <w:sz w:val="22"/>
        </w:rPr>
        <w:t xml:space="preserve"> Clasificación de resúmenes lingüísticos </w:t>
      </w:r>
      <w:r>
        <w:fldChar w:fldCharType="begin"/>
      </w:r>
      <w:r>
        <w:instrText>ADDIN ZOTERO_ITEM CSL_CITATION {"citationID":"f8vt4oRV","properties":{"formattedCitation":"(Kacprzyk y Zadro\\uc0\\u380{}ny 2009)","plainCitation":"(Kacprzyk y Zadrożny 2009)","noteIndex":0},"citationItems":[{"id":"NJclqhNX/swo7qUpK","uris":["http://zotero.org/users/local/rsuvzjK6/items/WV4J9863"],"uri":["http://zotero.org/users/local/rsuvzjK6/items/WV4J9863"],"itemData":{"id":1999,"type":"article-journal","abstract":"We discuss an approach to fuzzy linguistic summaries of data (bases) in the sense of Yager, i.e., for instance, if we have a (large) database on employees, and we are interested in a relation between the age and qualifications, then it may be summarized by, say, “most young employees are well qualified”. We present the derivation of such linguistic summaries in the context of Zadeh’s computing with words and perceptions paradigm, and consider his recent idea of a protoform to define and handle more general forms of summaries as proposed by Kacprzyk and ZadroĪny. We present an implementation for a small to medium computer retailer, and show how data from the internet can qualitatively enhance the summarization results.","issue":"20","language":"en","page":"10","title":"Linguistic database summaries using fuzzy logic, towards a human-consistent data mining tool","author":[{"family":"Kacprzyk","given":"Janusz"},{"family":"Zadrożny","given":"Sławomir"}],"issued":{"date-parts":[["2009"]]}}}],"schema":"https://github.com/citation-style-language/schema/raw/master/csl-citation.json"}</w:instrText>
      </w:r>
      <w:r>
        <w:fldChar w:fldCharType="separate"/>
      </w:r>
      <w:bookmarkStart w:id="348" w:name="__Fieldmark__3567_2067855929"/>
      <w:r>
        <w:rPr>
          <w:rFonts w:cs="Arial"/>
          <w:sz w:val="22"/>
        </w:rPr>
      </w:r>
      <w:r>
        <w:rPr>
          <w:rFonts w:cs="Arial"/>
          <w:sz w:val="22"/>
          <w:szCs w:val="24"/>
        </w:rPr>
        <w:t>(</w:t>
      </w:r>
      <w:bookmarkStart w:id="349" w:name="__Fieldmark__3145_498839314"/>
      <w:r>
        <w:rPr>
          <w:rFonts w:cs="Arial"/>
          <w:sz w:val="22"/>
          <w:szCs w:val="24"/>
        </w:rPr>
        <w:t>K</w:t>
      </w:r>
      <w:bookmarkStart w:id="350" w:name="__Fieldmark__2892_998588997"/>
      <w:r>
        <w:rPr>
          <w:rFonts w:cs="Arial"/>
          <w:sz w:val="22"/>
          <w:szCs w:val="24"/>
        </w:rPr>
        <w:t>a</w:t>
      </w:r>
      <w:bookmarkStart w:id="351" w:name="__Fieldmark__5323_118561941"/>
      <w:r>
        <w:rPr>
          <w:rFonts w:cs="Arial"/>
          <w:sz w:val="22"/>
          <w:szCs w:val="24"/>
        </w:rPr>
        <w:t>cprzyk y Zadrożny 2009)</w:t>
      </w:r>
      <w:r>
        <w:rPr>
          <w:rFonts w:cs="Arial"/>
          <w:sz w:val="22"/>
        </w:rPr>
      </w:r>
      <w:r>
        <w:fldChar w:fldCharType="end"/>
      </w:r>
      <w:bookmarkEnd w:id="345"/>
      <w:bookmarkEnd w:id="346"/>
      <w:bookmarkEnd w:id="348"/>
      <w:bookmarkEnd w:id="349"/>
      <w:bookmarkEnd w:id="350"/>
      <w:bookmarkEnd w:id="351"/>
      <w:r>
        <w:rPr>
          <w:rFonts w:cs="Arial"/>
          <w:sz w:val="22"/>
        </w:rPr>
        <w:t>.</w:t>
      </w:r>
    </w:p>
    <w:tbl>
      <w:tblPr>
        <w:tblW w:w="9214" w:type="dxa"/>
        <w:jc w:val="left"/>
        <w:tblInd w:w="0" w:type="dxa"/>
        <w:tblBorders>
          <w:top w:val="single" w:sz="8" w:space="0" w:color="00000A"/>
          <w:bottom w:val="single" w:sz="8" w:space="0" w:color="00000A"/>
          <w:insideH w:val="single" w:sz="8" w:space="0" w:color="00000A"/>
        </w:tblBorders>
        <w:tblCellMar>
          <w:top w:w="0" w:type="dxa"/>
          <w:left w:w="70" w:type="dxa"/>
          <w:bottom w:w="0" w:type="dxa"/>
          <w:right w:w="70" w:type="dxa"/>
        </w:tblCellMar>
        <w:tblLook w:val="04a0" w:noVBand="1" w:noHBand="0" w:lastColumn="0" w:firstColumn="1" w:lastRow="0" w:firstRow="1"/>
      </w:tblPr>
      <w:tblGrid>
        <w:gridCol w:w="621"/>
        <w:gridCol w:w="1360"/>
        <w:gridCol w:w="1418"/>
        <w:gridCol w:w="709"/>
        <w:gridCol w:w="5106"/>
      </w:tblGrid>
      <w:tr>
        <w:trPr>
          <w:trHeight w:val="278" w:hRule="atLeast"/>
        </w:trPr>
        <w:tc>
          <w:tcPr>
            <w:tcW w:w="621" w:type="dxa"/>
            <w:tcBorders>
              <w:top w:val="single" w:sz="8" w:space="0" w:color="00000A"/>
              <w:bottom w:val="single" w:sz="8" w:space="0" w:color="00000A"/>
              <w:insideH w:val="single" w:sz="8" w:space="0" w:color="00000A"/>
            </w:tcBorders>
            <w:shd w:color="auto" w:fill="auto" w:val="clear"/>
            <w:vAlign w:val="center"/>
          </w:tcPr>
          <w:p>
            <w:pPr>
              <w:pStyle w:val="Normal"/>
              <w:spacing w:before="80" w:after="60"/>
              <w:jc w:val="center"/>
              <w:rPr>
                <w:b/>
                <w:b/>
                <w:sz w:val="20"/>
                <w:szCs w:val="20"/>
                <w:lang w:eastAsia="es-ES"/>
              </w:rPr>
            </w:pPr>
            <w:r>
              <w:rPr>
                <w:b/>
                <w:sz w:val="20"/>
                <w:szCs w:val="20"/>
                <w:lang w:eastAsia="es-ES"/>
              </w:rPr>
              <w:t>Tipo</w:t>
            </w:r>
          </w:p>
        </w:tc>
        <w:tc>
          <w:tcPr>
            <w:tcW w:w="1360" w:type="dxa"/>
            <w:tcBorders>
              <w:top w:val="single" w:sz="8" w:space="0" w:color="00000A"/>
              <w:bottom w:val="single" w:sz="8" w:space="0" w:color="00000A"/>
              <w:insideH w:val="single" w:sz="8" w:space="0" w:color="00000A"/>
            </w:tcBorders>
            <w:shd w:color="auto" w:fill="auto" w:val="clear"/>
          </w:tcPr>
          <w:p>
            <w:pPr>
              <w:pStyle w:val="Normal"/>
              <w:spacing w:before="80" w:after="60"/>
              <w:jc w:val="center"/>
              <w:rPr>
                <w:b/>
                <w:b/>
                <w:sz w:val="20"/>
                <w:szCs w:val="20"/>
                <w:lang w:eastAsia="es-ES"/>
              </w:rPr>
            </w:pPr>
            <w:r>
              <w:rPr>
                <w:b/>
                <w:sz w:val="20"/>
                <w:szCs w:val="20"/>
                <w:lang w:eastAsia="es-ES"/>
              </w:rPr>
              <w:t>Protoforma</w:t>
            </w:r>
          </w:p>
        </w:tc>
        <w:tc>
          <w:tcPr>
            <w:tcW w:w="1418" w:type="dxa"/>
            <w:tcBorders>
              <w:top w:val="single" w:sz="8" w:space="0" w:color="00000A"/>
              <w:bottom w:val="single" w:sz="8" w:space="0" w:color="00000A"/>
              <w:insideH w:val="single" w:sz="8" w:space="0" w:color="00000A"/>
            </w:tcBorders>
            <w:shd w:color="auto" w:fill="auto" w:val="clear"/>
            <w:vAlign w:val="center"/>
          </w:tcPr>
          <w:p>
            <w:pPr>
              <w:pStyle w:val="Normal"/>
              <w:spacing w:before="80" w:after="60"/>
              <w:jc w:val="center"/>
              <w:rPr>
                <w:b/>
                <w:b/>
                <w:sz w:val="20"/>
                <w:szCs w:val="20"/>
                <w:lang w:eastAsia="es-ES"/>
              </w:rPr>
            </w:pPr>
            <w:r>
              <w:rPr>
                <w:b/>
                <w:sz w:val="20"/>
                <w:szCs w:val="20"/>
                <w:lang w:eastAsia="es-ES"/>
              </w:rPr>
              <w:t>Conocido</w:t>
            </w:r>
          </w:p>
        </w:tc>
        <w:tc>
          <w:tcPr>
            <w:tcW w:w="709" w:type="dxa"/>
            <w:tcBorders>
              <w:top w:val="single" w:sz="8" w:space="0" w:color="00000A"/>
              <w:bottom w:val="single" w:sz="8" w:space="0" w:color="00000A"/>
              <w:insideH w:val="single" w:sz="8" w:space="0" w:color="00000A"/>
            </w:tcBorders>
            <w:shd w:color="auto" w:fill="auto" w:val="clear"/>
            <w:vAlign w:val="center"/>
          </w:tcPr>
          <w:p>
            <w:pPr>
              <w:pStyle w:val="Normal"/>
              <w:spacing w:before="80" w:after="60"/>
              <w:jc w:val="center"/>
              <w:rPr>
                <w:b/>
                <w:b/>
                <w:sz w:val="20"/>
                <w:szCs w:val="20"/>
                <w:lang w:eastAsia="es-ES"/>
              </w:rPr>
            </w:pPr>
            <w:r>
              <w:rPr>
                <w:b/>
                <w:sz w:val="20"/>
                <w:szCs w:val="20"/>
                <w:lang w:eastAsia="es-ES"/>
              </w:rPr>
              <w:t>Duda</w:t>
            </w:r>
          </w:p>
        </w:tc>
        <w:tc>
          <w:tcPr>
            <w:tcW w:w="5106" w:type="dxa"/>
            <w:tcBorders>
              <w:top w:val="single" w:sz="8" w:space="0" w:color="00000A"/>
              <w:bottom w:val="single" w:sz="8" w:space="0" w:color="00000A"/>
              <w:insideH w:val="single" w:sz="8" w:space="0" w:color="00000A"/>
            </w:tcBorders>
            <w:shd w:color="auto" w:fill="auto" w:val="clear"/>
            <w:vAlign w:val="center"/>
          </w:tcPr>
          <w:p>
            <w:pPr>
              <w:pStyle w:val="Normal"/>
              <w:spacing w:before="80" w:after="60"/>
              <w:jc w:val="center"/>
              <w:rPr>
                <w:b/>
                <w:b/>
                <w:sz w:val="20"/>
                <w:szCs w:val="20"/>
                <w:lang w:eastAsia="es-ES"/>
              </w:rPr>
            </w:pPr>
            <w:r>
              <w:rPr>
                <w:b/>
                <w:sz w:val="20"/>
                <w:szCs w:val="20"/>
                <w:lang w:eastAsia="es-ES"/>
              </w:rPr>
              <w:t>Comentarios</w:t>
            </w:r>
          </w:p>
        </w:tc>
      </w:tr>
      <w:tr>
        <w:trPr>
          <w:trHeight w:val="264" w:hRule="atLeast"/>
        </w:trPr>
        <w:tc>
          <w:tcPr>
            <w:tcW w:w="621" w:type="dxa"/>
            <w:tcBorders>
              <w:top w:val="single" w:sz="8" w:space="0" w:color="00000A"/>
              <w:bottom w:val="single" w:sz="8" w:space="0" w:color="00000A"/>
              <w:insideH w:val="single" w:sz="8" w:space="0" w:color="00000A"/>
            </w:tcBorders>
            <w:shd w:color="auto" w:fill="auto" w:val="clear"/>
            <w:vAlign w:val="center"/>
          </w:tcPr>
          <w:p>
            <w:pPr>
              <w:pStyle w:val="Normal"/>
              <w:spacing w:before="80" w:after="60"/>
              <w:jc w:val="center"/>
              <w:rPr>
                <w:sz w:val="20"/>
                <w:szCs w:val="20"/>
                <w:lang w:eastAsia="es-ES"/>
              </w:rPr>
            </w:pPr>
            <w:r>
              <w:rPr>
                <w:sz w:val="20"/>
                <w:szCs w:val="20"/>
                <w:lang w:eastAsia="es-ES"/>
              </w:rPr>
              <w:t>0</w:t>
            </w:r>
          </w:p>
        </w:tc>
        <w:tc>
          <w:tcPr>
            <w:tcW w:w="1360" w:type="dxa"/>
            <w:tcBorders>
              <w:top w:val="single" w:sz="8" w:space="0" w:color="00000A"/>
              <w:bottom w:val="single" w:sz="8" w:space="0" w:color="00000A"/>
              <w:insideH w:val="single" w:sz="8" w:space="0" w:color="00000A"/>
            </w:tcBorders>
            <w:shd w:color="auto" w:fill="auto" w:val="clear"/>
          </w:tcPr>
          <w:p>
            <w:pPr>
              <w:pStyle w:val="Normal"/>
              <w:spacing w:before="80" w:after="60"/>
              <w:jc w:val="center"/>
              <w:rPr>
                <w:sz w:val="20"/>
                <w:szCs w:val="20"/>
                <w:lang w:eastAsia="es-ES"/>
              </w:rPr>
            </w:pPr>
            <w:r>
              <w:rPr>
                <w:i/>
                <w:sz w:val="20"/>
                <w:szCs w:val="20"/>
                <w:lang w:eastAsia="es-ES"/>
              </w:rPr>
              <w:t xml:space="preserve">QRy’s </w:t>
            </w:r>
            <w:r>
              <w:rPr>
                <w:sz w:val="20"/>
                <w:szCs w:val="20"/>
                <w:lang w:eastAsia="es-ES"/>
              </w:rPr>
              <w:t xml:space="preserve">are </w:t>
            </w:r>
            <w:r>
              <w:rPr>
                <w:i/>
                <w:sz w:val="20"/>
                <w:szCs w:val="20"/>
                <w:lang w:eastAsia="es-ES"/>
              </w:rPr>
              <w:t>S</w:t>
            </w:r>
          </w:p>
        </w:tc>
        <w:tc>
          <w:tcPr>
            <w:tcW w:w="1418" w:type="dxa"/>
            <w:tcBorders>
              <w:top w:val="single" w:sz="8" w:space="0" w:color="00000A"/>
              <w:bottom w:val="single" w:sz="8" w:space="0" w:color="00000A"/>
              <w:insideH w:val="single" w:sz="8" w:space="0" w:color="00000A"/>
            </w:tcBorders>
            <w:shd w:color="auto" w:fill="auto" w:val="clear"/>
            <w:vAlign w:val="center"/>
          </w:tcPr>
          <w:p>
            <w:pPr>
              <w:pStyle w:val="Normal"/>
              <w:spacing w:before="80" w:after="60"/>
              <w:jc w:val="center"/>
              <w:rPr>
                <w:sz w:val="20"/>
                <w:szCs w:val="20"/>
                <w:lang w:eastAsia="es-ES"/>
              </w:rPr>
            </w:pPr>
            <w:r>
              <w:rPr>
                <w:sz w:val="20"/>
                <w:szCs w:val="20"/>
                <w:lang w:eastAsia="es-ES"/>
              </w:rPr>
              <w:t>Todo</w:t>
            </w:r>
          </w:p>
        </w:tc>
        <w:tc>
          <w:tcPr>
            <w:tcW w:w="709" w:type="dxa"/>
            <w:tcBorders>
              <w:top w:val="single" w:sz="8" w:space="0" w:color="00000A"/>
              <w:bottom w:val="single" w:sz="8" w:space="0" w:color="00000A"/>
              <w:insideH w:val="single" w:sz="8" w:space="0" w:color="00000A"/>
            </w:tcBorders>
            <w:shd w:color="auto" w:fill="auto" w:val="clear"/>
            <w:vAlign w:val="center"/>
          </w:tcPr>
          <w:p>
            <w:pPr>
              <w:pStyle w:val="Normal"/>
              <w:spacing w:before="80" w:after="60"/>
              <w:jc w:val="center"/>
              <w:rPr>
                <w:i/>
                <w:i/>
                <w:sz w:val="20"/>
                <w:szCs w:val="20"/>
                <w:lang w:eastAsia="es-ES"/>
              </w:rPr>
            </w:pPr>
            <w:r>
              <w:rPr>
                <w:i/>
                <w:sz w:val="20"/>
                <w:szCs w:val="20"/>
                <w:lang w:eastAsia="es-ES"/>
              </w:rPr>
              <w:t>T</w:t>
            </w:r>
          </w:p>
        </w:tc>
        <w:tc>
          <w:tcPr>
            <w:tcW w:w="5106" w:type="dxa"/>
            <w:tcBorders>
              <w:top w:val="single" w:sz="8" w:space="0" w:color="00000A"/>
              <w:bottom w:val="single" w:sz="8" w:space="0" w:color="00000A"/>
              <w:insideH w:val="single" w:sz="8" w:space="0" w:color="00000A"/>
            </w:tcBorders>
            <w:shd w:color="auto" w:fill="auto" w:val="clear"/>
            <w:vAlign w:val="center"/>
          </w:tcPr>
          <w:p>
            <w:pPr>
              <w:pStyle w:val="Normal"/>
              <w:spacing w:before="80" w:after="60"/>
              <w:jc w:val="center"/>
              <w:rPr>
                <w:sz w:val="20"/>
                <w:szCs w:val="20"/>
                <w:lang w:eastAsia="es-ES"/>
              </w:rPr>
            </w:pPr>
            <w:r>
              <w:rPr>
                <w:sz w:val="20"/>
                <w:szCs w:val="20"/>
                <w:lang w:eastAsia="es-ES"/>
              </w:rPr>
              <w:t xml:space="preserve">Resúmenes condicionales a través de consultas </w:t>
            </w:r>
            <w:r>
              <w:rPr>
                <w:i/>
                <w:iCs/>
                <w:sz w:val="20"/>
                <w:szCs w:val="20"/>
                <w:lang w:eastAsia="es-ES"/>
              </w:rPr>
              <w:t>ad-hoc</w:t>
            </w:r>
          </w:p>
        </w:tc>
      </w:tr>
      <w:tr>
        <w:trPr>
          <w:trHeight w:val="264" w:hRule="atLeast"/>
        </w:trPr>
        <w:tc>
          <w:tcPr>
            <w:tcW w:w="621" w:type="dxa"/>
            <w:tcBorders>
              <w:top w:val="single" w:sz="8" w:space="0" w:color="00000A"/>
              <w:bottom w:val="single" w:sz="8" w:space="0" w:color="00000A"/>
              <w:insideH w:val="single" w:sz="8" w:space="0" w:color="00000A"/>
            </w:tcBorders>
            <w:shd w:color="auto" w:fill="auto" w:val="clear"/>
            <w:vAlign w:val="center"/>
          </w:tcPr>
          <w:p>
            <w:pPr>
              <w:pStyle w:val="Normal"/>
              <w:spacing w:before="80" w:after="60"/>
              <w:jc w:val="center"/>
              <w:rPr>
                <w:sz w:val="20"/>
                <w:szCs w:val="20"/>
                <w:lang w:eastAsia="es-ES"/>
              </w:rPr>
            </w:pPr>
            <w:r>
              <w:rPr>
                <w:sz w:val="20"/>
                <w:szCs w:val="20"/>
                <w:lang w:eastAsia="es-ES"/>
              </w:rPr>
              <w:t>1</w:t>
            </w:r>
          </w:p>
        </w:tc>
        <w:tc>
          <w:tcPr>
            <w:tcW w:w="1360" w:type="dxa"/>
            <w:tcBorders>
              <w:top w:val="single" w:sz="8" w:space="0" w:color="00000A"/>
              <w:bottom w:val="single" w:sz="8" w:space="0" w:color="00000A"/>
              <w:insideH w:val="single" w:sz="8" w:space="0" w:color="00000A"/>
            </w:tcBorders>
            <w:shd w:color="auto" w:fill="auto" w:val="clear"/>
          </w:tcPr>
          <w:p>
            <w:pPr>
              <w:pStyle w:val="Normal"/>
              <w:spacing w:before="80" w:after="60"/>
              <w:jc w:val="center"/>
              <w:rPr>
                <w:sz w:val="20"/>
                <w:szCs w:val="20"/>
                <w:lang w:eastAsia="es-ES"/>
              </w:rPr>
            </w:pPr>
            <w:r>
              <w:rPr>
                <w:i/>
                <w:sz w:val="20"/>
                <w:szCs w:val="20"/>
                <w:lang w:eastAsia="es-ES"/>
              </w:rPr>
              <w:t xml:space="preserve">Qy’s </w:t>
            </w:r>
            <w:r>
              <w:rPr>
                <w:sz w:val="20"/>
                <w:szCs w:val="20"/>
                <w:lang w:eastAsia="es-ES"/>
              </w:rPr>
              <w:t xml:space="preserve">are </w:t>
            </w:r>
            <w:r>
              <w:rPr>
                <w:i/>
                <w:sz w:val="20"/>
                <w:szCs w:val="20"/>
                <w:lang w:eastAsia="es-ES"/>
              </w:rPr>
              <w:t>S</w:t>
            </w:r>
          </w:p>
        </w:tc>
        <w:tc>
          <w:tcPr>
            <w:tcW w:w="1418" w:type="dxa"/>
            <w:tcBorders>
              <w:top w:val="single" w:sz="8" w:space="0" w:color="00000A"/>
              <w:bottom w:val="single" w:sz="8" w:space="0" w:color="00000A"/>
              <w:insideH w:val="single" w:sz="8" w:space="0" w:color="00000A"/>
            </w:tcBorders>
            <w:shd w:color="auto" w:fill="auto" w:val="clear"/>
            <w:vAlign w:val="center"/>
          </w:tcPr>
          <w:p>
            <w:pPr>
              <w:pStyle w:val="Normal"/>
              <w:spacing w:before="80" w:after="60"/>
              <w:jc w:val="center"/>
              <w:rPr>
                <w:i/>
                <w:i/>
                <w:sz w:val="20"/>
                <w:szCs w:val="20"/>
                <w:lang w:eastAsia="es-ES"/>
              </w:rPr>
            </w:pPr>
            <w:r>
              <w:rPr>
                <w:i/>
                <w:sz w:val="20"/>
                <w:szCs w:val="20"/>
                <w:lang w:eastAsia="es-ES"/>
              </w:rPr>
              <w:t>S </w:t>
            </w:r>
          </w:p>
        </w:tc>
        <w:tc>
          <w:tcPr>
            <w:tcW w:w="709" w:type="dxa"/>
            <w:tcBorders>
              <w:top w:val="single" w:sz="8" w:space="0" w:color="00000A"/>
              <w:bottom w:val="single" w:sz="8" w:space="0" w:color="00000A"/>
              <w:insideH w:val="single" w:sz="8" w:space="0" w:color="00000A"/>
            </w:tcBorders>
            <w:shd w:color="auto" w:fill="auto" w:val="clear"/>
            <w:vAlign w:val="center"/>
          </w:tcPr>
          <w:p>
            <w:pPr>
              <w:pStyle w:val="Normal"/>
              <w:spacing w:before="80" w:after="60"/>
              <w:jc w:val="center"/>
              <w:rPr>
                <w:i/>
                <w:i/>
                <w:sz w:val="20"/>
                <w:szCs w:val="20"/>
                <w:lang w:eastAsia="es-ES"/>
              </w:rPr>
            </w:pPr>
            <w:r>
              <w:rPr>
                <w:sz w:val="20"/>
                <w:szCs w:val="20"/>
                <w:lang w:eastAsia="es-ES"/>
              </w:rPr>
              <w:t> </w:t>
            </w:r>
            <w:r>
              <w:rPr>
                <w:i/>
                <w:sz w:val="20"/>
                <w:szCs w:val="20"/>
                <w:lang w:eastAsia="es-ES"/>
              </w:rPr>
              <w:t>Q</w:t>
            </w:r>
          </w:p>
        </w:tc>
        <w:tc>
          <w:tcPr>
            <w:tcW w:w="5106" w:type="dxa"/>
            <w:tcBorders>
              <w:top w:val="single" w:sz="8" w:space="0" w:color="00000A"/>
              <w:bottom w:val="single" w:sz="8" w:space="0" w:color="00000A"/>
              <w:insideH w:val="single" w:sz="8" w:space="0" w:color="00000A"/>
            </w:tcBorders>
            <w:shd w:color="auto" w:fill="auto" w:val="clear"/>
            <w:vAlign w:val="center"/>
          </w:tcPr>
          <w:p>
            <w:pPr>
              <w:pStyle w:val="Normal"/>
              <w:spacing w:before="80" w:after="60"/>
              <w:jc w:val="center"/>
              <w:rPr>
                <w:sz w:val="20"/>
                <w:szCs w:val="20"/>
                <w:lang w:eastAsia="es-ES"/>
              </w:rPr>
            </w:pPr>
            <w:r>
              <w:rPr>
                <w:sz w:val="20"/>
                <w:szCs w:val="20"/>
                <w:lang w:eastAsia="es-ES"/>
              </w:rPr>
              <w:t xml:space="preserve">Resúmenes simples a través de consultas </w:t>
            </w:r>
            <w:r>
              <w:rPr>
                <w:i/>
                <w:iCs/>
                <w:sz w:val="20"/>
                <w:szCs w:val="20"/>
                <w:lang w:eastAsia="es-ES"/>
              </w:rPr>
              <w:t>ad-hoc</w:t>
            </w:r>
          </w:p>
        </w:tc>
      </w:tr>
      <w:tr>
        <w:trPr>
          <w:trHeight w:val="264" w:hRule="atLeast"/>
        </w:trPr>
        <w:tc>
          <w:tcPr>
            <w:tcW w:w="621" w:type="dxa"/>
            <w:tcBorders>
              <w:top w:val="single" w:sz="8" w:space="0" w:color="00000A"/>
              <w:bottom w:val="single" w:sz="8" w:space="0" w:color="00000A"/>
              <w:insideH w:val="single" w:sz="8" w:space="0" w:color="00000A"/>
            </w:tcBorders>
            <w:shd w:color="auto" w:fill="auto" w:val="clear"/>
            <w:vAlign w:val="center"/>
          </w:tcPr>
          <w:p>
            <w:pPr>
              <w:pStyle w:val="Normal"/>
              <w:spacing w:before="80" w:after="60"/>
              <w:jc w:val="center"/>
              <w:rPr>
                <w:sz w:val="20"/>
                <w:szCs w:val="20"/>
                <w:lang w:eastAsia="es-ES"/>
              </w:rPr>
            </w:pPr>
            <w:r>
              <w:rPr>
                <w:sz w:val="20"/>
                <w:szCs w:val="20"/>
                <w:lang w:eastAsia="es-ES"/>
              </w:rPr>
              <w:t>2</w:t>
            </w:r>
          </w:p>
        </w:tc>
        <w:tc>
          <w:tcPr>
            <w:tcW w:w="1360" w:type="dxa"/>
            <w:tcBorders>
              <w:top w:val="single" w:sz="8" w:space="0" w:color="00000A"/>
              <w:bottom w:val="single" w:sz="8" w:space="0" w:color="00000A"/>
              <w:insideH w:val="single" w:sz="8" w:space="0" w:color="00000A"/>
            </w:tcBorders>
            <w:shd w:color="auto" w:fill="auto" w:val="clear"/>
          </w:tcPr>
          <w:p>
            <w:pPr>
              <w:pStyle w:val="Normal"/>
              <w:spacing w:before="80" w:after="60"/>
              <w:jc w:val="center"/>
              <w:rPr>
                <w:sz w:val="20"/>
                <w:szCs w:val="20"/>
                <w:lang w:eastAsia="es-ES"/>
              </w:rPr>
            </w:pPr>
            <w:r>
              <w:rPr>
                <w:i/>
                <w:sz w:val="20"/>
                <w:szCs w:val="20"/>
                <w:lang w:eastAsia="es-ES"/>
              </w:rPr>
              <w:t xml:space="preserve">QRy’s </w:t>
            </w:r>
            <w:r>
              <w:rPr>
                <w:sz w:val="20"/>
                <w:szCs w:val="20"/>
                <w:lang w:eastAsia="es-ES"/>
              </w:rPr>
              <w:t xml:space="preserve">are </w:t>
            </w:r>
            <w:r>
              <w:rPr>
                <w:i/>
                <w:sz w:val="20"/>
                <w:szCs w:val="20"/>
                <w:lang w:eastAsia="es-ES"/>
              </w:rPr>
              <w:t>S</w:t>
            </w:r>
          </w:p>
        </w:tc>
        <w:tc>
          <w:tcPr>
            <w:tcW w:w="1418" w:type="dxa"/>
            <w:tcBorders>
              <w:top w:val="single" w:sz="8" w:space="0" w:color="00000A"/>
              <w:bottom w:val="single" w:sz="8" w:space="0" w:color="00000A"/>
              <w:insideH w:val="single" w:sz="8" w:space="0" w:color="00000A"/>
            </w:tcBorders>
            <w:shd w:color="auto" w:fill="auto" w:val="clear"/>
            <w:vAlign w:val="center"/>
          </w:tcPr>
          <w:p>
            <w:pPr>
              <w:pStyle w:val="Normal"/>
              <w:spacing w:before="80" w:after="60"/>
              <w:jc w:val="center"/>
              <w:rPr>
                <w:i/>
                <w:i/>
                <w:sz w:val="20"/>
                <w:szCs w:val="20"/>
                <w:lang w:eastAsia="es-ES"/>
              </w:rPr>
            </w:pPr>
            <w:r>
              <w:rPr>
                <w:i/>
                <w:sz w:val="20"/>
                <w:szCs w:val="20"/>
                <w:lang w:eastAsia="es-ES"/>
              </w:rPr>
              <w:t>S R</w:t>
            </w:r>
          </w:p>
        </w:tc>
        <w:tc>
          <w:tcPr>
            <w:tcW w:w="709" w:type="dxa"/>
            <w:tcBorders>
              <w:top w:val="single" w:sz="8" w:space="0" w:color="00000A"/>
              <w:bottom w:val="single" w:sz="8" w:space="0" w:color="00000A"/>
              <w:insideH w:val="single" w:sz="8" w:space="0" w:color="00000A"/>
            </w:tcBorders>
            <w:shd w:color="auto" w:fill="auto" w:val="clear"/>
            <w:vAlign w:val="center"/>
          </w:tcPr>
          <w:p>
            <w:pPr>
              <w:pStyle w:val="Normal"/>
              <w:spacing w:before="80" w:after="60"/>
              <w:jc w:val="center"/>
              <w:rPr>
                <w:i/>
                <w:i/>
                <w:sz w:val="20"/>
                <w:szCs w:val="20"/>
                <w:lang w:eastAsia="es-ES"/>
              </w:rPr>
            </w:pPr>
            <w:r>
              <w:rPr>
                <w:i/>
                <w:sz w:val="20"/>
                <w:szCs w:val="20"/>
                <w:lang w:eastAsia="es-ES"/>
              </w:rPr>
              <w:t>Q</w:t>
            </w:r>
          </w:p>
        </w:tc>
        <w:tc>
          <w:tcPr>
            <w:tcW w:w="5106" w:type="dxa"/>
            <w:tcBorders>
              <w:top w:val="single" w:sz="8" w:space="0" w:color="00000A"/>
              <w:bottom w:val="single" w:sz="8" w:space="0" w:color="00000A"/>
              <w:insideH w:val="single" w:sz="8" w:space="0" w:color="00000A"/>
            </w:tcBorders>
            <w:shd w:color="auto" w:fill="auto" w:val="clear"/>
            <w:vAlign w:val="center"/>
          </w:tcPr>
          <w:p>
            <w:pPr>
              <w:pStyle w:val="Normal"/>
              <w:spacing w:before="80" w:after="60"/>
              <w:jc w:val="center"/>
              <w:rPr>
                <w:sz w:val="20"/>
                <w:szCs w:val="20"/>
                <w:lang w:eastAsia="es-ES"/>
              </w:rPr>
            </w:pPr>
            <w:r>
              <w:rPr>
                <w:sz w:val="20"/>
                <w:szCs w:val="20"/>
                <w:lang w:eastAsia="es-ES"/>
              </w:rPr>
              <w:t xml:space="preserve">Resúmenes condicionales a través de consultas </w:t>
            </w:r>
            <w:r>
              <w:rPr>
                <w:i/>
                <w:iCs/>
                <w:sz w:val="20"/>
                <w:szCs w:val="20"/>
                <w:lang w:eastAsia="es-ES"/>
              </w:rPr>
              <w:t>ad-hoc</w:t>
            </w:r>
          </w:p>
        </w:tc>
      </w:tr>
      <w:tr>
        <w:trPr>
          <w:trHeight w:val="264" w:hRule="atLeast"/>
        </w:trPr>
        <w:tc>
          <w:tcPr>
            <w:tcW w:w="621" w:type="dxa"/>
            <w:tcBorders>
              <w:top w:val="single" w:sz="8" w:space="0" w:color="00000A"/>
              <w:bottom w:val="single" w:sz="8" w:space="0" w:color="00000A"/>
              <w:insideH w:val="single" w:sz="8" w:space="0" w:color="00000A"/>
            </w:tcBorders>
            <w:shd w:color="auto" w:fill="auto" w:val="clear"/>
            <w:vAlign w:val="center"/>
          </w:tcPr>
          <w:p>
            <w:pPr>
              <w:pStyle w:val="Normal"/>
              <w:spacing w:before="80" w:after="60"/>
              <w:jc w:val="center"/>
              <w:rPr>
                <w:sz w:val="20"/>
                <w:szCs w:val="20"/>
                <w:lang w:eastAsia="es-ES"/>
              </w:rPr>
            </w:pPr>
            <w:r>
              <w:rPr>
                <w:sz w:val="20"/>
                <w:szCs w:val="20"/>
                <w:lang w:eastAsia="es-ES"/>
              </w:rPr>
              <w:t>3</w:t>
            </w:r>
          </w:p>
        </w:tc>
        <w:tc>
          <w:tcPr>
            <w:tcW w:w="1360" w:type="dxa"/>
            <w:tcBorders>
              <w:top w:val="single" w:sz="8" w:space="0" w:color="00000A"/>
              <w:bottom w:val="single" w:sz="8" w:space="0" w:color="00000A"/>
              <w:insideH w:val="single" w:sz="8" w:space="0" w:color="00000A"/>
            </w:tcBorders>
            <w:shd w:color="auto" w:fill="auto" w:val="clear"/>
          </w:tcPr>
          <w:p>
            <w:pPr>
              <w:pStyle w:val="Normal"/>
              <w:spacing w:before="80" w:after="60"/>
              <w:jc w:val="center"/>
              <w:rPr>
                <w:sz w:val="20"/>
                <w:szCs w:val="20"/>
                <w:lang w:eastAsia="es-ES"/>
              </w:rPr>
            </w:pPr>
            <w:r>
              <w:rPr>
                <w:i/>
                <w:sz w:val="20"/>
                <w:szCs w:val="20"/>
                <w:lang w:eastAsia="es-ES"/>
              </w:rPr>
              <w:t xml:space="preserve">Qy’s </w:t>
            </w:r>
            <w:r>
              <w:rPr>
                <w:sz w:val="20"/>
                <w:szCs w:val="20"/>
                <w:lang w:eastAsia="es-ES"/>
              </w:rPr>
              <w:t xml:space="preserve">are </w:t>
            </w:r>
            <w:r>
              <w:rPr>
                <w:i/>
                <w:sz w:val="20"/>
                <w:szCs w:val="20"/>
                <w:lang w:eastAsia="es-ES"/>
              </w:rPr>
              <w:t>S</w:t>
            </w:r>
          </w:p>
        </w:tc>
        <w:tc>
          <w:tcPr>
            <w:tcW w:w="1418" w:type="dxa"/>
            <w:tcBorders>
              <w:top w:val="single" w:sz="8" w:space="0" w:color="00000A"/>
              <w:bottom w:val="single" w:sz="8" w:space="0" w:color="00000A"/>
              <w:insideH w:val="single" w:sz="8" w:space="0" w:color="00000A"/>
            </w:tcBorders>
            <w:shd w:color="auto" w:fill="auto" w:val="clear"/>
            <w:vAlign w:val="center"/>
          </w:tcPr>
          <w:p>
            <w:pPr>
              <w:pStyle w:val="Normal"/>
              <w:spacing w:before="80" w:after="60"/>
              <w:jc w:val="center"/>
              <w:rPr>
                <w:sz w:val="20"/>
                <w:szCs w:val="20"/>
                <w:lang w:eastAsia="es-ES"/>
              </w:rPr>
            </w:pPr>
            <w:r>
              <w:rPr>
                <w:i/>
                <w:sz w:val="20"/>
                <w:szCs w:val="20"/>
                <w:lang w:eastAsia="es-ES"/>
              </w:rPr>
              <w:t>Q</w:t>
            </w:r>
            <w:r>
              <w:rPr>
                <w:sz w:val="20"/>
                <w:szCs w:val="20"/>
                <w:lang w:eastAsia="es-ES"/>
              </w:rPr>
              <w:t xml:space="preserve"> </w:t>
            </w:r>
            <w:r>
              <w:rPr>
                <w:i/>
                <w:sz w:val="20"/>
                <w:szCs w:val="20"/>
                <w:lang w:eastAsia="es-ES"/>
              </w:rPr>
              <w:t>S</w:t>
            </w:r>
            <w:r>
              <w:rPr>
                <w:i/>
                <w:sz w:val="20"/>
                <w:szCs w:val="20"/>
                <w:vertAlign w:val="superscript"/>
                <w:lang w:eastAsia="es-ES"/>
              </w:rPr>
              <w:t>Estructura</w:t>
            </w:r>
          </w:p>
        </w:tc>
        <w:tc>
          <w:tcPr>
            <w:tcW w:w="709" w:type="dxa"/>
            <w:tcBorders>
              <w:top w:val="single" w:sz="8" w:space="0" w:color="00000A"/>
              <w:bottom w:val="single" w:sz="8" w:space="0" w:color="00000A"/>
              <w:insideH w:val="single" w:sz="8" w:space="0" w:color="00000A"/>
            </w:tcBorders>
            <w:shd w:color="auto" w:fill="auto" w:val="clear"/>
          </w:tcPr>
          <w:p>
            <w:pPr>
              <w:pStyle w:val="Normal"/>
              <w:spacing w:before="80" w:after="60"/>
              <w:jc w:val="center"/>
              <w:rPr>
                <w:i/>
                <w:i/>
                <w:sz w:val="20"/>
                <w:szCs w:val="20"/>
                <w:lang w:eastAsia="es-ES"/>
              </w:rPr>
            </w:pPr>
            <w:r>
              <w:rPr>
                <w:i/>
                <w:sz w:val="20"/>
                <w:szCs w:val="20"/>
                <w:lang w:eastAsia="es-ES"/>
              </w:rPr>
              <w:t>S</w:t>
            </w:r>
            <w:r>
              <w:rPr>
                <w:i/>
                <w:sz w:val="20"/>
                <w:szCs w:val="20"/>
                <w:vertAlign w:val="superscript"/>
                <w:lang w:eastAsia="es-ES"/>
              </w:rPr>
              <w:t>Valor</w:t>
            </w:r>
          </w:p>
        </w:tc>
        <w:tc>
          <w:tcPr>
            <w:tcW w:w="5106" w:type="dxa"/>
            <w:tcBorders>
              <w:top w:val="single" w:sz="8" w:space="0" w:color="00000A"/>
              <w:bottom w:val="single" w:sz="8" w:space="0" w:color="00000A"/>
              <w:insideH w:val="single" w:sz="8" w:space="0" w:color="00000A"/>
            </w:tcBorders>
            <w:shd w:color="auto" w:fill="auto" w:val="clear"/>
            <w:vAlign w:val="center"/>
          </w:tcPr>
          <w:p>
            <w:pPr>
              <w:pStyle w:val="Normal"/>
              <w:spacing w:before="80" w:after="60"/>
              <w:jc w:val="center"/>
              <w:rPr>
                <w:sz w:val="20"/>
                <w:szCs w:val="20"/>
                <w:lang w:eastAsia="es-ES"/>
              </w:rPr>
            </w:pPr>
            <w:r>
              <w:rPr>
                <w:sz w:val="20"/>
                <w:szCs w:val="20"/>
                <w:lang w:eastAsia="es-ES"/>
              </w:rPr>
              <w:t>Resúmenes sencillos orientados a valores</w:t>
            </w:r>
          </w:p>
        </w:tc>
      </w:tr>
      <w:tr>
        <w:trPr>
          <w:trHeight w:val="264" w:hRule="atLeast"/>
        </w:trPr>
        <w:tc>
          <w:tcPr>
            <w:tcW w:w="621" w:type="dxa"/>
            <w:tcBorders>
              <w:top w:val="single" w:sz="8" w:space="0" w:color="00000A"/>
              <w:bottom w:val="single" w:sz="8" w:space="0" w:color="00000A"/>
              <w:insideH w:val="single" w:sz="8" w:space="0" w:color="00000A"/>
            </w:tcBorders>
            <w:shd w:color="auto" w:fill="auto" w:val="clear"/>
            <w:vAlign w:val="center"/>
          </w:tcPr>
          <w:p>
            <w:pPr>
              <w:pStyle w:val="Normal"/>
              <w:spacing w:before="80" w:after="60"/>
              <w:jc w:val="center"/>
              <w:rPr>
                <w:sz w:val="20"/>
                <w:szCs w:val="20"/>
                <w:lang w:eastAsia="es-ES"/>
              </w:rPr>
            </w:pPr>
            <w:r>
              <w:rPr>
                <w:sz w:val="20"/>
                <w:szCs w:val="20"/>
                <w:lang w:eastAsia="es-ES"/>
              </w:rPr>
              <w:t>4</w:t>
            </w:r>
          </w:p>
        </w:tc>
        <w:tc>
          <w:tcPr>
            <w:tcW w:w="1360" w:type="dxa"/>
            <w:tcBorders>
              <w:top w:val="single" w:sz="8" w:space="0" w:color="00000A"/>
              <w:bottom w:val="single" w:sz="8" w:space="0" w:color="00000A"/>
              <w:insideH w:val="single" w:sz="8" w:space="0" w:color="00000A"/>
            </w:tcBorders>
            <w:shd w:color="auto" w:fill="auto" w:val="clear"/>
          </w:tcPr>
          <w:p>
            <w:pPr>
              <w:pStyle w:val="Normal"/>
              <w:spacing w:before="80" w:after="60"/>
              <w:jc w:val="center"/>
              <w:rPr>
                <w:sz w:val="20"/>
                <w:szCs w:val="20"/>
                <w:lang w:eastAsia="es-ES"/>
              </w:rPr>
            </w:pPr>
            <w:r>
              <w:rPr>
                <w:i/>
                <w:sz w:val="20"/>
                <w:szCs w:val="20"/>
                <w:lang w:eastAsia="es-ES"/>
              </w:rPr>
              <w:t xml:space="preserve">QRy’s </w:t>
            </w:r>
            <w:r>
              <w:rPr>
                <w:sz w:val="20"/>
                <w:szCs w:val="20"/>
                <w:lang w:eastAsia="es-ES"/>
              </w:rPr>
              <w:t xml:space="preserve">are </w:t>
            </w:r>
            <w:r>
              <w:rPr>
                <w:i/>
                <w:sz w:val="20"/>
                <w:szCs w:val="20"/>
                <w:lang w:eastAsia="es-ES"/>
              </w:rPr>
              <w:t>S</w:t>
            </w:r>
          </w:p>
        </w:tc>
        <w:tc>
          <w:tcPr>
            <w:tcW w:w="1418" w:type="dxa"/>
            <w:tcBorders>
              <w:top w:val="single" w:sz="8" w:space="0" w:color="00000A"/>
              <w:bottom w:val="single" w:sz="8" w:space="0" w:color="00000A"/>
              <w:insideH w:val="single" w:sz="8" w:space="0" w:color="00000A"/>
            </w:tcBorders>
            <w:shd w:color="auto" w:fill="auto" w:val="clear"/>
            <w:vAlign w:val="center"/>
          </w:tcPr>
          <w:p>
            <w:pPr>
              <w:pStyle w:val="Normal"/>
              <w:spacing w:before="80" w:after="60"/>
              <w:jc w:val="center"/>
              <w:rPr>
                <w:sz w:val="20"/>
                <w:szCs w:val="20"/>
                <w:vertAlign w:val="superscript"/>
                <w:lang w:eastAsia="es-ES"/>
              </w:rPr>
            </w:pPr>
            <w:r>
              <w:rPr>
                <w:i/>
                <w:sz w:val="20"/>
                <w:szCs w:val="20"/>
                <w:lang w:eastAsia="es-ES"/>
              </w:rPr>
              <w:t>Q S</w:t>
            </w:r>
            <w:r>
              <w:rPr>
                <w:i/>
                <w:sz w:val="20"/>
                <w:szCs w:val="20"/>
                <w:vertAlign w:val="superscript"/>
                <w:lang w:eastAsia="es-ES"/>
              </w:rPr>
              <w:t>Estructura</w:t>
            </w:r>
            <w:r>
              <w:rPr>
                <w:sz w:val="20"/>
                <w:szCs w:val="20"/>
                <w:lang w:eastAsia="es-ES"/>
              </w:rPr>
              <w:t xml:space="preserve">, </w:t>
            </w:r>
            <w:r>
              <w:rPr>
                <w:i/>
                <w:sz w:val="20"/>
                <w:szCs w:val="20"/>
                <w:lang w:eastAsia="es-ES"/>
              </w:rPr>
              <w:t>R</w:t>
            </w:r>
          </w:p>
        </w:tc>
        <w:tc>
          <w:tcPr>
            <w:tcW w:w="709" w:type="dxa"/>
            <w:tcBorders>
              <w:top w:val="single" w:sz="8" w:space="0" w:color="00000A"/>
              <w:bottom w:val="single" w:sz="8" w:space="0" w:color="00000A"/>
              <w:insideH w:val="single" w:sz="8" w:space="0" w:color="00000A"/>
            </w:tcBorders>
            <w:shd w:color="auto" w:fill="auto" w:val="clear"/>
          </w:tcPr>
          <w:p>
            <w:pPr>
              <w:pStyle w:val="Normal"/>
              <w:spacing w:before="80" w:after="60"/>
              <w:jc w:val="center"/>
              <w:rPr>
                <w:i/>
                <w:i/>
                <w:sz w:val="20"/>
                <w:szCs w:val="20"/>
                <w:vertAlign w:val="superscript"/>
                <w:lang w:eastAsia="es-ES"/>
              </w:rPr>
            </w:pPr>
            <w:r>
              <w:rPr>
                <w:i/>
                <w:sz w:val="20"/>
                <w:szCs w:val="20"/>
                <w:lang w:eastAsia="es-ES"/>
              </w:rPr>
              <w:t>S</w:t>
            </w:r>
            <w:r>
              <w:rPr>
                <w:i/>
                <w:sz w:val="20"/>
                <w:szCs w:val="20"/>
                <w:vertAlign w:val="superscript"/>
                <w:lang w:eastAsia="es-ES"/>
              </w:rPr>
              <w:t>Valor</w:t>
            </w:r>
          </w:p>
        </w:tc>
        <w:tc>
          <w:tcPr>
            <w:tcW w:w="5106" w:type="dxa"/>
            <w:tcBorders>
              <w:top w:val="single" w:sz="8" w:space="0" w:color="00000A"/>
              <w:bottom w:val="single" w:sz="8" w:space="0" w:color="00000A"/>
              <w:insideH w:val="single" w:sz="8" w:space="0" w:color="00000A"/>
            </w:tcBorders>
            <w:shd w:color="auto" w:fill="auto" w:val="clear"/>
            <w:vAlign w:val="center"/>
          </w:tcPr>
          <w:p>
            <w:pPr>
              <w:pStyle w:val="Normal"/>
              <w:spacing w:before="80" w:after="60"/>
              <w:jc w:val="center"/>
              <w:rPr>
                <w:sz w:val="20"/>
                <w:szCs w:val="20"/>
                <w:lang w:eastAsia="es-ES"/>
              </w:rPr>
            </w:pPr>
            <w:r>
              <w:rPr>
                <w:sz w:val="20"/>
                <w:szCs w:val="20"/>
                <w:lang w:eastAsia="es-ES"/>
              </w:rPr>
              <w:t>Resúmenes orientados a valores condicionales</w:t>
            </w:r>
          </w:p>
        </w:tc>
      </w:tr>
      <w:tr>
        <w:trPr>
          <w:trHeight w:val="278" w:hRule="atLeast"/>
        </w:trPr>
        <w:tc>
          <w:tcPr>
            <w:tcW w:w="621" w:type="dxa"/>
            <w:tcBorders>
              <w:top w:val="single" w:sz="8" w:space="0" w:color="00000A"/>
              <w:bottom w:val="single" w:sz="8" w:space="0" w:color="00000A"/>
              <w:insideH w:val="single" w:sz="8" w:space="0" w:color="00000A"/>
            </w:tcBorders>
            <w:shd w:color="auto" w:fill="auto" w:val="clear"/>
            <w:vAlign w:val="center"/>
          </w:tcPr>
          <w:p>
            <w:pPr>
              <w:pStyle w:val="Normal"/>
              <w:spacing w:before="80" w:after="60"/>
              <w:jc w:val="center"/>
              <w:rPr>
                <w:sz w:val="20"/>
                <w:szCs w:val="20"/>
                <w:lang w:eastAsia="es-ES"/>
              </w:rPr>
            </w:pPr>
            <w:r>
              <w:rPr>
                <w:sz w:val="20"/>
                <w:szCs w:val="20"/>
                <w:lang w:eastAsia="es-ES"/>
              </w:rPr>
              <w:t>5</w:t>
            </w:r>
          </w:p>
        </w:tc>
        <w:tc>
          <w:tcPr>
            <w:tcW w:w="1360" w:type="dxa"/>
            <w:tcBorders>
              <w:top w:val="single" w:sz="8" w:space="0" w:color="00000A"/>
              <w:bottom w:val="single" w:sz="8" w:space="0" w:color="00000A"/>
              <w:insideH w:val="single" w:sz="8" w:space="0" w:color="00000A"/>
            </w:tcBorders>
            <w:shd w:color="auto" w:fill="auto" w:val="clear"/>
          </w:tcPr>
          <w:p>
            <w:pPr>
              <w:pStyle w:val="Normal"/>
              <w:spacing w:before="80" w:after="60"/>
              <w:jc w:val="center"/>
              <w:rPr>
                <w:sz w:val="20"/>
                <w:szCs w:val="20"/>
                <w:lang w:eastAsia="es-ES"/>
              </w:rPr>
            </w:pPr>
            <w:r>
              <w:rPr>
                <w:i/>
                <w:sz w:val="20"/>
                <w:szCs w:val="20"/>
                <w:lang w:eastAsia="es-ES"/>
              </w:rPr>
              <w:t xml:space="preserve">QRy’s </w:t>
            </w:r>
            <w:r>
              <w:rPr>
                <w:sz w:val="20"/>
                <w:szCs w:val="20"/>
                <w:lang w:eastAsia="es-ES"/>
              </w:rPr>
              <w:t xml:space="preserve">are </w:t>
            </w:r>
            <w:r>
              <w:rPr>
                <w:i/>
                <w:sz w:val="20"/>
                <w:szCs w:val="20"/>
                <w:lang w:eastAsia="es-ES"/>
              </w:rPr>
              <w:t>S</w:t>
            </w:r>
          </w:p>
        </w:tc>
        <w:tc>
          <w:tcPr>
            <w:tcW w:w="1418" w:type="dxa"/>
            <w:tcBorders>
              <w:top w:val="single" w:sz="8" w:space="0" w:color="00000A"/>
              <w:bottom w:val="single" w:sz="8" w:space="0" w:color="00000A"/>
              <w:insideH w:val="single" w:sz="8" w:space="0" w:color="00000A"/>
            </w:tcBorders>
            <w:shd w:color="auto" w:fill="auto" w:val="clear"/>
            <w:vAlign w:val="center"/>
          </w:tcPr>
          <w:p>
            <w:pPr>
              <w:pStyle w:val="Normal"/>
              <w:spacing w:before="80" w:after="60"/>
              <w:jc w:val="center"/>
              <w:rPr>
                <w:sz w:val="20"/>
                <w:szCs w:val="20"/>
                <w:lang w:eastAsia="es-ES"/>
              </w:rPr>
            </w:pPr>
            <w:r>
              <w:rPr>
                <w:sz w:val="20"/>
                <w:szCs w:val="20"/>
                <w:lang w:eastAsia="es-ES"/>
              </w:rPr>
              <w:t> </w:t>
            </w:r>
            <w:r>
              <w:rPr>
                <w:sz w:val="20"/>
                <w:szCs w:val="20"/>
                <w:lang w:eastAsia="es-ES"/>
              </w:rPr>
              <w:t>Nada</w:t>
            </w:r>
          </w:p>
        </w:tc>
        <w:tc>
          <w:tcPr>
            <w:tcW w:w="709" w:type="dxa"/>
            <w:tcBorders>
              <w:top w:val="single" w:sz="8" w:space="0" w:color="00000A"/>
              <w:bottom w:val="single" w:sz="8" w:space="0" w:color="00000A"/>
              <w:insideH w:val="single" w:sz="8" w:space="0" w:color="00000A"/>
            </w:tcBorders>
            <w:shd w:color="auto" w:fill="auto" w:val="clear"/>
          </w:tcPr>
          <w:p>
            <w:pPr>
              <w:pStyle w:val="Normal"/>
              <w:spacing w:before="80" w:after="60"/>
              <w:jc w:val="center"/>
              <w:rPr>
                <w:i/>
                <w:i/>
                <w:sz w:val="20"/>
                <w:szCs w:val="20"/>
                <w:lang w:eastAsia="es-ES"/>
              </w:rPr>
            </w:pPr>
            <w:r>
              <w:rPr>
                <w:i/>
                <w:sz w:val="20"/>
                <w:szCs w:val="20"/>
                <w:lang w:eastAsia="es-ES"/>
              </w:rPr>
              <w:t>Q R S</w:t>
            </w:r>
          </w:p>
        </w:tc>
        <w:tc>
          <w:tcPr>
            <w:tcW w:w="5106" w:type="dxa"/>
            <w:tcBorders>
              <w:top w:val="single" w:sz="8" w:space="0" w:color="00000A"/>
              <w:bottom w:val="single" w:sz="8" w:space="0" w:color="00000A"/>
              <w:insideH w:val="single" w:sz="8" w:space="0" w:color="00000A"/>
            </w:tcBorders>
            <w:shd w:color="auto" w:fill="auto" w:val="clear"/>
            <w:vAlign w:val="center"/>
          </w:tcPr>
          <w:p>
            <w:pPr>
              <w:pStyle w:val="Normal"/>
              <w:spacing w:before="80" w:after="60"/>
              <w:jc w:val="center"/>
              <w:rPr>
                <w:sz w:val="20"/>
                <w:szCs w:val="20"/>
                <w:lang w:eastAsia="es-ES"/>
              </w:rPr>
            </w:pPr>
            <w:r>
              <w:rPr>
                <w:sz w:val="20"/>
                <w:szCs w:val="20"/>
                <w:lang w:eastAsia="es-ES"/>
              </w:rPr>
              <w:t xml:space="preserve">Reglas difusas generales </w:t>
            </w:r>
          </w:p>
        </w:tc>
      </w:tr>
    </w:tbl>
    <w:p>
      <w:pPr>
        <w:pStyle w:val="Normal"/>
        <w:rPr/>
      </w:pPr>
      <w:r>
        <w:rPr/>
        <w:t xml:space="preserve">En estas protoformas se establecen jerarquías donde se transita por los niveles de mayor a menor abstracción y se caracterizan por los siguientes elementos </w:t>
      </w:r>
      <w:r>
        <w:fldChar w:fldCharType="begin"/>
      </w:r>
      <w:r>
        <w:instrText>ADDIN ZOTERO_ITEM CSL_CITATION {"citationID":"KmTCA9jf","properties":{"formattedCitation":"(Zadeh 1983)","plainCitation":"(Zadeh 1983)","noteIndex":0},"citationItems":[{"id":"NJclqhNX/oiCPLXAg","uris":["http://zotero.org/users/local/rsuvzjK6/items/JNTI42JZ"],"uri":["http://zotero.org/users/local/rsuvzjK6/items/JNTI42JZ"],"itemData":{"id":16,"type":"article-journal","title":"A computational approach to fuzzy quantifiers in natural languages","container-title":"Computers &amp; Mathematics with applications","page":"149–184","volume":"9","issue":"1","author":[{"family":"Zadeh","given":"Lotfi A"}],"issued":{"date-parts":[["1983"]]}}}],"schema":"https://github.com/citation-style-language/schema/raw/master/csl-citation.json"}</w:instrText>
      </w:r>
      <w:r>
        <w:fldChar w:fldCharType="separate"/>
      </w:r>
      <w:bookmarkStart w:id="352" w:name="__Fieldmark__3647_2067855929"/>
      <w:r>
        <w:rPr/>
        <w:t>(</w:t>
      </w:r>
      <w:bookmarkStart w:id="353" w:name="__Fieldmark__3220_498839314"/>
      <w:r>
        <w:rPr/>
        <w:t>Z</w:t>
      </w:r>
      <w:bookmarkStart w:id="354" w:name="__Fieldmark__2963_998588997"/>
      <w:r>
        <w:rPr/>
        <w:t>a</w:t>
      </w:r>
      <w:bookmarkStart w:id="355" w:name="__Fieldmark__5392_118561941"/>
      <w:r>
        <w:rPr/>
        <w:t>deh 1983)</w:t>
      </w:r>
      <w:r>
        <w:rPr/>
      </w:r>
      <w:r>
        <w:fldChar w:fldCharType="end"/>
      </w:r>
      <w:bookmarkEnd w:id="352"/>
      <w:bookmarkEnd w:id="353"/>
      <w:bookmarkEnd w:id="354"/>
      <w:bookmarkEnd w:id="355"/>
      <w:r>
        <w:rPr/>
        <w:t xml:space="preserve"> </w:t>
      </w:r>
      <w:r>
        <w:fldChar w:fldCharType="begin"/>
      </w:r>
      <w:r>
        <w:instrText>ADDIN ZOTERO_ITEM CSL_CITATION {"citationID":"asdu4krmo","properties":{"formattedCitation":"(Kacprzyk, Janusz y Zadro\\uc0\\u380{}ny 2005)","plainCitation":"(Kacprzyk, Janusz y Zadrożny 2005)","noteIndex":0},"citationItems":[{"id":4,"uris":["http://zotero.org/users/local/EJ15hJE2/items/4K2AX2GP"],"uri":["http://zotero.org/users/local/EJ15hJE2/items/4K2AX2GP"],"itemData":{"id":4,"type":"article-journal","container-title":"Information Sciences","DOI":"10.1016/j.ins.2005.03.002","issue":"4","page":"281–304","title":"Linguistic database summaries and their protoforms: towards natural language based knowledge discovery tools","volume":"173","author":[{"family":"Kacprzyk","given":"Janusz"},{"family":"Zadrożny","given":"Sławomir"}],"issued":{"date-parts":[["2005"]]}}}],"schema":"https://github.com/citation-style-language/schema/raw/master/csl-citation.json"}</w:instrText>
      </w:r>
      <w:r>
        <w:fldChar w:fldCharType="separate"/>
      </w:r>
      <w:bookmarkStart w:id="356" w:name="__Fieldmark__3662_2067855929"/>
      <w:r>
        <w:rPr/>
      </w:r>
      <w:r>
        <w:rPr>
          <w:szCs w:val="24"/>
        </w:rPr>
        <w:t>(</w:t>
      </w:r>
      <w:bookmarkStart w:id="357" w:name="__Fieldmark__3231_498839314"/>
      <w:r>
        <w:rPr>
          <w:szCs w:val="24"/>
        </w:rPr>
        <w:t>K</w:t>
      </w:r>
      <w:bookmarkStart w:id="358" w:name="__Fieldmark__2970_998588997"/>
      <w:r>
        <w:rPr>
          <w:szCs w:val="24"/>
        </w:rPr>
        <w:t>a</w:t>
      </w:r>
      <w:bookmarkStart w:id="359" w:name="__Fieldmark__5397_118561941"/>
      <w:r>
        <w:rPr>
          <w:szCs w:val="24"/>
        </w:rPr>
        <w:t>cprzyk, Janusz y Zadrożny 2005)</w:t>
      </w:r>
      <w:r>
        <w:rPr/>
      </w:r>
      <w:r>
        <w:fldChar w:fldCharType="end"/>
      </w:r>
      <w:bookmarkEnd w:id="356"/>
      <w:bookmarkEnd w:id="357"/>
      <w:bookmarkEnd w:id="358"/>
      <w:bookmarkEnd w:id="359"/>
      <w:r>
        <w:rPr/>
        <w:t>:</w:t>
      </w:r>
    </w:p>
    <w:p>
      <w:pPr>
        <w:pStyle w:val="ListParagraph"/>
        <w:numPr>
          <w:ilvl w:val="0"/>
          <w:numId w:val="54"/>
        </w:numPr>
        <w:suppressAutoHyphens w:val="false"/>
        <w:overflowPunct w:val="true"/>
        <w:spacing w:before="0" w:after="0"/>
        <w:contextualSpacing/>
        <w:textAlignment w:val="auto"/>
        <w:rPr>
          <w:rFonts w:cs="Arial"/>
        </w:rPr>
      </w:pPr>
      <w:r>
        <w:rPr>
          <w:rFonts w:cs="Arial"/>
        </w:rPr>
        <w:t xml:space="preserve">El término </w:t>
      </w:r>
      <w:r>
        <w:rPr>
          <w:rFonts w:cs="Arial"/>
          <w:i/>
          <w:lang w:eastAsia="es-ES"/>
        </w:rPr>
        <w:t>S</w:t>
      </w:r>
      <w:r>
        <w:rPr>
          <w:rFonts w:cs="Arial"/>
          <w:i/>
          <w:vertAlign w:val="superscript"/>
          <w:lang w:eastAsia="es-ES"/>
        </w:rPr>
        <w:t>Estructura</w:t>
      </w:r>
      <w:r>
        <w:rPr>
          <w:rFonts w:cs="Arial"/>
        </w:rPr>
        <w:t xml:space="preserve"> significa que en el resumen </w:t>
      </w:r>
      <w:r>
        <w:rPr>
          <w:rFonts w:cs="Arial"/>
          <w:lang w:val="es-ES"/>
        </w:rPr>
        <w:t>se conocen las</w:t>
      </w:r>
      <w:r>
        <w:rPr>
          <w:rFonts w:cs="Arial"/>
        </w:rPr>
        <w:t xml:space="preserve"> variables </w:t>
      </w:r>
      <w:r>
        <w:rPr>
          <w:rFonts w:cs="Arial"/>
          <w:lang w:val="es-ES"/>
        </w:rPr>
        <w:t xml:space="preserve">que lo </w:t>
      </w:r>
      <w:r>
        <w:rPr>
          <w:rFonts w:cs="Arial"/>
        </w:rPr>
        <w:t xml:space="preserve">conforman; mientras que </w:t>
      </w:r>
      <w:r>
        <w:rPr>
          <w:rFonts w:cs="Arial"/>
          <w:i/>
          <w:lang w:eastAsia="es-ES"/>
        </w:rPr>
        <w:t>S</w:t>
      </w:r>
      <w:r>
        <w:rPr>
          <w:rFonts w:cs="Arial"/>
          <w:i/>
          <w:vertAlign w:val="superscript"/>
          <w:lang w:eastAsia="es-ES"/>
        </w:rPr>
        <w:t>Valor</w:t>
      </w:r>
      <w:r>
        <w:rPr>
          <w:rFonts w:cs="Arial"/>
        </w:rPr>
        <w:t xml:space="preserve"> denota que se desconoce el valor del sumarizador.</w:t>
      </w:r>
    </w:p>
    <w:p>
      <w:pPr>
        <w:pStyle w:val="ListParagraph"/>
        <w:numPr>
          <w:ilvl w:val="0"/>
          <w:numId w:val="54"/>
        </w:numPr>
        <w:suppressAutoHyphens w:val="false"/>
        <w:overflowPunct w:val="true"/>
        <w:spacing w:before="0" w:after="0"/>
        <w:contextualSpacing/>
        <w:textAlignment w:val="auto"/>
        <w:rPr>
          <w:rFonts w:cs="Arial"/>
        </w:rPr>
      </w:pPr>
      <w:r>
        <w:rPr>
          <w:rFonts w:cs="Arial"/>
        </w:rPr>
        <w:t xml:space="preserve">Protoforma 0: responde a la estructura </w:t>
      </w:r>
      <w:r>
        <w:rPr>
          <w:rFonts w:cs="Arial"/>
          <w:i/>
        </w:rPr>
        <w:t>QRy’s are S</w:t>
      </w:r>
      <w:r>
        <w:rPr>
          <w:rFonts w:cs="Arial"/>
        </w:rPr>
        <w:t xml:space="preserve">. Es la de menor nivel de abstracción, pues se asume que todos los elementos que conforman el resumen son conocidos. Lo que se desea conocer es su grado de verdad </w:t>
      </w:r>
      <w:r>
        <w:rPr>
          <w:rFonts w:cs="Arial"/>
          <w:i/>
        </w:rPr>
        <w:t>T</w:t>
      </w:r>
      <w:r>
        <w:rPr>
          <w:rFonts w:cs="Arial"/>
        </w:rPr>
        <w:t>.</w:t>
      </w:r>
    </w:p>
    <w:p>
      <w:pPr>
        <w:pStyle w:val="ListParagraph"/>
        <w:numPr>
          <w:ilvl w:val="0"/>
          <w:numId w:val="54"/>
        </w:numPr>
        <w:suppressAutoHyphens w:val="false"/>
        <w:overflowPunct w:val="true"/>
        <w:spacing w:before="0" w:after="0"/>
        <w:contextualSpacing/>
        <w:textAlignment w:val="auto"/>
        <w:rPr/>
      </w:pPr>
      <w:r>
        <w:rPr>
          <w:rFonts w:cs="Arial"/>
        </w:rPr>
        <w:t xml:space="preserve">Protoforma 1: estructura </w:t>
      </w:r>
      <w:r>
        <w:rPr>
          <w:rFonts w:cs="Arial"/>
          <w:i/>
        </w:rPr>
        <w:t>Qy’s are S</w:t>
      </w:r>
      <w:r>
        <w:rPr>
          <w:rFonts w:cs="Arial"/>
        </w:rPr>
        <w:t>, se conoce el sumarizador (</w:t>
      </w:r>
      <w:r>
        <w:rPr>
          <w:rFonts w:cs="Arial"/>
          <w:i/>
        </w:rPr>
        <w:t>S</w:t>
      </w:r>
      <w:r>
        <w:rPr>
          <w:rFonts w:cs="Arial"/>
        </w:rPr>
        <w:t>) y se quiere descubrir el cuantificador (</w:t>
      </w:r>
      <w:r>
        <w:rPr>
          <w:rFonts w:cs="Arial"/>
          <w:i/>
        </w:rPr>
        <w:t>Q</w:t>
      </w:r>
      <w:r>
        <w:rPr>
          <w:rFonts w:cs="Arial"/>
        </w:rPr>
        <w:t xml:space="preserve">). </w:t>
      </w:r>
      <w:r>
        <w:rPr>
          <w:rFonts w:cs="Arial"/>
          <w:lang w:val="es-ES"/>
        </w:rPr>
        <w:t>L</w:t>
      </w:r>
      <w:r>
        <w:rPr>
          <w:rFonts w:cs="Arial"/>
        </w:rPr>
        <w:t xml:space="preserve">as protoformas 1 y 2 pueden generar resúmenes a partir de sentencias SQL </w:t>
      </w:r>
      <w:r>
        <w:rPr>
          <w:rFonts w:cs="Arial"/>
          <w:lang w:val="es-ES"/>
        </w:rPr>
        <w:t xml:space="preserve">o de </w:t>
      </w:r>
      <w:r>
        <w:rPr>
          <w:rFonts w:cs="Arial"/>
        </w:rPr>
        <w:t xml:space="preserve">sus </w:t>
      </w:r>
      <w:r>
        <w:rPr>
          <w:rFonts w:cs="Arial"/>
          <w:lang w:val="es-ES"/>
        </w:rPr>
        <w:t xml:space="preserve">disímiles </w:t>
      </w:r>
      <w:r>
        <w:rPr>
          <w:rFonts w:cs="Arial"/>
        </w:rPr>
        <w:t>extensiones</w:t>
      </w:r>
      <w:r>
        <w:rPr>
          <w:rFonts w:cs="Arial"/>
          <w:lang w:val="es-ES"/>
        </w:rPr>
        <w:t xml:space="preserve"> </w:t>
      </w:r>
      <w:r>
        <w:fldChar w:fldCharType="begin"/>
      </w:r>
      <w:r>
        <w:instrText>ADDIN ZOTERO_ITEM CSL_CITATION {"citationID":"SyYFW0Xf","properties":{"formattedCitation":"(Kacprzyk y Zadro\\uc0\\u380{}ny 2000)","plainCitation":"(Kacprzyk y Zadrożny 2000)","noteIndex":0},"citationItems":[{"id":"NJclqhNX/R1euJRME","uris":["http://zotero.org/users/local/rsuvzjK6/items/HEBPVMMX"],"uri":["http://zotero.org/users/local/rsuvzjK6/items/HEBPVMMX"],"itemData":{"id":18,"type":"article-journal","container-title":"Kybernetika","issue":"6","page":"657–670","title":"On a fuzzy querying and data mining interface","volume":"36","author":[{"family":"Kacprzyk","given":"Janusz"},{"family":"Zadrożny","given":"S\\lawomir"}],"issued":{"date-parts":[["2000"]]}}}],"schema":"https://github.com/citation-style-language/schema/raw/master/csl-citation.json"}</w:instrText>
      </w:r>
      <w:r>
        <w:fldChar w:fldCharType="separate"/>
      </w:r>
      <w:bookmarkStart w:id="360" w:name="__Fieldmark__3783_2067855929"/>
      <w:r>
        <w:rPr>
          <w:rFonts w:cs="Arial"/>
          <w:lang w:val="es-ES"/>
        </w:rPr>
      </w:r>
      <w:r>
        <w:rPr>
          <w:rFonts w:cs="Arial"/>
          <w:szCs w:val="24"/>
          <w:lang w:val="es-ES"/>
        </w:rPr>
        <w:t>(</w:t>
      </w:r>
      <w:bookmarkStart w:id="361" w:name="__Fieldmark__3344_498839314"/>
      <w:r>
        <w:rPr>
          <w:rFonts w:cs="Arial"/>
          <w:szCs w:val="24"/>
          <w:lang w:val="es-ES"/>
        </w:rPr>
        <w:t>K</w:t>
      </w:r>
      <w:bookmarkStart w:id="362" w:name="__Fieldmark__3079_998588997"/>
      <w:r>
        <w:rPr>
          <w:rFonts w:cs="Arial"/>
          <w:szCs w:val="24"/>
          <w:lang w:val="es-ES"/>
        </w:rPr>
        <w:t>a</w:t>
      </w:r>
      <w:bookmarkStart w:id="363" w:name="__Fieldmark__5504_118561941"/>
      <w:r>
        <w:rPr>
          <w:rFonts w:cs="Arial"/>
          <w:szCs w:val="24"/>
          <w:lang w:val="es-ES"/>
        </w:rPr>
        <w:t>cprzyk y Zadrożny 2000)</w:t>
      </w:r>
      <w:r>
        <w:rPr>
          <w:rFonts w:cs="Arial"/>
          <w:lang w:val="es-ES"/>
        </w:rPr>
      </w:r>
      <w:r>
        <w:fldChar w:fldCharType="end"/>
      </w:r>
      <w:bookmarkEnd w:id="360"/>
      <w:bookmarkEnd w:id="361"/>
      <w:bookmarkEnd w:id="362"/>
      <w:bookmarkEnd w:id="363"/>
      <w:r>
        <w:rPr/>
        <w:t>.</w:t>
      </w:r>
    </w:p>
    <w:p>
      <w:pPr>
        <w:pStyle w:val="ListParagraph"/>
        <w:numPr>
          <w:ilvl w:val="0"/>
          <w:numId w:val="54"/>
        </w:numPr>
        <w:suppressAutoHyphens w:val="false"/>
        <w:overflowPunct w:val="true"/>
        <w:spacing w:before="0" w:after="0"/>
        <w:contextualSpacing/>
        <w:textAlignment w:val="auto"/>
        <w:rPr>
          <w:rFonts w:cs="Arial"/>
        </w:rPr>
      </w:pPr>
      <w:r>
        <w:rPr>
          <w:rFonts w:cs="Arial"/>
        </w:rPr>
        <w:t xml:space="preserve">Protoforma 2: estructura </w:t>
      </w:r>
      <w:r>
        <w:rPr>
          <w:rFonts w:cs="Arial"/>
          <w:i/>
        </w:rPr>
        <w:t>QRy’s are S</w:t>
      </w:r>
      <w:r>
        <w:rPr>
          <w:rFonts w:cs="Arial"/>
        </w:rPr>
        <w:t>, se conocen el sumarizador (</w:t>
      </w:r>
      <w:r>
        <w:rPr>
          <w:rFonts w:cs="Arial"/>
          <w:i/>
        </w:rPr>
        <w:t>S</w:t>
      </w:r>
      <w:r>
        <w:rPr>
          <w:rFonts w:cs="Arial"/>
        </w:rPr>
        <w:t>) y el filtro</w:t>
      </w:r>
      <w:r>
        <w:rPr>
          <w:rFonts w:cs="Arial"/>
          <w:i/>
        </w:rPr>
        <w:t xml:space="preserve"> </w:t>
      </w:r>
      <w:r>
        <w:rPr>
          <w:rFonts w:cs="Arial"/>
        </w:rPr>
        <w:t>(</w:t>
      </w:r>
      <w:r>
        <w:rPr>
          <w:rFonts w:cs="Arial"/>
          <w:i/>
        </w:rPr>
        <w:t>R</w:t>
      </w:r>
      <w:r>
        <w:rPr>
          <w:rFonts w:cs="Arial"/>
        </w:rPr>
        <w:t>),</w:t>
      </w:r>
      <w:r>
        <w:rPr>
          <w:rFonts w:cs="Arial"/>
          <w:i/>
        </w:rPr>
        <w:t xml:space="preserve"> </w:t>
      </w:r>
      <w:r>
        <w:rPr>
          <w:rFonts w:cs="Arial"/>
        </w:rPr>
        <w:t>se desea</w:t>
      </w:r>
      <w:r>
        <w:rPr>
          <w:rFonts w:cs="Arial"/>
          <w:i/>
        </w:rPr>
        <w:t xml:space="preserve"> </w:t>
      </w:r>
      <w:r>
        <w:rPr>
          <w:rFonts w:cs="Arial"/>
        </w:rPr>
        <w:t>descubrir el cuantificador (</w:t>
      </w:r>
      <w:r>
        <w:rPr>
          <w:rFonts w:cs="Arial"/>
          <w:i/>
        </w:rPr>
        <w:t>Q</w:t>
      </w:r>
      <w:r>
        <w:rPr>
          <w:rFonts w:cs="Arial"/>
        </w:rPr>
        <w:t>)</w:t>
      </w:r>
      <w:r>
        <w:rPr>
          <w:rFonts w:cs="Arial"/>
          <w:i/>
        </w:rPr>
        <w:t xml:space="preserve">. </w:t>
      </w:r>
      <w:r>
        <w:rPr>
          <w:rFonts w:cs="Arial"/>
        </w:rPr>
        <w:t>Al igual que</w:t>
      </w:r>
      <w:r>
        <w:rPr>
          <w:rFonts w:cs="Arial"/>
          <w:i/>
        </w:rPr>
        <w:t xml:space="preserve"> </w:t>
      </w:r>
      <w:r>
        <w:rPr>
          <w:rFonts w:cs="Arial"/>
        </w:rPr>
        <w:t>en las protoformas 0 y 1, estos resúmenes pueden ser obtenidos a través de consultas a la base de datos.</w:t>
      </w:r>
    </w:p>
    <w:p>
      <w:pPr>
        <w:pStyle w:val="ListParagraph"/>
        <w:numPr>
          <w:ilvl w:val="0"/>
          <w:numId w:val="54"/>
        </w:numPr>
        <w:suppressAutoHyphens w:val="false"/>
        <w:overflowPunct w:val="true"/>
        <w:spacing w:before="0" w:after="0"/>
        <w:contextualSpacing/>
        <w:textAlignment w:val="auto"/>
        <w:rPr>
          <w:rFonts w:cs="Arial"/>
        </w:rPr>
      </w:pPr>
      <w:r>
        <w:rPr>
          <w:rFonts w:cs="Arial"/>
        </w:rPr>
        <w:t xml:space="preserve">Protoforma 3: estructura </w:t>
      </w:r>
      <w:r>
        <w:rPr>
          <w:rFonts w:cs="Arial"/>
          <w:i/>
        </w:rPr>
        <w:t xml:space="preserve">Qy’s are S, </w:t>
      </w:r>
      <w:r>
        <w:rPr>
          <w:rFonts w:cs="Arial"/>
        </w:rPr>
        <w:t>se conocen el cuantificador (</w:t>
      </w:r>
      <w:r>
        <w:rPr>
          <w:rFonts w:cs="Arial"/>
          <w:i/>
        </w:rPr>
        <w:t>Q</w:t>
      </w:r>
      <w:r>
        <w:rPr>
          <w:rFonts w:cs="Arial"/>
        </w:rPr>
        <w:t>) y la estructura del resumen</w:t>
      </w:r>
      <w:r>
        <w:rPr>
          <w:rFonts w:cs="Arial"/>
          <w:i/>
        </w:rPr>
        <w:t xml:space="preserve">, </w:t>
      </w:r>
      <w:r>
        <w:rPr>
          <w:rFonts w:cs="Arial"/>
        </w:rPr>
        <w:t>se quiere descubrir el sumarizador (</w:t>
      </w:r>
      <w:r>
        <w:rPr>
          <w:rFonts w:cs="Arial"/>
          <w:i/>
        </w:rPr>
        <w:t>S</w:t>
      </w:r>
      <w:r>
        <w:rPr>
          <w:rFonts w:cs="Arial"/>
        </w:rPr>
        <w:t>).</w:t>
      </w:r>
    </w:p>
    <w:p>
      <w:pPr>
        <w:pStyle w:val="ListParagraph"/>
        <w:numPr>
          <w:ilvl w:val="0"/>
          <w:numId w:val="54"/>
        </w:numPr>
        <w:suppressAutoHyphens w:val="false"/>
        <w:overflowPunct w:val="true"/>
        <w:spacing w:before="0" w:after="0"/>
        <w:contextualSpacing/>
        <w:textAlignment w:val="auto"/>
        <w:rPr>
          <w:rFonts w:cs="Arial"/>
        </w:rPr>
      </w:pPr>
      <w:r>
        <w:rPr>
          <w:rFonts w:cs="Arial"/>
        </w:rPr>
        <w:t xml:space="preserve">Protoforma 4: estructura </w:t>
      </w:r>
      <w:r>
        <w:rPr>
          <w:rFonts w:cs="Arial"/>
          <w:i/>
        </w:rPr>
        <w:t>QRy’s are S</w:t>
      </w:r>
      <w:r>
        <w:rPr>
          <w:rFonts w:cs="Arial"/>
        </w:rPr>
        <w:t>, se conocen el cuantificador (</w:t>
      </w:r>
      <w:r>
        <w:rPr>
          <w:rFonts w:cs="Arial"/>
          <w:i/>
        </w:rPr>
        <w:t>Q</w:t>
      </w:r>
      <w:r>
        <w:rPr>
          <w:rFonts w:cs="Arial"/>
        </w:rPr>
        <w:t>) y la estructura del resumen</w:t>
      </w:r>
      <w:r>
        <w:rPr>
          <w:rFonts w:cs="Arial"/>
          <w:i/>
        </w:rPr>
        <w:t xml:space="preserve">, </w:t>
      </w:r>
      <w:r>
        <w:rPr>
          <w:rFonts w:cs="Arial"/>
        </w:rPr>
        <w:t>se quiere</w:t>
      </w:r>
      <w:r>
        <w:rPr>
          <w:rFonts w:cs="Arial"/>
          <w:lang w:val="es-ES"/>
        </w:rPr>
        <w:t>n</w:t>
      </w:r>
      <w:r>
        <w:rPr>
          <w:rFonts w:cs="Arial"/>
        </w:rPr>
        <w:t xml:space="preserve"> descubrir el sumarizador (</w:t>
      </w:r>
      <w:r>
        <w:rPr>
          <w:rFonts w:cs="Arial"/>
          <w:i/>
        </w:rPr>
        <w:t>S</w:t>
      </w:r>
      <w:r>
        <w:rPr>
          <w:rFonts w:cs="Arial"/>
        </w:rPr>
        <w:t>) y el filtro (</w:t>
      </w:r>
      <w:r>
        <w:rPr>
          <w:rFonts w:cs="Arial"/>
          <w:i/>
        </w:rPr>
        <w:t>R</w:t>
      </w:r>
      <w:r>
        <w:rPr>
          <w:rFonts w:cs="Arial"/>
        </w:rPr>
        <w:t>).</w:t>
      </w:r>
    </w:p>
    <w:p>
      <w:pPr>
        <w:pStyle w:val="ListParagraph"/>
        <w:numPr>
          <w:ilvl w:val="0"/>
          <w:numId w:val="54"/>
        </w:numPr>
        <w:suppressAutoHyphens w:val="false"/>
        <w:overflowPunct w:val="true"/>
        <w:spacing w:before="0" w:after="0"/>
        <w:contextualSpacing/>
        <w:textAlignment w:val="auto"/>
        <w:rPr>
          <w:rFonts w:cs="Arial"/>
          <w:lang w:val="en-US"/>
        </w:rPr>
      </w:pPr>
      <w:r>
        <w:rPr>
          <w:rFonts w:cs="Arial"/>
        </w:rPr>
        <w:t xml:space="preserve">Protoforma 5: estructura </w:t>
      </w:r>
      <w:r>
        <w:rPr>
          <w:rFonts w:cs="Arial"/>
          <w:i/>
        </w:rPr>
        <w:t>QRy’s are S</w:t>
      </w:r>
      <w:r>
        <w:rPr>
          <w:rFonts w:cs="Arial"/>
        </w:rPr>
        <w:t>. Es el de mayor nivel de abstracción, pues no se conoce ningún elemento y por tanto se trata de descubrir todo. Estos son los resúmenes más complejos y son el objetivo principal de este trabajo.</w:t>
      </w:r>
    </w:p>
    <w:p>
      <w:pPr>
        <w:pStyle w:val="Normal"/>
        <w:rPr/>
      </w:pPr>
      <w:r>
        <w:rPr/>
        <w:t xml:space="preserve">Las protoformas clásicas y las basadas en series de tiempo son las más empleadas en la construcción de los resúmenes lingüísticos </w:t>
      </w:r>
      <w:r>
        <w:fldChar w:fldCharType="begin"/>
      </w:r>
      <w:r>
        <w:instrText>ADDIN ZOTERO_ITEM CSL_CITATION {"citationID":"le3Jth44","properties":{"formattedCitation":"(Hudec, Bedn\\uc0\\u225{}rov\\uc0\\u225{} y Holzinger 2018)","plainCitation":"(Hudec, Bednárová y Holzinger 2018)","noteIndex":0},"citationItems":[{"id":"NJclqhNX/f3P2xcAA","uris":["http://zotero.org/users/local/rsuvzjK6/items/JNUL8JAG"],"uri":["http://zotero.org/users/local/rsuvzjK6/items/JNUL8JAG"],"itemData":{"id":3255,"type":"article-journal","container-title":"Journal of Official Statistics","DOI":"10.2478/jos-2018-0048","issue":"4","language":"en","page":"981–1010","title":"Augmenting Statistical Data Dissemination by Short Quantified Sentences of Natural Language","volume":"34","author":[{"family":"Hudec","given":"Miroslav"},{"family":"Bednárová","given":"Erika"},{"family":"Holzinger","given":"Andreas"}],"issued":{"date-parts":[["2018",12]]}}}],"schema":"https://github.com/citation-style-language/schema/raw/master/csl-citation.json"}</w:instrText>
      </w:r>
      <w:r>
        <w:fldChar w:fldCharType="separate"/>
      </w:r>
      <w:bookmarkStart w:id="364" w:name="__Fieldmark__3847_2067855929"/>
      <w:r>
        <w:rPr/>
      </w:r>
      <w:r>
        <w:rPr>
          <w:szCs w:val="24"/>
        </w:rPr>
        <w:t>(</w:t>
      </w:r>
      <w:bookmarkStart w:id="365" w:name="__Fieldmark__3401_498839314"/>
      <w:r>
        <w:rPr>
          <w:szCs w:val="24"/>
        </w:rPr>
        <w:t>H</w:t>
      </w:r>
      <w:bookmarkStart w:id="366" w:name="__Fieldmark__3132_998588997"/>
      <w:r>
        <w:rPr>
          <w:szCs w:val="24"/>
        </w:rPr>
        <w:t>u</w:t>
      </w:r>
      <w:bookmarkStart w:id="367" w:name="__Fieldmark__5560_118561941"/>
      <w:r>
        <w:rPr>
          <w:szCs w:val="24"/>
        </w:rPr>
        <w:t>dec, Bednárová y Holzinger 2018)</w:t>
      </w:r>
      <w:r>
        <w:rPr/>
      </w:r>
      <w:r>
        <w:fldChar w:fldCharType="end"/>
      </w:r>
      <w:bookmarkEnd w:id="364"/>
      <w:bookmarkEnd w:id="365"/>
      <w:bookmarkEnd w:id="366"/>
      <w:bookmarkEnd w:id="367"/>
      <w:r>
        <w:rPr/>
        <w:t>. En esta investigación los resúmenes son generados a partir de las protoformas clásicas.</w:t>
      </w:r>
    </w:p>
    <w:p>
      <w:pPr>
        <w:pStyle w:val="Normal"/>
        <w:rPr/>
      </w:pPr>
      <w:r>
        <w:rPr/>
        <w:t xml:space="preserve">Las protoformas clásicas sumarizan los atributos del conjunto de datos o las relaciones entre ellos </w:t>
      </w:r>
      <w:r>
        <w:fldChar w:fldCharType="begin"/>
      </w:r>
      <w:r>
        <w:instrText>ADDIN ZOTERO_ITEM CSL_CITATION {"citationID":"N0MymLQ4","properties":{"formattedCitation":"(Yager 1982)","plainCitation":"(Yager 1982)","noteIndex":0},"citationItems":[{"id":"NJclqhNX/E1eUvurW","uris":["http://zotero.org/users/local/rsuvzjK6/items/YR5JT4VR"],"uri":["http://zotero.org/users/local/rsuvzjK6/items/YR5JT4VR"],"itemData":{"id":3204,"type":"article-journal","container-title":"Information Sciences","DOI":"10.1016/0020-0255(82)90033-0","issue":"1","page":"69–86","title":"A new approach to the summarization of data","volume":"28","author":[{"family":"Yager","given":"Ronald R"}],"issued":{"date-parts":[["1982"]]}}}],"schema":"https://github.com/citation-style-language/schema/raw/master/csl-citation.json"}</w:instrText>
      </w:r>
      <w:r>
        <w:fldChar w:fldCharType="separate"/>
      </w:r>
      <w:bookmarkStart w:id="368" w:name="__Fieldmark__3865_2067855929"/>
      <w:r>
        <w:rPr/>
        <w:t>(</w:t>
      </w:r>
      <w:bookmarkStart w:id="369" w:name="__Fieldmark__3414_498839314"/>
      <w:r>
        <w:rPr/>
        <w:t>Y</w:t>
      </w:r>
      <w:bookmarkStart w:id="370" w:name="__Fieldmark__3141_998588997"/>
      <w:r>
        <w:rPr/>
        <w:t>a</w:t>
      </w:r>
      <w:bookmarkStart w:id="371" w:name="__Fieldmark__5568_118561941"/>
      <w:r>
        <w:rPr/>
        <w:t>ger 1982)</w:t>
      </w:r>
      <w:r>
        <w:rPr/>
      </w:r>
      <w:r>
        <w:fldChar w:fldCharType="end"/>
      </w:r>
      <w:bookmarkEnd w:id="368"/>
      <w:bookmarkEnd w:id="369"/>
      <w:bookmarkEnd w:id="370"/>
      <w:bookmarkEnd w:id="371"/>
      <w:r>
        <w:rPr/>
        <w:t xml:space="preserve"> </w:t>
      </w:r>
      <w:r>
        <w:fldChar w:fldCharType="begin"/>
      </w:r>
      <w:r>
        <w:instrText>ADDIN ZOTERO_ITEM CSL_CITATION {"citationID":"a1sec43vim0","properties":{"formattedCitation":"(Kacprzyk, Janusz y Zadro\\uc0\\u380{}ny 2005)","plainCitation":"(Kacprzyk, Janusz y Zadrożny 2005)","noteIndex":0},"citationItems":[{"id":4,"uris":["http://zotero.org/users/local/EJ15hJE2/items/4K2AX2GP"],"uri":["http://zotero.org/users/local/EJ15hJE2/items/4K2AX2GP"],"itemData":{"id":4,"type":"article-journal","container-title":"Information Sciences","DOI":"10.1016/j.ins.2005.03.002","issue":"4","page":"281–304","title":"Linguistic database summaries and their protoforms: towards natural language based knowledge discovery tools","volume":"173","author":[{"family":"Kacprzyk","given":"Janusz"},{"family":"Zadrożny","given":"Sławomir"}],"issued":{"date-parts":[["2005"]]}}}],"schema":"https://github.com/citation-style-language/schema/raw/master/csl-citation.json"}</w:instrText>
      </w:r>
      <w:r>
        <w:fldChar w:fldCharType="separate"/>
      </w:r>
      <w:bookmarkStart w:id="372" w:name="__Fieldmark__3880_2067855929"/>
      <w:r>
        <w:rPr/>
      </w:r>
      <w:r>
        <w:rPr>
          <w:szCs w:val="24"/>
        </w:rPr>
        <w:t>(</w:t>
      </w:r>
      <w:bookmarkStart w:id="373" w:name="__Fieldmark__3425_498839314"/>
      <w:r>
        <w:rPr>
          <w:szCs w:val="24"/>
        </w:rPr>
        <w:t>K</w:t>
      </w:r>
      <w:bookmarkStart w:id="374" w:name="__Fieldmark__3148_998588997"/>
      <w:r>
        <w:rPr>
          <w:szCs w:val="24"/>
        </w:rPr>
        <w:t>a</w:t>
      </w:r>
      <w:bookmarkStart w:id="375" w:name="__Fieldmark__5573_118561941"/>
      <w:r>
        <w:rPr>
          <w:szCs w:val="24"/>
        </w:rPr>
        <w:t>cprzyk, Janusz y Zadrożny 2005)</w:t>
      </w:r>
      <w:r>
        <w:rPr/>
      </w:r>
      <w:r>
        <w:fldChar w:fldCharType="end"/>
      </w:r>
      <w:bookmarkEnd w:id="372"/>
      <w:bookmarkEnd w:id="373"/>
      <w:bookmarkEnd w:id="374"/>
      <w:bookmarkEnd w:id="375"/>
      <w:r>
        <w:rPr/>
        <w:t xml:space="preserve">. Estas protoformas han sido usadas en disímiles escenarios de aplicación como se muestra en la sección </w:t>
      </w:r>
      <w:r>
        <w:rPr/>
        <w:fldChar w:fldCharType="begin"/>
      </w:r>
      <w:r>
        <w:instrText> REF _Ref60733855 \r \h </w:instrText>
      </w:r>
      <w:r>
        <w:fldChar w:fldCharType="separate"/>
      </w:r>
      <w:r>
        <w:t>1.4</w:t>
      </w:r>
      <w:r>
        <w:fldChar w:fldCharType="end"/>
      </w:r>
      <w:r>
        <w:rPr/>
        <w:t>.</w:t>
      </w:r>
    </w:p>
    <w:p>
      <w:pPr>
        <w:pStyle w:val="Normal"/>
        <w:rPr/>
      </w:pPr>
      <w:r>
        <w:rPr/>
        <w:t xml:space="preserve">En la bibliografía consultada se encuentran investigaciones que particularizan las protoformas para problemas específicos </w:t>
      </w:r>
      <w:r>
        <w:fldChar w:fldCharType="begin"/>
      </w:r>
      <w:r>
        <w:instrText>ADDIN ZOTERO_ITEM CSL_CITATION {"citationID":"BvwgJ14R","properties":{"formattedCitation":"(Hudec, Bedn\\uc0\\u225{}rov\\uc0\\u225{} y Holzinger 2018)","plainCitation":"(Hudec, Bednárová y Holzinger 2018)","noteIndex":0},"citationItems":[{"id":"NJclqhNX/f3P2xcAA","uris":["http://zotero.org/users/local/rsuvzjK6/items/JNUL8JAG"],"uri":["http://zotero.org/users/local/rsuvzjK6/items/JNUL8JAG"],"itemData":{"id":3255,"type":"article-journal","container-title":"Journal of Official Statistics","DOI":"10.2478/jos-2018-0048","issue":"4","language":"en","page":"981–1010","title":"Augmenting Statistical Data Dissemination by Short Quantified Sentences of Natural Language","volume":"34","author":[{"family":"Hudec","given":"Miroslav"},{"family":"Bednárová","given":"Erika"},{"family":"Holzinger","given":"Andreas"}],"issued":{"date-parts":[["2018",12]]}}}],"schema":"https://github.com/citation-style-language/schema/raw/master/csl-citation.json"}</w:instrText>
      </w:r>
      <w:r>
        <w:fldChar w:fldCharType="separate"/>
      </w:r>
      <w:bookmarkStart w:id="376" w:name="__Fieldmark__3902_2067855929"/>
      <w:r>
        <w:rPr/>
      </w:r>
      <w:r>
        <w:rPr>
          <w:szCs w:val="24"/>
        </w:rPr>
        <w:t>(</w:t>
      </w:r>
      <w:bookmarkStart w:id="377" w:name="__Fieldmark__3441_498839314"/>
      <w:r>
        <w:rPr>
          <w:szCs w:val="24"/>
        </w:rPr>
        <w:t>H</w:t>
      </w:r>
      <w:bookmarkStart w:id="378" w:name="__Fieldmark__3160_998588997"/>
      <w:r>
        <w:rPr>
          <w:szCs w:val="24"/>
        </w:rPr>
        <w:t>u</w:t>
      </w:r>
      <w:bookmarkStart w:id="379" w:name="__Fieldmark__5584_118561941"/>
      <w:r>
        <w:rPr>
          <w:szCs w:val="24"/>
        </w:rPr>
        <w:t>dec, Bednárová y Holzinger 2018)</w:t>
      </w:r>
      <w:r>
        <w:rPr/>
      </w:r>
      <w:r>
        <w:fldChar w:fldCharType="end"/>
      </w:r>
      <w:bookmarkEnd w:id="376"/>
      <w:bookmarkEnd w:id="377"/>
      <w:bookmarkEnd w:id="378"/>
      <w:bookmarkEnd w:id="379"/>
      <w:r>
        <w:rPr/>
        <w:t xml:space="preserve">. Por ejemplo, en algunas investigaciones relacionadas con series de tiempo se introducen protoformas con la estructura: </w:t>
      </w:r>
      <w:r>
        <w:rPr>
          <w:i/>
        </w:rPr>
        <w:t>Q Bs are A Q</w:t>
      </w:r>
      <w:r>
        <w:rPr>
          <w:i/>
          <w:vertAlign w:val="subscript"/>
        </w:rPr>
        <w:t>T</w:t>
      </w:r>
      <w:r>
        <w:rPr>
          <w:i/>
        </w:rPr>
        <w:t xml:space="preserve"> time</w:t>
      </w:r>
      <w:r>
        <w:rPr/>
        <w:t xml:space="preserve">, donde </w:t>
      </w:r>
      <w:r>
        <w:rPr>
          <w:i/>
        </w:rPr>
        <w:t>Q</w:t>
      </w:r>
      <w:r>
        <w:rPr>
          <w:i/>
          <w:vertAlign w:val="subscript"/>
        </w:rPr>
        <w:t>T</w:t>
      </w:r>
      <w:r>
        <w:rPr/>
        <w:t xml:space="preserve"> es un cuantificador aplicado al atributo tiempo. Un ejemplo de resumen basado en estas protoformas es: “cerca de la mitad de los negocios pequeños tienen tiempo de respuesta pequeño la mayor parte del tiempo”.</w:t>
      </w:r>
    </w:p>
    <w:p>
      <w:pPr>
        <w:pStyle w:val="Normal"/>
        <w:rPr/>
      </w:pPr>
      <w:r>
        <w:rPr/>
        <w:t xml:space="preserve">Existen algunas extensiones asociadas a secuencia de eventos o actividades, como el caso de </w:t>
      </w:r>
      <w:r>
        <w:fldChar w:fldCharType="begin"/>
      </w:r>
      <w:r>
        <w:instrText>ADDIN ZOTERO_ITEM CSL_CITATION {"citationID":"MG6wkNlz","properties":{"formattedCitation":"(Wilbik y Dijkman 2016)","plainCitation":"(Wilbik y Dijkman 2016)","noteIndex":0},"citationItems":[{"id":"NJclqhNX/1ebjSrdZ","uris":["http://zotero.org/users/local/rsuvzjK6/items/9WRTM8B6"],"uri":["http://zotero.org/users/local/rsuvzjK6/items/9WRTM8B6"],"itemData":{"id":3260,"type":"paper-conference","abstract":"Linguistic summarization techniques make it easy to gain insight into large amounts of data by describing the main properties of the data linguistically. In this paper we focus on a specific type of data, namely process data, i.e., event logs that contain information about when some activities were performed for a particular customer case. An event log may contain many different sequences, because actions or events are often performed in slightly different orders for different customer cases. This easily leads to a very large number of generated summaries. As the point of linguistic summarization is to provide a quick overview, such a large number of summaries is not helpful to the interpreter. To address this problem, we propose a method for the generation of linguistic summaries of sequences that groups similar sequences and returns them in a single linguistic summary. We show the applicability of our technique on an event log from practice and show that it can be used to reduce the number of produced summaries by 80%, while keeping the important information that is contained in those summaries.","container-title":"2016 IEEE International Conference on Fuzzy Systems (FUZZ-IEEE)","DOI":"10.1109/FUZZ-IEEE.2016.7737736","page":"555–562","title":"On the generation of useful linguistic summaries of sequences","author":[{"family":"Wilbik","given":"Anna"},{"family":"Dijkman","given":"Remco M."}],"issued":{"date-parts":[["2016",7]]}}}],"schema":"https://github.com/citation-style-language/schema/raw/master/csl-citation.json"}</w:instrText>
      </w:r>
      <w:r>
        <w:fldChar w:fldCharType="separate"/>
      </w:r>
      <w:bookmarkStart w:id="380" w:name="__Fieldmark__3929_2067855929"/>
      <w:r>
        <w:rPr/>
        <w:t>(</w:t>
      </w:r>
      <w:bookmarkStart w:id="381" w:name="__Fieldmark__3461_498839314"/>
      <w:r>
        <w:rPr/>
        <w:t>W</w:t>
      </w:r>
      <w:bookmarkStart w:id="382" w:name="__Fieldmark__3176_998588997"/>
      <w:r>
        <w:rPr/>
        <w:t>i</w:t>
      </w:r>
      <w:bookmarkStart w:id="383" w:name="__Fieldmark__5606_118561941"/>
      <w:r>
        <w:rPr/>
        <w:t>lbik y Dijkman 2016)</w:t>
      </w:r>
      <w:r>
        <w:rPr/>
      </w:r>
      <w:r>
        <w:fldChar w:fldCharType="end"/>
      </w:r>
      <w:bookmarkEnd w:id="380"/>
      <w:bookmarkEnd w:id="381"/>
      <w:bookmarkEnd w:id="382"/>
      <w:bookmarkEnd w:id="383"/>
      <w:r>
        <w:rPr/>
        <w:t xml:space="preserve"> donde podemos encontrar resúmenes como “Cuando el tiempo de procesamiento era largo, el caso contenía una secuencia como `</w:t>
      </w:r>
      <w:r>
        <w:rPr>
          <w:i/>
        </w:rPr>
        <w:t>abcdefgh</w:t>
      </w:r>
      <w:r>
        <w:rPr/>
        <w:t xml:space="preserve">`”. Otro ejemplo de los mismos autores es el análisis de logs asociados a registros de procesos de apelación de la municipalidad de Dutch, donde se obtienen resúmenes tales como “Muchos casos tienen tiempo de operación corto” </w:t>
      </w:r>
      <w:r>
        <w:fldChar w:fldCharType="begin"/>
      </w:r>
      <w:r>
        <w:instrText>ADDIN ZOTERO_ITEM CSL_CITATION {"citationID":"6N8eZT5D","properties":{"formattedCitation":"(Wilbik, Kaymak y Dijkman 2017)","plainCitation":"(Wilbik, Kaymak y Dijkman 2017)","noteIndex":0},"citationItems":[{"id":"NJclqhNX/oxiUFrrO","uris":["http://zotero.org/users/local/rsuvzjK6/items/IMZ9T5H2"],"uri":["http://zotero.org/users/local/rsuvzjK6/items/IMZ9T5H2"],"itemData":{"id":3258,"type":"paper-conference","abstract":"Generation of linguistic summaries that are compact, short and relevant to the user remains an open challenge. In this paper, we propose a novel method for improving the generation of linguistic summaries inspired by the a-priori algorithm and the degree of appropriateness. The method generates all true summaries with related predicates in the summarizer, resulting in a small set of linguistic summaries, whose presentation to the user is compact. We tested our method on three real world data sets. The results indicate that our proposed approach is a good alternative to previous methods suggested for generating linguistic summaries.","container-title":"2017 IEEE International Conference on Fuzzy Systems (FUZZ-IEEE)","DOI":"10.1109/FUZZ-IEEE.2017.8015752","page":"1–6","title":"A method for improving the generation of linguistic summaries","author":[{"family":"Wilbik","given":"Anna"},{"family":"Kaymak","given":"Uzay"},{"family":"Dijkman","given":"Remco M."}],"issued":{"date-parts":[["2017",7]]}}}],"schema":"https://github.com/citation-style-language/schema/raw/master/csl-citation.json"}</w:instrText>
      </w:r>
      <w:r>
        <w:fldChar w:fldCharType="separate"/>
      </w:r>
      <w:bookmarkStart w:id="384" w:name="__Fieldmark__3947_2067855929"/>
      <w:r>
        <w:rPr/>
        <w:t>(</w:t>
      </w:r>
      <w:bookmarkStart w:id="385" w:name="__Fieldmark__3474_498839314"/>
      <w:r>
        <w:rPr/>
        <w:t>W</w:t>
      </w:r>
      <w:bookmarkStart w:id="386" w:name="__Fieldmark__3185_998588997"/>
      <w:r>
        <w:rPr/>
        <w:t>i</w:t>
      </w:r>
      <w:bookmarkStart w:id="387" w:name="__Fieldmark__5616_118561941"/>
      <w:r>
        <w:rPr/>
        <w:t>lbik, Kaymak y Dijkman 2017)</w:t>
      </w:r>
      <w:r>
        <w:rPr/>
      </w:r>
      <w:r>
        <w:fldChar w:fldCharType="end"/>
      </w:r>
      <w:bookmarkEnd w:id="384"/>
      <w:bookmarkEnd w:id="385"/>
      <w:bookmarkEnd w:id="386"/>
      <w:bookmarkEnd w:id="387"/>
      <w:r>
        <w:rPr/>
        <w:t>.</w:t>
      </w:r>
    </w:p>
    <w:p>
      <w:pPr>
        <w:pStyle w:val="Normal"/>
        <w:rPr/>
      </w:pPr>
      <w:r>
        <w:rPr/>
        <w:t xml:space="preserve">Otras extensiones a las protoformas, se presentan en escenarios de aplicación donde se quiera incorporar épocas o fenómenos temporales, donde la bibliografía consultada emplea protoformas que no usan cuantificadores lingüísticos. Este tipo de resumen tiene la estructura </w:t>
      </w:r>
      <w:r>
        <w:rPr>
          <w:i/>
        </w:rPr>
        <w:t>P, datos son A</w:t>
      </w:r>
      <w:r>
        <w:rPr/>
        <w:t xml:space="preserve">, donde </w:t>
      </w:r>
      <w:r>
        <w:rPr>
          <w:i/>
        </w:rPr>
        <w:t>P</w:t>
      </w:r>
      <w:r>
        <w:rPr/>
        <w:t xml:space="preserve"> es un término temporal y </w:t>
      </w:r>
      <w:r>
        <w:rPr>
          <w:i/>
        </w:rPr>
        <w:t xml:space="preserve">A </w:t>
      </w:r>
      <w:r>
        <w:rPr/>
        <w:t xml:space="preserve">es un término lingüístico borroso. Por ejemplo, </w:t>
      </w:r>
      <w:r>
        <w:rPr>
          <w:i/>
        </w:rPr>
        <w:t>“</w:t>
      </w:r>
      <w:r>
        <w:rPr/>
        <w:t>regularmente en otoño, las precipitaciones son altas”.</w:t>
      </w:r>
    </w:p>
    <w:p>
      <w:pPr>
        <w:pStyle w:val="Normal"/>
        <w:rPr/>
      </w:pPr>
      <w:r>
        <w:rPr/>
        <w:t xml:space="preserve">También podemos encontrar modelos híbridos como por ejemplo en </w:t>
      </w:r>
      <w:r>
        <w:fldChar w:fldCharType="begin"/>
      </w:r>
      <w:r>
        <w:instrText>ADDIN ZOTERO_ITEM CSL_CITATION {"citationID":"qHLPLBEw","properties":{"formattedCitation":"(Kacprzyk y Zadro\\uc0\\u380{}ny 2016b)","plainCitation":"(Kacprzyk y Zadrożny 2016b)","noteIndex":0},"citationItems":[{"id":"NJclqhNX/TvrmL5pV","uris":["http://zotero.org/users/local/rsuvzjK6/items/76NQ7FM4"],"uri":["http://zotero.org/users/local/rsuvzjK6/items/76NQ7FM4"],"itemData":{"id":3402,"type":"article-journal","abstract":"Analyses of Web server logs may be very useful and are often needed for designers and analysts of computer networks who try to design and optimize the functioning of the systems, safeguard them against attacks, provide for the most effective and efficient access path for the users/customers, etc. Obviously, they are also an interesting research problem that can be viewed from many perspectives, ranging from just a general analyses to topic focused analyses that are aimed at just a specific aspect. In traditional approaches, various statistics are computed and used for analytic and design purposes. Sometimes, visualization tools are also employed. In this paper we present the use of verbalization of results of Web server log data analysis/mining through linguistic data summaries based on fuzzy logic with linguistic quantifiers. Linguistic summaries of both static and dynamic analyses are presented, with an emphasis on the latter. We extend our previous works by employing as an aggregation tool the Ordered Weighted Averaging (OWA) operators due to Yager [52]. We present some examples of potentially interesting linguistic summaries of Web server logs, and indicate their possible assignment to different classes.","container-title":"Fuzzy Sets and Systems","DOI":"10.1016/j.fss.2015.07.020","page":"182–198","title":"Linguistic summarization of the contents of Web server logs via the Ordered Weighted Averaging (OWA) operators","volume":"285","author":[{"family":"Kacprzyk","given":"Janusz"},{"family":"Zadrożny","given":"Sławomir"}],"issued":{"date-parts":[["2016"]]}}}],"schema":"https://github.com/citation-style-language/schema/raw/master/csl-citation.json"}</w:instrText>
      </w:r>
      <w:r>
        <w:fldChar w:fldCharType="separate"/>
      </w:r>
      <w:bookmarkStart w:id="388" w:name="__Fieldmark__3976_2067855929"/>
      <w:r>
        <w:rPr/>
      </w:r>
      <w:r>
        <w:rPr>
          <w:szCs w:val="24"/>
        </w:rPr>
        <w:t>(</w:t>
      </w:r>
      <w:bookmarkStart w:id="389" w:name="__Fieldmark__3496_498839314"/>
      <w:r>
        <w:rPr>
          <w:szCs w:val="24"/>
        </w:rPr>
        <w:t>K</w:t>
      </w:r>
      <w:bookmarkStart w:id="390" w:name="__Fieldmark__3203_998588997"/>
      <w:r>
        <w:rPr>
          <w:szCs w:val="24"/>
        </w:rPr>
        <w:t>a</w:t>
      </w:r>
      <w:bookmarkStart w:id="391" w:name="__Fieldmark__5636_118561941"/>
      <w:r>
        <w:rPr>
          <w:szCs w:val="24"/>
        </w:rPr>
        <w:t>cprzyk y Zadrożny 2016b)</w:t>
      </w:r>
      <w:r>
        <w:rPr/>
      </w:r>
      <w:r>
        <w:fldChar w:fldCharType="end"/>
      </w:r>
      <w:bookmarkEnd w:id="388"/>
      <w:bookmarkEnd w:id="389"/>
      <w:bookmarkEnd w:id="390"/>
      <w:bookmarkEnd w:id="391"/>
      <w:r>
        <w:rPr/>
        <w:t>, donde se introducen protoformas temporales para el análisis de logs en servidores web. En este caso se generan resúmenes tales como “Recientemente, entre todos los segmentos, la mayoría están aumentando lentamente”; y protoformas temporales extendidas generando resúmenes como “Inicialmente, entre todos los segmentos cortos, la mayoría están aumentando lentamente”.</w:t>
      </w:r>
    </w:p>
    <w:p>
      <w:pPr>
        <w:pStyle w:val="Normal"/>
        <w:rPr/>
      </w:pPr>
      <w:r>
        <w:rPr/>
        <w:t xml:space="preserve">Existen otras variantes de protoformas relacionadas con datos sobre el clima </w:t>
      </w:r>
      <w:r>
        <w:fldChar w:fldCharType="begin"/>
      </w:r>
      <w:r>
        <w:instrText>ADDIN ZOTERO_ITEM CSL_CITATION {"citationID":"hG9kILrw","properties":{"formattedCitation":"(Ramos-Soto y Martin-Rodillab 2019)","plainCitation":"(Ramos-Soto y Martin-Rodillab 2019)","noteIndex":0},"citationItems":[{"id":"NJclqhNX/pcBT0Go8","uris":["http://zotero.org/users/local/rsuvzjK6/items/2C5NWUAX"],"uri":["http://zotero.org/users/local/rsuvzjK6/items/2C5NWUAX"],"itemData":{"id":3288,"type":"article-journal","abstract":"One of the current limitations of fuzzy linguistic descriptions of data is the lack of diversity of protoforms that can be used to linguistically summarize data. Despite an important effort in providing protoforms with improved semantics that are applicable to time series data or specific application domains, type-I and type-II fuzzy quantified sentences are still predominant in the literature. In this context, we propose a different approach for defining new types of protoforms. Instead of understanding protoforms as individual primitives, our proposal draws inspiration from Rhetorical Structure Theory to provide a framework that allows to define new types of complex protoforms based on semantic relations among simpler protoforms. Based on this framework, we propose an initial taxonomy of relations among protoforms and provide an illustrative use case based on real data and evaluated by human users.","container-title":"Fuzzy Sets and Systems","DOI":"10.1016/j.fss.2019.11.013","page":"26","title":"Enriching linguistic descriptions of data: A framework for composite protoforms","author":[{"family":"Ramos-Soto","given":"A."},{"family":"Martin-Rodillab","given":"P."}],"issued":{"date-parts":[["2019"]]}}}],"schema":"https://github.com/citation-style-language/schema/raw/master/csl-citation.json"}</w:instrText>
      </w:r>
      <w:r>
        <w:fldChar w:fldCharType="separate"/>
      </w:r>
      <w:bookmarkStart w:id="392" w:name="__Fieldmark__3996_2067855929"/>
      <w:r>
        <w:rPr/>
        <w:t>(</w:t>
      </w:r>
      <w:bookmarkStart w:id="393" w:name="__Fieldmark__3509_498839314"/>
      <w:r>
        <w:rPr/>
        <w:t>R</w:t>
      </w:r>
      <w:bookmarkStart w:id="394" w:name="__Fieldmark__3212_998588997"/>
      <w:r>
        <w:rPr/>
        <w:t>a</w:t>
      </w:r>
      <w:bookmarkStart w:id="395" w:name="__Fieldmark__5645_118561941"/>
      <w:r>
        <w:rPr/>
        <w:t>mos-Soto y Martin-Rodillab 2019)</w:t>
      </w:r>
      <w:r>
        <w:rPr/>
      </w:r>
      <w:r>
        <w:fldChar w:fldCharType="end"/>
      </w:r>
      <w:bookmarkEnd w:id="392"/>
      <w:bookmarkEnd w:id="393"/>
      <w:bookmarkEnd w:id="394"/>
      <w:bookmarkEnd w:id="395"/>
      <w:r>
        <w:rPr/>
        <w:t>, donde los autores combinan protoformas con los términos, “pero” y “especialmente” para establecer sentencias de contraste y de énfasis respectivamente. Este enfoque permite obtener resúmenes lingüísticos con mayor expresividad y constituye una línea abierta a la investigación. A continuación, se muestran diferentes ejemplos:</w:t>
      </w:r>
    </w:p>
    <w:p>
      <w:pPr>
        <w:pStyle w:val="Normal"/>
        <w:rPr/>
      </w:pPr>
      <w:r>
        <w:rPr/>
        <w:t>Ejemplos de protoforma de contraste:</w:t>
      </w:r>
    </w:p>
    <w:p>
      <w:pPr>
        <w:pStyle w:val="ListParagraph"/>
        <w:rPr>
          <w:rFonts w:cs="Arial"/>
          <w:b/>
          <w:b/>
        </w:rPr>
      </w:pPr>
      <w:r>
        <w:rPr>
          <w:rFonts w:cs="Arial"/>
        </w:rPr>
        <w:t>“</w:t>
      </w:r>
      <w:r>
        <w:rPr>
          <w:rFonts w:cs="Arial"/>
        </w:rPr>
        <w:t xml:space="preserve">Muchos valores en Ancares son normales”, </w:t>
      </w:r>
      <w:r>
        <w:rPr>
          <w:rFonts w:cs="Arial"/>
          <w:b/>
        </w:rPr>
        <w:t>pero</w:t>
      </w:r>
    </w:p>
    <w:p>
      <w:pPr>
        <w:pStyle w:val="ListParagraph"/>
        <w:rPr>
          <w:rFonts w:cs="Arial"/>
        </w:rPr>
      </w:pPr>
      <w:r>
        <w:rPr>
          <w:rFonts w:cs="Arial"/>
        </w:rPr>
        <w:t>“</w:t>
      </w:r>
      <w:r>
        <w:rPr>
          <w:rFonts w:cs="Arial"/>
        </w:rPr>
        <w:t>La mayoría de los valores de la tercera semana en Ancares son calientes”</w:t>
      </w:r>
    </w:p>
    <w:p>
      <w:pPr>
        <w:pStyle w:val="ListParagraph"/>
        <w:rPr>
          <w:rFonts w:cs="Arial"/>
        </w:rPr>
      </w:pPr>
      <w:r>
        <w:rPr>
          <w:rFonts w:cs="Arial"/>
        </w:rPr>
        <w:t>“</w:t>
      </w:r>
      <w:r>
        <w:rPr>
          <w:rFonts w:cs="Arial"/>
        </w:rPr>
        <w:t>La mayoría de los valores de la cuarta semana en Ancares son fríos”</w:t>
      </w:r>
    </w:p>
    <w:p>
      <w:pPr>
        <w:pStyle w:val="Normal"/>
        <w:rPr/>
      </w:pPr>
      <w:r>
        <w:rPr/>
        <w:t>Ejemplo de protoforma de énfasis:</w:t>
      </w:r>
    </w:p>
    <w:p>
      <w:pPr>
        <w:pStyle w:val="ListParagraph"/>
        <w:rPr>
          <w:rFonts w:cs="Arial"/>
          <w:b/>
          <w:b/>
        </w:rPr>
      </w:pPr>
      <w:r>
        <w:rPr>
          <w:rFonts w:cs="Arial"/>
        </w:rPr>
        <w:t>“</w:t>
      </w:r>
      <w:r>
        <w:rPr>
          <w:rFonts w:cs="Arial"/>
        </w:rPr>
        <w:t xml:space="preserve">Muchos valores en Pontevedra-Campolongo son calientes”, </w:t>
      </w:r>
      <w:r>
        <w:rPr>
          <w:rFonts w:cs="Arial"/>
          <w:b/>
        </w:rPr>
        <w:t>especialmente</w:t>
      </w:r>
    </w:p>
    <w:p>
      <w:pPr>
        <w:pStyle w:val="ListParagraph"/>
        <w:rPr>
          <w:rFonts w:cs="Arial"/>
        </w:rPr>
      </w:pPr>
      <w:r>
        <w:rPr>
          <w:rFonts w:cs="Arial"/>
        </w:rPr>
        <w:t>“</w:t>
      </w:r>
      <w:r>
        <w:rPr>
          <w:rFonts w:cs="Arial"/>
        </w:rPr>
        <w:t>Muchos valores de la segunda semana en Pontevedra-Campolongo son muy calientes”</w:t>
      </w:r>
    </w:p>
    <w:p>
      <w:pPr>
        <w:pStyle w:val="Normal"/>
        <w:suppressAutoHyphens w:val="false"/>
        <w:overflowPunct w:val="true"/>
        <w:spacing w:before="0" w:after="0"/>
        <w:contextualSpacing/>
        <w:textAlignment w:val="auto"/>
        <w:rPr>
          <w:lang w:val="en-US"/>
        </w:rPr>
      </w:pPr>
      <w:r>
        <w:rPr/>
        <w:t>En las investigaciones consultadas, generalmente los autores construyen los resúmenes para lenguajes específicos. Se identifica en este sentido como una línea abierta a la investigación la posibilidad de representar un mismo resumen en diferentes idiomas, facilitando la generación multilingüe de los resúmenes.</w:t>
      </w:r>
    </w:p>
    <w:p>
      <w:pPr>
        <w:pStyle w:val="Heading2"/>
        <w:numPr>
          <w:ilvl w:val="1"/>
          <w:numId w:val="80"/>
        </w:numPr>
        <w:rPr/>
      </w:pPr>
      <w:bookmarkStart w:id="396" w:name="_Toc84598923"/>
      <w:bookmarkStart w:id="397" w:name="__RefHeading__1107_1498667250"/>
      <w:bookmarkEnd w:id="396"/>
      <w:bookmarkEnd w:id="397"/>
      <w:r>
        <w:rPr/>
        <w:t>Métodos o técnicas para la generación de los resúmenes lingüísticos de datos</w:t>
      </w:r>
    </w:p>
    <w:p>
      <w:pPr>
        <w:pStyle w:val="ListParagraph"/>
        <w:keepNext/>
        <w:keepLines/>
        <w:numPr>
          <w:ilvl w:val="1"/>
          <w:numId w:val="5"/>
        </w:numPr>
        <w:spacing w:lineRule="auto" w:line="288" w:before="80" w:after="120"/>
        <w:outlineLvl w:val="2"/>
        <w:rPr>
          <w:rFonts w:eastAsia="MS Gothic"/>
          <w:b/>
          <w:b/>
          <w:bCs w:val="false"/>
          <w:vanish/>
          <w:szCs w:val="24"/>
          <w:lang w:val="es-ES"/>
        </w:rPr>
      </w:pPr>
      <w:r>
        <w:rPr>
          <w:rFonts w:eastAsia="MS Gothic"/>
          <w:b/>
          <w:bCs w:val="false"/>
          <w:vanish/>
          <w:szCs w:val="24"/>
          <w:lang w:val="es-ES"/>
        </w:rPr>
      </w:r>
    </w:p>
    <w:p>
      <w:pPr>
        <w:pStyle w:val="ListParagraph"/>
        <w:keepNext/>
        <w:keepLines/>
        <w:numPr>
          <w:ilvl w:val="1"/>
          <w:numId w:val="5"/>
        </w:numPr>
        <w:spacing w:lineRule="auto" w:line="288" w:before="80" w:after="120"/>
        <w:outlineLvl w:val="2"/>
        <w:rPr>
          <w:rFonts w:eastAsia="MS Gothic"/>
          <w:b/>
          <w:b/>
          <w:bCs w:val="false"/>
          <w:vanish/>
          <w:szCs w:val="24"/>
          <w:lang w:val="es-ES"/>
        </w:rPr>
      </w:pPr>
      <w:r>
        <w:rPr>
          <w:rFonts w:eastAsia="MS Gothic"/>
          <w:b/>
          <w:bCs w:val="false"/>
          <w:vanish/>
          <w:szCs w:val="24"/>
          <w:lang w:val="es-ES"/>
        </w:rPr>
      </w:r>
    </w:p>
    <w:p>
      <w:pPr>
        <w:pStyle w:val="ListParagraph"/>
        <w:keepNext/>
        <w:keepLines/>
        <w:numPr>
          <w:ilvl w:val="1"/>
          <w:numId w:val="5"/>
        </w:numPr>
        <w:spacing w:lineRule="auto" w:line="288" w:before="80" w:after="120"/>
        <w:outlineLvl w:val="2"/>
        <w:rPr>
          <w:rFonts w:eastAsia="MS Gothic"/>
          <w:b/>
          <w:b/>
          <w:bCs w:val="false"/>
          <w:vanish/>
          <w:szCs w:val="24"/>
          <w:lang w:val="es-ES"/>
        </w:rPr>
      </w:pPr>
      <w:r>
        <w:rPr>
          <w:rFonts w:eastAsia="MS Gothic"/>
          <w:b/>
          <w:bCs w:val="false"/>
          <w:vanish/>
          <w:szCs w:val="24"/>
          <w:lang w:val="es-ES"/>
        </w:rPr>
      </w:r>
    </w:p>
    <w:p>
      <w:pPr>
        <w:pStyle w:val="Normal"/>
        <w:tabs>
          <w:tab w:val="left" w:pos="0" w:leader="none"/>
        </w:tabs>
        <w:rPr/>
      </w:pPr>
      <w:r>
        <w:rPr>
          <w:szCs w:val="24"/>
        </w:rPr>
        <w:t xml:space="preserve">En la bibliografía consultada se identifican diferentes métodos o técnicas para la construcción de resúmenes lingüísticos, entre las que se destacan </w:t>
      </w:r>
      <w:r>
        <w:fldChar w:fldCharType="begin"/>
      </w:r>
      <w:r>
        <w:instrText>ADDIN ZOTERO_ITEM CSL_CITATION {"citationID":"m80zbYHf","properties":{"formattedCitation":"(P\\uc0\\u233{}rez Pupo et\\uc0\\u160{}al. 2021)","plainCitation":"(Pérez Pupo et al. 2021)","noteIndex":0},"citationItems":[{"id":"NJclqhNX/SbUuLVaP","uris":["http://zotero.org/users/local/rsuvzjK6/items/GIUZ22HL"],"uri":["http://zotero.org/users/local/rsuvzjK6/items/GIUZ22HL"],"itemData":{"id":3437,"type":"article-journal","abstract":"Las técnicas de sumarización lingüística de datos han surgido para ayudar a descubrir relaciones complejas entre variables y presentar la información en lenguaje natural. En el desarrollo de estas técnicas se combinan la inteligencia artificial, la estadística, el aprendizaje automático, entre otras áreas del conocimiento humano. Esta investigación tiene como objetivo realizar un marco teórico referencial de la temática que permita a los investigadores analizar las tendencias en los métodos de generación de resúmenes lingüísticos de datos, las estrategias de validación empleadas en las investigaciones y las principales áreas de aplicación. Como conclusiones se identifica la necesidad de mejora de los métodos de validación, las técnicas emergentes en la generación de resúmenes y la posibilidad del empleo de los resúmenes en problemas de predicción entre otro.","container-title":"Revista cubana de transformación digital","ISSN":"2708-3411","issue":"1","page":"79-101","title":"Tendencias en la sumarización lingüística de datos","volume":"2","author":[{"family":"Pérez Pupo","given":"Iliana"},{"family":"Piñero Pérez","given":"Pedro Yobani"},{"family":"Martín","given":"Nayma"},{"family":"Bello Pérez","given":"Rafael Esteban"}],"issued":{"date-parts":[["2021"]]}}}],"schema":"https://github.com/citation-style-language/schema/raw/master/csl-citation.json"}</w:instrText>
      </w:r>
      <w:r>
        <w:fldChar w:fldCharType="separate"/>
      </w:r>
      <w:bookmarkStart w:id="398" w:name="__Fieldmark__4036_2067855929"/>
      <w:r>
        <w:rPr>
          <w:szCs w:val="24"/>
        </w:rPr>
        <w:t>(</w:t>
      </w:r>
      <w:bookmarkStart w:id="399" w:name="__Fieldmark__3544_498839314"/>
      <w:r>
        <w:rPr>
          <w:szCs w:val="24"/>
        </w:rPr>
        <w:t>P</w:t>
      </w:r>
      <w:bookmarkStart w:id="400" w:name="__Fieldmark__3245_998588997"/>
      <w:r>
        <w:rPr>
          <w:szCs w:val="24"/>
        </w:rPr>
        <w:t>é</w:t>
      </w:r>
      <w:bookmarkStart w:id="401" w:name="__Fieldmark__5734_118561941"/>
      <w:r>
        <w:rPr>
          <w:szCs w:val="24"/>
        </w:rPr>
        <w:t>rez Pupo et al. 2021)</w:t>
      </w:r>
      <w:r>
        <w:rPr>
          <w:szCs w:val="24"/>
        </w:rPr>
      </w:r>
      <w:r>
        <w:fldChar w:fldCharType="end"/>
      </w:r>
      <w:bookmarkEnd w:id="398"/>
      <w:bookmarkEnd w:id="399"/>
      <w:bookmarkEnd w:id="400"/>
      <w:bookmarkEnd w:id="401"/>
      <w:r>
        <w:rPr>
          <w:szCs w:val="24"/>
        </w:rPr>
        <w:t xml:space="preserve"> </w:t>
      </w:r>
      <w:r>
        <w:fldChar w:fldCharType="begin"/>
      </w:r>
      <w:r>
        <w:instrText>ADDIN ZOTERO_ITEM CSL_CITATION {"citationID":"whTjcO9P","properties":{"formattedCitation":"(Pi\\uc0\\u241{}ero et\\uc0\\u160{}al. 2020)","plainCitation":"(Piñero et al. 2020)","noteIndex":0},"citationItems":[{"id":"NJclqhNX/wg4jIvA9","uris":["http://zotero.org/users/local/rsuvzjK6/items/3YGSNS7U"],"uri":["http://zotero.org/users/local/rsuvzjK6/items/3YGSNS7U"],"itemData":{"id":3426,"type":"book","event-place":"Guayaquil, Ecuador","ISBN":"978-9942-82-514-8","language":"Español","number-of-pages":"105","publisher":"Universidad Católica de Santiago de Guayaquil, ISBN: 978-9942-82-514-8","publisher-place":"Guayaquil, Ecuador","title":"Caracterización de los estándares de gestión de proyectos y su impacto en la gestión económico financiera de las organizaciones orientadas a proyectos.","author":[{"family":"Piñero","given":"Pedro"},{"family":"Pérez Pupo","given":"Iliana"},{"family":"García Vacacela","given":"Roberto"},{"family":"Toscanini","given":"Paola"}],"issued":{"date-parts":[["2020"]]}}}],"schema":"https://github.com/citation-style-language/schema/raw/master/csl-citation.json"}</w:instrText>
      </w:r>
      <w:r>
        <w:fldChar w:fldCharType="separate"/>
      </w:r>
      <w:bookmarkStart w:id="402" w:name="__Fieldmark__4051_2067855929"/>
      <w:r>
        <w:rPr>
          <w:szCs w:val="24"/>
        </w:rPr>
        <w:t>(</w:t>
      </w:r>
      <w:bookmarkStart w:id="403" w:name="__Fieldmark__3555_498839314"/>
      <w:r>
        <w:rPr>
          <w:szCs w:val="24"/>
        </w:rPr>
        <w:t>P</w:t>
      </w:r>
      <w:bookmarkStart w:id="404" w:name="__Fieldmark__3252_998588997"/>
      <w:r>
        <w:rPr>
          <w:szCs w:val="24"/>
        </w:rPr>
        <w:t>i</w:t>
      </w:r>
      <w:bookmarkStart w:id="405" w:name="__Fieldmark__5739_118561941"/>
      <w:r>
        <w:rPr>
          <w:szCs w:val="24"/>
        </w:rPr>
        <w:t>ñero et al. 2020)</w:t>
      </w:r>
      <w:r>
        <w:rPr>
          <w:szCs w:val="24"/>
        </w:rPr>
      </w:r>
      <w:r>
        <w:fldChar w:fldCharType="end"/>
      </w:r>
      <w:bookmarkEnd w:id="402"/>
      <w:bookmarkEnd w:id="403"/>
      <w:bookmarkEnd w:id="404"/>
      <w:bookmarkEnd w:id="405"/>
      <w:r>
        <w:rPr>
          <w:szCs w:val="24"/>
        </w:rPr>
        <w:t>:</w:t>
      </w:r>
    </w:p>
    <w:p>
      <w:pPr>
        <w:pStyle w:val="ListParagraph"/>
        <w:numPr>
          <w:ilvl w:val="0"/>
          <w:numId w:val="11"/>
        </w:numPr>
        <w:spacing w:lineRule="auto" w:line="360" w:before="0" w:after="0"/>
        <w:rPr/>
      </w:pPr>
      <w:r>
        <w:rPr>
          <w:rFonts w:cs="Arial"/>
          <w:szCs w:val="24"/>
          <w:lang w:val="en-US"/>
        </w:rPr>
        <w:t xml:space="preserve">Construcción de resúmenes a partir de técnicas de estadística descriptiva </w:t>
      </w:r>
      <w:r>
        <w:fldChar w:fldCharType="begin"/>
      </w:r>
      <w:r>
        <w:instrText>ADDIN ZOTERO_ITEM CSL_CITATION {"citationID":"r929TXmb","properties":{"formattedCitation":"(Boran, Akay y Yager 2016)","plainCitation":"(Boran, Akay y Yager 2016)","noteIndex":0},"citationItems":[{"id":"NJclqhNX/6PyOWd0u","uris":["http://zotero.org/users/local/rsuvzjK6/items/QWDE7BJJ"],"uri":["http://zotero.org/users/local/rsuvzjK6/items/QWDE7BJJ"],"itemData":{"id":3343,"type":"article-journal","container-title":"Expert Systems with Applications","DOI":"10.1016/j.eswa.2016.05.044","page":"356–377","title":"An overview of methods for linguistic summarization with fuzzy sets","volume":"61","author":[{"family":"Boran","given":"Fatih Emre"},{"family":"Akay","given":"Diyar"},{"family":"Yager","given":"Ronald R"}],"issued":{"date-parts":[["2016"]]}}}],"schema":"https://github.com/citation-style-language/schema/raw/master/csl-citation.json"}</w:instrText>
      </w:r>
      <w:r>
        <w:fldChar w:fldCharType="separate"/>
      </w:r>
      <w:bookmarkStart w:id="406" w:name="__Fieldmark__4068_2067855929"/>
      <w:r>
        <w:rPr>
          <w:rFonts w:cs="Arial"/>
          <w:szCs w:val="24"/>
          <w:lang w:val="en-US"/>
        </w:rPr>
        <w:t>(</w:t>
      </w:r>
      <w:bookmarkStart w:id="407" w:name="__Fieldmark__3568_498839314"/>
      <w:r>
        <w:rPr>
          <w:rFonts w:cs="Arial"/>
          <w:szCs w:val="24"/>
          <w:lang w:val="en-US"/>
        </w:rPr>
        <w:t>B</w:t>
      </w:r>
      <w:bookmarkStart w:id="408" w:name="__Fieldmark__3261_998588997"/>
      <w:r>
        <w:rPr>
          <w:rFonts w:cs="Arial"/>
          <w:szCs w:val="24"/>
          <w:lang w:val="en-US"/>
        </w:rPr>
        <w:t>o</w:t>
      </w:r>
      <w:bookmarkStart w:id="409" w:name="__Fieldmark__5746_118561941"/>
      <w:r>
        <w:rPr>
          <w:rFonts w:cs="Arial"/>
          <w:szCs w:val="24"/>
          <w:lang w:val="en-US"/>
        </w:rPr>
        <w:t>ran, Akay y Yager 2016)</w:t>
      </w:r>
      <w:r>
        <w:rPr>
          <w:rFonts w:cs="Arial"/>
          <w:szCs w:val="24"/>
          <w:lang w:val="en-US"/>
        </w:rPr>
      </w:r>
      <w:r>
        <w:fldChar w:fldCharType="end"/>
      </w:r>
      <w:bookmarkEnd w:id="406"/>
      <w:bookmarkEnd w:id="407"/>
      <w:bookmarkEnd w:id="408"/>
      <w:bookmarkEnd w:id="409"/>
      <w:r>
        <w:rPr>
          <w:rFonts w:cs="Arial"/>
          <w:szCs w:val="24"/>
          <w:lang w:val="en-US"/>
        </w:rPr>
        <w:t xml:space="preserve">, </w:t>
      </w:r>
      <w:r>
        <w:fldChar w:fldCharType="begin"/>
      </w:r>
      <w:r>
        <w:instrText>ADDIN ZOTERO_ITEM CSL_CITATION {"citationID":"REMIKA8A","properties":{"formattedCitation":"(Khedidja, Allel y Mohand 2020)","plainCitation":"(Khedidja, Allel y Mohand 2020)","noteIndex":0},"citationItems":[{"id":"NJclqhNX/CLlQlJMn","uris":["http://zotero.org/users/local/rsuvzjK6/items/94JGYQQP"],"uri":["http://zotero.org/users/local/rsuvzjK6/items/94JGYQQP"],"itemData":{"id":3319,"type":"article-journal","abstract":"The rapid and significant increase in the amount of sensor data to be processed requires the use of techniques to reduce the size of data in order to efficiently extract the relevant knowledge. In this paper, we present two approaches used to derive data summaries. The first one relies on linguistic quantifiers in the sense of Yager. The second one leverages the notion of the typical value of a data set. Then, we show our implementation of these two methods with some experiments conducted on different databases (real-flight data collected from the ADSB project and real data for smart city collected from neOCampus project). The comparative studies show the best approach w.r.t. execution time.","container-title":"International Journal of Computing and Digital Systems","DOI":"10.12785/ijcds/090505","ISSN":"2210-142X","issue":"5","page":"825–833","title":"Data Summarization for Sensor Data Management: Towards Computational-Intelligence-Based Approaches","volume":"9","author":[{"family":"Khedidja","given":"Boulanouar"},{"family":"Allel","given":"Hadjali"},{"family":"Mohand","given":"Lagha"}],"issued":{"date-parts":[["2020"]]}}}],"schema":"https://github.com/citation-style-language/schema/raw/master/csl-citation.json"}</w:instrText>
      </w:r>
      <w:r>
        <w:fldChar w:fldCharType="separate"/>
      </w:r>
      <w:bookmarkStart w:id="410" w:name="__Fieldmark__4083_2067855929"/>
      <w:r>
        <w:rPr>
          <w:rFonts w:cs="Arial"/>
          <w:szCs w:val="24"/>
          <w:lang w:val="en-US"/>
        </w:rPr>
        <w:t>(</w:t>
      </w:r>
      <w:bookmarkStart w:id="411" w:name="__Fieldmark__3579_498839314"/>
      <w:r>
        <w:rPr>
          <w:rFonts w:cs="Arial"/>
          <w:szCs w:val="24"/>
          <w:lang w:val="en-US"/>
        </w:rPr>
        <w:t>K</w:t>
      </w:r>
      <w:bookmarkStart w:id="412" w:name="__Fieldmark__3268_998588997"/>
      <w:r>
        <w:rPr>
          <w:rFonts w:cs="Arial"/>
          <w:szCs w:val="24"/>
          <w:lang w:val="en-US"/>
        </w:rPr>
        <w:t>h</w:t>
      </w:r>
      <w:bookmarkStart w:id="413" w:name="__Fieldmark__5751_118561941"/>
      <w:r>
        <w:rPr>
          <w:rFonts w:cs="Arial"/>
          <w:szCs w:val="24"/>
          <w:lang w:val="en-US"/>
        </w:rPr>
        <w:t>edidja, Allel y Mohand 2020)</w:t>
      </w:r>
      <w:r>
        <w:rPr>
          <w:rFonts w:cs="Arial"/>
          <w:szCs w:val="24"/>
          <w:lang w:val="en-US"/>
        </w:rPr>
      </w:r>
      <w:r>
        <w:fldChar w:fldCharType="end"/>
      </w:r>
      <w:bookmarkEnd w:id="410"/>
      <w:bookmarkEnd w:id="411"/>
      <w:bookmarkEnd w:id="412"/>
      <w:bookmarkEnd w:id="413"/>
      <w:r>
        <w:rPr>
          <w:rFonts w:cs="Arial"/>
          <w:szCs w:val="24"/>
          <w:lang w:val="en-US"/>
        </w:rPr>
        <w:t>.</w:t>
      </w:r>
    </w:p>
    <w:p>
      <w:pPr>
        <w:pStyle w:val="ListParagraph"/>
        <w:numPr>
          <w:ilvl w:val="0"/>
          <w:numId w:val="11"/>
        </w:numPr>
        <w:spacing w:lineRule="auto" w:line="360" w:before="0" w:after="0"/>
        <w:rPr/>
      </w:pPr>
      <w:r>
        <w:rPr>
          <w:rFonts w:cs="Arial"/>
          <w:szCs w:val="24"/>
          <w:lang w:val="en-US"/>
        </w:rPr>
        <w:t xml:space="preserve">Generación de resúmenes lingüísticos a partir de lenguaje de consultas, inicialmente desarrollados por J. Kacprzyk y colaboradores </w:t>
      </w:r>
      <w:r>
        <w:fldChar w:fldCharType="begin"/>
      </w:r>
      <w:r>
        <w:instrText>ADDIN ZOTERO_ITEM CSL_CITATION {"citationID":"w8gfvJhR","properties":{"formattedCitation":"(Kacprzyk, Janusz 1999)","plainCitation":"(Kacprzyk, Janusz 1999)","noteIndex":0},"citationItems":[{"id":"NJclqhNX/abbhmRdl","uris":["http://zotero.org/users/local/rsuvzjK6/items/XI2V5WCG"],"uri":["http://zotero.org/users/local/rsuvzjK6/items/XI2V5WCG"],"itemData":{"id":3356,"type":"paper-conference","abstract":"We present an interactive approach to deriving linguistic summaries of sets of data (databases). We employ R.R. Yager's (1982; 1991) idea, based on a calculus of linguistically quantified statements, as a point of departure. Since a fully automatic derivation of linguistic summaries is unrealistic for now, we follow J. Kacprzyk and S. Zadrozny's (1998) general approach advocating the use of a fuzzy querying interface for defining classes of summaries of interest. We show some results of linguistic summaries derived using the implemented system for sales data at a computer retailer.","container-title":"18th International Conference of the North American Fuzzy Information Processing Society-NAFIPS (Cat. No. 99TH8397)","DOI":"10.1109/NAFIPS.1999.781763","ISBN":"0-7803-5211-4","page":"595–599","publisher":"IEEE","title":"An interactive fuzzy logic approach to linguistic data summaries","author":[{"family":"Kacprzyk","given":"Janusz"}],"issued":{"date-parts":[["1999"]]}}}],"schema":"https://github.com/citation-style-language/schema/raw/master/csl-citation.json"}</w:instrText>
      </w:r>
      <w:r>
        <w:fldChar w:fldCharType="separate"/>
      </w:r>
      <w:bookmarkStart w:id="414" w:name="__Fieldmark__4101_2067855929"/>
      <w:r>
        <w:rPr>
          <w:rFonts w:cs="Arial"/>
          <w:szCs w:val="24"/>
          <w:lang w:val="en-US"/>
        </w:rPr>
        <w:t>(</w:t>
      </w:r>
      <w:bookmarkStart w:id="415" w:name="__Fieldmark__3592_498839314"/>
      <w:r>
        <w:rPr>
          <w:rFonts w:cs="Arial"/>
          <w:szCs w:val="24"/>
          <w:lang w:val="en-US"/>
        </w:rPr>
        <w:t>K</w:t>
      </w:r>
      <w:bookmarkStart w:id="416" w:name="__Fieldmark__3277_998588997"/>
      <w:r>
        <w:rPr>
          <w:rFonts w:cs="Arial"/>
          <w:szCs w:val="24"/>
          <w:lang w:val="en-US"/>
        </w:rPr>
        <w:t>a</w:t>
      </w:r>
      <w:bookmarkStart w:id="417" w:name="__Fieldmark__5759_118561941"/>
      <w:r>
        <w:rPr>
          <w:rFonts w:cs="Arial"/>
          <w:szCs w:val="24"/>
          <w:lang w:val="en-US"/>
        </w:rPr>
        <w:t>cprzyk, Janusz 1999)</w:t>
      </w:r>
      <w:r>
        <w:rPr>
          <w:rFonts w:cs="Arial"/>
          <w:szCs w:val="24"/>
          <w:lang w:val="en-US"/>
        </w:rPr>
      </w:r>
      <w:r>
        <w:fldChar w:fldCharType="end"/>
      </w:r>
      <w:bookmarkEnd w:id="414"/>
      <w:bookmarkEnd w:id="415"/>
      <w:bookmarkEnd w:id="416"/>
      <w:bookmarkEnd w:id="417"/>
      <w:r>
        <w:rPr>
          <w:rFonts w:cs="Arial"/>
          <w:szCs w:val="24"/>
          <w:lang w:val="en-US"/>
        </w:rPr>
        <w:t>.</w:t>
      </w:r>
    </w:p>
    <w:p>
      <w:pPr>
        <w:pStyle w:val="ListParagraph"/>
        <w:numPr>
          <w:ilvl w:val="0"/>
          <w:numId w:val="10"/>
        </w:numPr>
        <w:spacing w:lineRule="auto" w:line="360" w:before="0" w:after="0"/>
        <w:rPr/>
      </w:pPr>
      <w:r>
        <w:rPr>
          <w:rFonts w:cs="Arial"/>
          <w:szCs w:val="24"/>
          <w:lang w:val="en-US"/>
        </w:rPr>
        <w:t>Generación de resúmenes lingüísticos a partir de reglas de asociación</w:t>
      </w:r>
      <w:r>
        <w:rPr>
          <w:rFonts w:cs="Arial"/>
          <w:szCs w:val="24"/>
        </w:rPr>
        <w:t xml:space="preserve"> </w:t>
      </w:r>
      <w:r>
        <w:fldChar w:fldCharType="begin"/>
      </w:r>
      <w:r>
        <w:instrText>ADDIN ZOTERO_ITEM CSL_CITATION {"citationID":"FHc3aKrn","properties":{"formattedCitation":"(Kacprzyk y Zadro\\uc0\\u380{}ny 2003)","plainCitation":"(Kacprzyk y Zadrożny 2003)","noteIndex":0},"citationItems":[{"id":"NJclqhNX/s9XdLmzK","uris":["http://zotero.org/users/local/rsuvzjK6/items/W6K9ANJX"],"uri":["http://zotero.org/users/local/rsuvzjK6/items/W6K9ANJX"],"itemData":{"id":9,"type":"paper-conference","container-title":"Fuzzy Systems, 2003. FUZZ'03. The 12th IEEE International Conference on","page":"702–707","publisher":"IEEE","title":"Linguistic summarization of data sets using association rules","volume":"1","author":[{"family":"Kacprzyk","given":"Janusz"},{"family":"Zadrożny","given":"Slawomir"}],"issued":{"date-parts":[["2003"]]}}}],"schema":"https://github.com/citation-style-language/schema/raw/master/csl-citation.json"}</w:instrText>
      </w:r>
      <w:r>
        <w:fldChar w:fldCharType="separate"/>
      </w:r>
      <w:bookmarkStart w:id="418" w:name="__Fieldmark__4119_2067855929"/>
      <w:r>
        <w:rPr>
          <w:rFonts w:cs="Arial"/>
          <w:szCs w:val="24"/>
        </w:rPr>
        <w:t>(</w:t>
      </w:r>
      <w:bookmarkStart w:id="419" w:name="__Fieldmark__3606_498839314"/>
      <w:r>
        <w:rPr>
          <w:rFonts w:cs="Arial"/>
          <w:szCs w:val="24"/>
        </w:rPr>
        <w:t>K</w:t>
      </w:r>
      <w:bookmarkStart w:id="420" w:name="__Fieldmark__3287_998588997"/>
      <w:r>
        <w:rPr>
          <w:rFonts w:cs="Arial"/>
          <w:szCs w:val="24"/>
        </w:rPr>
        <w:t>a</w:t>
      </w:r>
      <w:bookmarkStart w:id="421" w:name="__Fieldmark__5767_118561941"/>
      <w:r>
        <w:rPr>
          <w:rFonts w:cs="Arial"/>
          <w:szCs w:val="24"/>
        </w:rPr>
        <w:t>cprzyk y Zadrożny 2003)</w:t>
      </w:r>
      <w:r>
        <w:rPr>
          <w:rFonts w:cs="Arial"/>
          <w:szCs w:val="24"/>
        </w:rPr>
      </w:r>
      <w:r>
        <w:fldChar w:fldCharType="end"/>
      </w:r>
      <w:bookmarkEnd w:id="418"/>
      <w:bookmarkEnd w:id="419"/>
      <w:bookmarkEnd w:id="420"/>
      <w:bookmarkEnd w:id="421"/>
      <w:r>
        <w:rPr>
          <w:rFonts w:cs="Arial"/>
          <w:szCs w:val="24"/>
        </w:rPr>
        <w:t xml:space="preserve"> y </w:t>
      </w:r>
      <w:r>
        <w:rPr>
          <w:rFonts w:cs="Arial"/>
          <w:szCs w:val="24"/>
          <w:lang w:val="en-US"/>
        </w:rPr>
        <w:t xml:space="preserve">de reglas de producción </w:t>
      </w:r>
      <w:r>
        <w:fldChar w:fldCharType="begin"/>
      </w:r>
      <w:r>
        <w:instrText>ADDIN ZOTERO_ITEM CSL_CITATION {"citationID":"qqqFb0wA","properties":{"formattedCitation":"(Dubois y Prade 1992)","plainCitation":"(Dubois y Prade 1992)","noteIndex":0},"citationItems":[{"id":"NJclqhNX/FQoVOYmC","uris":["http://zotero.org/users/local/X7i2mGyy/items/99ZS9MHY"],"uri":["http://zotero.org/users/local/X7i2mGyy/items/99ZS9MHY"],"itemData":{"id":2320,"type":"article-journal","abstract":"Gradual inference rules of the form “The more X is F, the more Y is G” (or of similar forms with “the less” instead of “the more”), which express a progressive change of the degree to which the entity Y satisfies the gradual property G when the degree to which the entity X satisfies the gradual property F is modified, are often encountered in commonsense reasoning. A representation of such rules by means of fuzzy sets is proposed and discussed. This representation turns out to be based on a special implication function already considered in multiple-valued logic. Patterns of reasoning involving gradual inference rules are formalized. Their links with interpolation mechanisms are pointed out.","container-title":"Information Sciences","DOI":"10.1016/0020-0255(92)90035-7","ISSN":"0020-0255","issue":"1","journalAbbreviation":"Information Sciences","language":"en","page":"103-122","source":"ScienceDirect","title":"Gradual inference rules in approximate reasoning","volume":"61","author":[{"family":"Dubois","given":"Didier"},{"family":"Prade","given":"Henri"}],"issued":{"date-parts":[["1992",4,1]]}}}],"schema":"https://github.com/citation-style-language/schema/raw/master/csl-citation.json"}</w:instrText>
      </w:r>
      <w:r>
        <w:fldChar w:fldCharType="separate"/>
      </w:r>
      <w:bookmarkStart w:id="422" w:name="__Fieldmark__4135_2067855929"/>
      <w:r>
        <w:rPr>
          <w:rFonts w:cs="Arial"/>
          <w:szCs w:val="24"/>
          <w:lang w:val="en-US"/>
        </w:rPr>
        <w:t>(</w:t>
      </w:r>
      <w:bookmarkStart w:id="423" w:name="__Fieldmark__3618_498839314"/>
      <w:r>
        <w:rPr>
          <w:rFonts w:cs="Arial"/>
          <w:szCs w:val="24"/>
          <w:lang w:val="en-US"/>
        </w:rPr>
        <w:t>D</w:t>
      </w:r>
      <w:bookmarkStart w:id="424" w:name="__Fieldmark__3295_998588997"/>
      <w:r>
        <w:rPr>
          <w:rFonts w:cs="Arial"/>
          <w:szCs w:val="24"/>
          <w:lang w:val="en-US"/>
        </w:rPr>
        <w:t>u</w:t>
      </w:r>
      <w:bookmarkStart w:id="425" w:name="__Fieldmark__5773_118561941"/>
      <w:r>
        <w:rPr>
          <w:rFonts w:cs="Arial"/>
          <w:szCs w:val="24"/>
          <w:lang w:val="en-US"/>
        </w:rPr>
        <w:t>bois y Prade 1992)</w:t>
      </w:r>
      <w:r>
        <w:rPr>
          <w:rFonts w:cs="Arial"/>
          <w:szCs w:val="24"/>
          <w:lang w:val="en-US"/>
        </w:rPr>
      </w:r>
      <w:r>
        <w:fldChar w:fldCharType="end"/>
      </w:r>
      <w:bookmarkEnd w:id="422"/>
      <w:bookmarkEnd w:id="423"/>
      <w:bookmarkEnd w:id="424"/>
      <w:bookmarkEnd w:id="425"/>
      <w:r>
        <w:rPr>
          <w:rFonts w:cs="Arial"/>
          <w:szCs w:val="24"/>
          <w:lang w:val="en-US"/>
        </w:rPr>
        <w:t>.</w:t>
      </w:r>
    </w:p>
    <w:p>
      <w:pPr>
        <w:pStyle w:val="ListParagraph"/>
        <w:numPr>
          <w:ilvl w:val="0"/>
          <w:numId w:val="11"/>
        </w:numPr>
        <w:spacing w:lineRule="auto" w:line="360" w:before="0" w:after="0"/>
        <w:rPr/>
      </w:pPr>
      <w:r>
        <w:rPr>
          <w:rFonts w:cs="Arial"/>
          <w:szCs w:val="24"/>
          <w:lang w:val="en-US"/>
        </w:rPr>
        <w:t xml:space="preserve">Generación de resúmenes lingüísticos a partir de metaheurísticas, entre los primeros trabajos está el de George y colaboradores </w:t>
      </w:r>
      <w:r>
        <w:fldChar w:fldCharType="begin"/>
      </w:r>
      <w:r>
        <w:instrText>ADDIN ZOTERO_ITEM CSL_CITATION {"citationID":"a1oo9k57uie","properties":{"formattedCitation":"(George et\\uc0\\u160{}al. 1996)","plainCitation":"(George et al. 1996)","noteIndex":0},"citationItems":[{"id":"NJclqhNX/jHm2LdnZ","uris":["http://zotero.org/users/local/rsuvzjK6/items/I82VLKI2"],"uri":["http://zotero.org/users/local/rsuvzjK6/items/I82VLKI2"],"itemData":{"id":3309,"type":"article-journal","container-title":"Genetic Algorithms and Soft Computing","page":"599–611","title":"Data summarization using genetic algorithms and fuzzy logic","author":[{"family":"George","given":"R."},{"family":"Srikant","given":"R."},{"family":"Herrera","given":"F."},{"family":"Verdegay","given":"J.L."}],"issued":{"date-parts":[["1996"]]}}}],"schema":"https://github.com/citation-style-language/schema/raw/master/csl-citation.json"}</w:instrText>
      </w:r>
      <w:r>
        <w:fldChar w:fldCharType="separate"/>
      </w:r>
      <w:bookmarkStart w:id="426" w:name="__Fieldmark__4152_2067855929"/>
      <w:r>
        <w:rPr>
          <w:rFonts w:cs="Arial"/>
          <w:szCs w:val="24"/>
          <w:lang w:val="en-US"/>
        </w:rPr>
        <w:t>(</w:t>
      </w:r>
      <w:bookmarkStart w:id="427" w:name="__Fieldmark__3631_498839314"/>
      <w:r>
        <w:rPr>
          <w:rFonts w:cs="Arial"/>
          <w:szCs w:val="24"/>
          <w:lang w:val="en-US"/>
        </w:rPr>
        <w:t>G</w:t>
      </w:r>
      <w:bookmarkStart w:id="428" w:name="__Fieldmark__3304_998588997"/>
      <w:r>
        <w:rPr>
          <w:rFonts w:cs="Arial"/>
          <w:szCs w:val="24"/>
          <w:lang w:val="en-US"/>
        </w:rPr>
        <w:t>e</w:t>
      </w:r>
      <w:bookmarkStart w:id="429" w:name="__Fieldmark__5787_118561941"/>
      <w:r>
        <w:rPr>
          <w:rFonts w:cs="Arial"/>
          <w:szCs w:val="24"/>
          <w:lang w:val="en-US"/>
        </w:rPr>
        <w:t>orge et al. 1996)</w:t>
      </w:r>
      <w:r>
        <w:rPr>
          <w:rFonts w:cs="Arial"/>
          <w:szCs w:val="24"/>
          <w:lang w:val="en-US"/>
        </w:rPr>
      </w:r>
      <w:r>
        <w:fldChar w:fldCharType="end"/>
      </w:r>
      <w:bookmarkEnd w:id="426"/>
      <w:bookmarkEnd w:id="427"/>
      <w:bookmarkEnd w:id="428"/>
      <w:bookmarkEnd w:id="429"/>
      <w:r>
        <w:rPr>
          <w:rFonts w:cs="Arial"/>
          <w:szCs w:val="24"/>
          <w:lang w:val="en-US"/>
        </w:rPr>
        <w:t>.</w:t>
      </w:r>
    </w:p>
    <w:p>
      <w:pPr>
        <w:pStyle w:val="ListParagraph"/>
        <w:numPr>
          <w:ilvl w:val="0"/>
          <w:numId w:val="11"/>
        </w:numPr>
        <w:tabs>
          <w:tab w:val="left" w:pos="0" w:leader="none"/>
        </w:tabs>
        <w:spacing w:lineRule="auto" w:line="360" w:before="0" w:after="0"/>
        <w:rPr/>
      </w:pPr>
      <w:r>
        <w:rPr>
          <w:rFonts w:cs="Arial"/>
          <w:szCs w:val="24"/>
          <w:lang w:val="en-US"/>
        </w:rPr>
        <w:t xml:space="preserve">Generación de resúmenes a partir de técnicas de agrupamiento </w:t>
      </w:r>
      <w:r>
        <w:fldChar w:fldCharType="begin"/>
      </w:r>
      <w:r>
        <w:instrText>ADDIN ZOTERO_ITEM CSL_CITATION {"citationID":"Lor2KnoT","properties":{"formattedCitation":"(Wilbik y Dijkman 2016)","plainCitation":"(Wilbik y Dijkman 2016)","noteIndex":0},"citationItems":[{"id":"NJclqhNX/1ebjSrdZ","uris":["http://zotero.org/users/local/rsuvzjK6/items/9WRTM8B6"],"uri":["http://zotero.org/users/local/rsuvzjK6/items/9WRTM8B6"],"itemData":{"id":3260,"type":"paper-conference","abstract":"Linguistic summarization techniques make it easy to gain insight into large amounts of data by describing the main properties of the data linguistically. In this paper we focus on a specific type of data, namely process data, i.e., event logs that contain information about when some activities were performed for a particular customer case. An event log may contain many different sequences, because actions or events are often performed in slightly different orders for different customer cases. This easily leads to a very large number of generated summaries. As the point of linguistic summarization is to provide a quick overview, such a large number of summaries is not helpful to the interpreter. To address this problem, we propose a method for the generation of linguistic summaries of sequences that groups similar sequences and returns them in a single linguistic summary. We show the applicability of our technique on an event log from practice and show that it can be used to reduce the number of produced summaries by 80%, while keeping the important information that is contained in those summaries.","container-title":"2016 IEEE International Conference on Fuzzy Systems (FUZZ-IEEE)","DOI":"10.1109/FUZZ-IEEE.2016.7737736","page":"555–562","title":"On the generation of useful linguistic summaries of sequences","author":[{"family":"Wilbik","given":"Anna"},{"family":"Dijkman","given":"Remco M."}],"issued":{"date-parts":[["2016",7]]}}}],"schema":"https://github.com/citation-style-language/schema/raw/master/csl-citation.json"}</w:instrText>
      </w:r>
      <w:r>
        <w:fldChar w:fldCharType="separate"/>
      </w:r>
      <w:bookmarkStart w:id="430" w:name="__Fieldmark__4169_2067855929"/>
      <w:r>
        <w:rPr>
          <w:rFonts w:cs="Arial"/>
          <w:szCs w:val="24"/>
          <w:lang w:val="en-US"/>
        </w:rPr>
        <w:t>(</w:t>
      </w:r>
      <w:bookmarkStart w:id="431" w:name="__Fieldmark__3644_498839314"/>
      <w:r>
        <w:rPr>
          <w:rFonts w:cs="Arial"/>
          <w:szCs w:val="24"/>
          <w:lang w:val="en-US"/>
        </w:rPr>
        <w:t>W</w:t>
      </w:r>
      <w:bookmarkStart w:id="432" w:name="__Fieldmark__3313_998588997"/>
      <w:r>
        <w:rPr>
          <w:rFonts w:cs="Arial"/>
          <w:szCs w:val="24"/>
          <w:lang w:val="en-US"/>
        </w:rPr>
        <w:t>i</w:t>
      </w:r>
      <w:bookmarkStart w:id="433" w:name="__Fieldmark__5794_118561941"/>
      <w:r>
        <w:rPr>
          <w:rFonts w:cs="Arial"/>
          <w:szCs w:val="24"/>
          <w:lang w:val="en-US"/>
        </w:rPr>
        <w:t>lbik y Dijkman 2016)</w:t>
      </w:r>
      <w:r>
        <w:rPr>
          <w:rFonts w:cs="Arial"/>
          <w:szCs w:val="24"/>
          <w:lang w:val="en-US"/>
        </w:rPr>
      </w:r>
      <w:r>
        <w:fldChar w:fldCharType="end"/>
      </w:r>
      <w:bookmarkEnd w:id="430"/>
      <w:bookmarkEnd w:id="431"/>
      <w:bookmarkEnd w:id="432"/>
      <w:bookmarkEnd w:id="433"/>
      <w:r>
        <w:rPr>
          <w:rFonts w:cs="Arial"/>
          <w:szCs w:val="24"/>
        </w:rPr>
        <w:t xml:space="preserve"> </w:t>
      </w:r>
      <w:r>
        <w:rPr>
          <w:rFonts w:cs="Arial"/>
          <w:szCs w:val="24"/>
          <w:lang w:val="en-US"/>
        </w:rPr>
        <w:t>y combinaciones con problemas de generación de resúmenes a partir de datos anómalos (</w:t>
      </w:r>
      <w:r>
        <w:rPr>
          <w:rFonts w:cs="Arial"/>
          <w:i/>
          <w:szCs w:val="24"/>
          <w:lang w:val="en-US"/>
        </w:rPr>
        <w:t>outliers</w:t>
      </w:r>
      <w:r>
        <w:rPr>
          <w:rFonts w:cs="Arial"/>
          <w:szCs w:val="24"/>
          <w:lang w:val="en-US"/>
        </w:rPr>
        <w:t xml:space="preserve">) </w:t>
      </w:r>
      <w:r>
        <w:fldChar w:fldCharType="begin"/>
      </w:r>
      <w:r>
        <w:instrText>ADDIN ZOTERO_ITEM CSL_CITATION {"citationID":"a7gcbsgpe8","properties":{"formattedCitation":"(P\\uc0\\u233{}rez Pupo, Pi\\uc0\\u241{}ero P\\uc0\\u233{}rez, Vacacela, et\\uc0\\u160{}al. 2020)","plainCitation":"(Pérez Pupo, Piñero Pérez, Vacacela, et al. 2020)","noteIndex":0},"citationItems":[{"id":"NJclqhNX/ApDoS2n4","uris":["http://zotero.org/users/local/rsuvzjK6/items/5UTLXIFQ"],"uri":["http://zotero.org/users/local/rsuvzjK6/items/5UTLXIFQ"],"itemData":{"id":3311,"type":"paper-conference","abstract":"Linguistic data summarization techniques help to discover complex relationships between variables and to present the information in natural language. There are some investigations associated to algorithms to build linguistic summaries. But the literature does no report investigations concerned with combination linguistic data summarization techniques and outliers’ mining applied to planning of software project. In particular, outliers’ mining is a datamining technique, useful in errors and fraud detection. In this work authors present new algorithms to build linguistic data summaries from outliers in software project planning context. Besides, authors compare different outliers’ detection algorithms in software project planning context. The main motivation of this work is to detect planning errors in projects, to avoid high cost and time delays. Authors consider that the combination of outliers’ mining and linguistic data summarization support project managers to decision-making process in the software project planning. Finally, authors present the interpretation of obtained summaries and comment about its impact..","collection-title":"12179 LNAI","container-title":"International Joint Conference on Rough Sets. Lecture Notes in Computer Science ISSN 0302-9743, Springer, 12179 LNAI, ISBN 978-3-030-52704-4","DOI":"10.1007/978-3-030-52705-1_27","page":"365–375","publisher":"Lecture Notes in Computer Science, Springer","title":"Discovering Fails in Software Projects Planning Based on Linguistic Summaries","URL":"https://link.springer.com/content/pdf/10.1007%2F978-3-030-52705-1_27.pdf","author":[{"family":"Pérez Pupo","given":"Iliana"},{"family":"Piñero Pérez","given":"Pedro Yobani"},{"family":"Vacacela","given":"Roberto García"},{"family":"Bello","given":"Rafael"},{"family":"Acuña","given":"Luis Alvarado"}],"issued":{"date-parts":[["2020"]]}}}],"schema":"https://github.com/citation-style-language/schema/raw/master/csl-citation.json"}</w:instrText>
      </w:r>
      <w:r>
        <w:fldChar w:fldCharType="separate"/>
      </w:r>
      <w:bookmarkStart w:id="434" w:name="__Fieldmark__4187_2067855929"/>
      <w:r>
        <w:rPr>
          <w:rFonts w:cs="Arial"/>
          <w:szCs w:val="24"/>
          <w:lang w:val="en-US"/>
        </w:rPr>
        <w:t>(</w:t>
      </w:r>
      <w:bookmarkStart w:id="435" w:name="__Fieldmark__3658_498839314"/>
      <w:r>
        <w:rPr>
          <w:rFonts w:cs="Arial"/>
          <w:szCs w:val="24"/>
          <w:lang w:val="en-US"/>
        </w:rPr>
        <w:t>P</w:t>
      </w:r>
      <w:bookmarkStart w:id="436" w:name="__Fieldmark__3323_998588997"/>
      <w:r>
        <w:rPr>
          <w:rFonts w:cs="Arial"/>
          <w:szCs w:val="24"/>
          <w:lang w:val="en-US"/>
        </w:rPr>
        <w:t>é</w:t>
      </w:r>
      <w:bookmarkStart w:id="437" w:name="__Fieldmark__5803_118561941"/>
      <w:r>
        <w:rPr>
          <w:rFonts w:cs="Arial"/>
          <w:szCs w:val="24"/>
          <w:lang w:val="en-US"/>
        </w:rPr>
        <w:t>rez Pupo, Piñero Pérez, Vacacela, et al. 2020)</w:t>
      </w:r>
      <w:r>
        <w:rPr>
          <w:rFonts w:cs="Arial"/>
          <w:szCs w:val="24"/>
          <w:lang w:val="en-US"/>
        </w:rPr>
      </w:r>
      <w:r>
        <w:fldChar w:fldCharType="end"/>
      </w:r>
      <w:bookmarkEnd w:id="434"/>
      <w:bookmarkEnd w:id="435"/>
      <w:bookmarkEnd w:id="436"/>
      <w:bookmarkEnd w:id="437"/>
      <w:r>
        <w:rPr>
          <w:rFonts w:cs="Arial"/>
          <w:szCs w:val="24"/>
          <w:lang w:val="en-US"/>
        </w:rPr>
        <w:t>.</w:t>
      </w:r>
    </w:p>
    <w:p>
      <w:pPr>
        <w:pStyle w:val="ListParagraph"/>
        <w:numPr>
          <w:ilvl w:val="0"/>
          <w:numId w:val="11"/>
        </w:numPr>
        <w:tabs>
          <w:tab w:val="left" w:pos="0" w:leader="none"/>
        </w:tabs>
        <w:spacing w:lineRule="auto" w:line="288"/>
        <w:rPr/>
      </w:pPr>
      <w:r>
        <w:rPr>
          <w:rFonts w:cs="Arial"/>
          <w:szCs w:val="24"/>
          <w:lang w:val="en-US"/>
        </w:rPr>
        <w:t xml:space="preserve">Generación de resúmenes a partir conjuntos aproximados </w:t>
      </w:r>
      <w:r>
        <w:fldChar w:fldCharType="begin"/>
      </w:r>
      <w:r>
        <w:instrText>ADDIN ZOTERO_ITEM CSL_CITATION {"citationID":"7n6qtml6","properties":{"formattedCitation":"(P\\uc0\\u233{}rez Pupo, Pi\\uc0\\u241{}ero P\\uc0\\u233{}rez, Bello, et\\uc0\\u160{}al. 2020)","plainCitation":"(Pérez Pupo, Piñero Pérez, Bello, et al. 2020)","noteIndex":0},"citationItems":[{"id":"NJclqhNX/PDTiX7Vi","uris":["http://zotero.org/users/local/rsuvzjK6/items/ET28SE4P"],"uri":["http://zotero.org/users/local/rsuvzjK6/items/ET28SE4P"],"itemData":{"id":3312,"type":"paper-conference","abstract":"In this paper authors propose a new algorithm for linguistic data summarization based on hybridization of rough sets and fuzzy sets techniques. The new algorithm applies rough sets theory for feature selection in early stages of linguistic summaries’ generation. The rough sets theory was used to reduce on significant way, the amount on summaries obtained by others algorithms. The algorithm combines lower approximation, k grade dependency and fuzzy sets to get linguistic summaries. The results of proposed algorithm are compared with association rules approach. In order to validate the algorithm proposed, authors apply both qualitative and quantitative methods. Authors used two databases in order to validate the algorithm; theses databases belong to “Repository of Project Management Research”. The first database is associated to personality traits and human performance in software projects. The second database is associated to analysis of revenue assurance in different organization. Considering quantitative approach, the algorithm proposed, obtains better results than the algorithm based on association rules; while regards execution time, the best algorithm was the algorithm based on association rules, because rough sets theory was high time-consuming technique.","collection-title":"12179 LNAI","container-title":"International Joint Conference on Rough Sets. Lecture Notes in Computer Science ISSN 0302-9743, Springer, 12179 LNAI, ISBN 978-3-030-52704-4","DOI":"10.1007/978-3-030-52705-1_29","ISBN":"978-3-030-52704-4","page":"385–397","publisher":"Lecture Notes in Computer Science, Springer","title":"Linguistic Summaries Generation with Hybridization Method Based on Rough and Fuzzy Sets","author":[{"family":"Pérez Pupo","given":"Iliana"},{"family":"Piñero Pérez","given":"Pedro Yobani"},{"family":"Bello","given":"Rafael"},{"family":"Acuña","given":"Luis Alvarado"},{"family":"Vacacela","given":"Roberto García"}],"issued":{"date-parts":[["2020"]]}}}],"schema":"https://github.com/citation-style-language/schema/raw/master/csl-citation.json"}</w:instrText>
      </w:r>
      <w:r>
        <w:fldChar w:fldCharType="separate"/>
      </w:r>
      <w:bookmarkStart w:id="438" w:name="__Fieldmark__4204_2067855929"/>
      <w:r>
        <w:rPr>
          <w:rFonts w:cs="Arial"/>
          <w:szCs w:val="24"/>
          <w:lang w:val="en-US"/>
        </w:rPr>
        <w:t>(</w:t>
      </w:r>
      <w:bookmarkStart w:id="439" w:name="__Fieldmark__3671_498839314"/>
      <w:r>
        <w:rPr>
          <w:rFonts w:cs="Arial"/>
          <w:szCs w:val="24"/>
          <w:lang w:val="en-US"/>
        </w:rPr>
        <w:t>P</w:t>
      </w:r>
      <w:bookmarkStart w:id="440" w:name="__Fieldmark__3332_998588997"/>
      <w:r>
        <w:rPr>
          <w:rFonts w:cs="Arial"/>
          <w:szCs w:val="24"/>
          <w:lang w:val="en-US"/>
        </w:rPr>
        <w:t>é</w:t>
      </w:r>
      <w:bookmarkStart w:id="441" w:name="__Fieldmark__5811_118561941"/>
      <w:r>
        <w:rPr>
          <w:rFonts w:cs="Arial"/>
          <w:szCs w:val="24"/>
          <w:lang w:val="en-US"/>
        </w:rPr>
        <w:t>rez Pupo, Piñero Pérez, Bello, et al. 2020)</w:t>
      </w:r>
      <w:r>
        <w:rPr>
          <w:rFonts w:cs="Arial"/>
          <w:szCs w:val="24"/>
          <w:lang w:val="en-US"/>
        </w:rPr>
      </w:r>
      <w:r>
        <w:fldChar w:fldCharType="end"/>
      </w:r>
      <w:bookmarkEnd w:id="438"/>
      <w:bookmarkEnd w:id="439"/>
      <w:bookmarkEnd w:id="440"/>
      <w:bookmarkEnd w:id="441"/>
      <w:r>
        <w:rPr>
          <w:rFonts w:cs="Arial"/>
          <w:szCs w:val="24"/>
          <w:lang w:val="en-US"/>
        </w:rPr>
        <w:t>.</w:t>
      </w:r>
    </w:p>
    <w:p>
      <w:pPr>
        <w:pStyle w:val="Normal"/>
        <w:rPr/>
      </w:pPr>
      <w:r>
        <w:rPr/>
        <w:t xml:space="preserve">En el </w:t>
      </w:r>
      <w:r>
        <w:rPr/>
        <w:fldChar w:fldCharType="begin"/>
      </w:r>
      <w:r>
        <w:instrText> REF _Ref79256146 \h </w:instrText>
      </w:r>
      <w:r>
        <w:fldChar w:fldCharType="separate"/>
      </w:r>
      <w:r>
        <w:t>Anexo 3</w:t>
      </w:r>
      <w:r>
        <w:fldChar w:fldCharType="end"/>
      </w:r>
      <w:r>
        <w:rPr/>
        <w:t xml:space="preserve">, la </w:t>
      </w:r>
      <w:r>
        <w:rPr/>
        <w:fldChar w:fldCharType="begin"/>
      </w:r>
      <w:r>
        <w:instrText> REF _Ref60469996 \h </w:instrText>
      </w:r>
      <w:r>
        <w:fldChar w:fldCharType="separate"/>
      </w:r>
      <w:r>
        <w:t>Figura 30</w:t>
      </w:r>
      <w:r>
        <w:fldChar w:fldCharType="end"/>
      </w:r>
      <w:r>
        <w:rPr/>
        <w:t xml:space="preserve"> muestra un resumen de cuál ha sido la tendencia de los métodos de generación de resúmenes lingüísticos de datos.</w:t>
      </w:r>
    </w:p>
    <w:p>
      <w:pPr>
        <w:pStyle w:val="Heading3"/>
        <w:numPr>
          <w:ilvl w:val="2"/>
          <w:numId w:val="80"/>
        </w:numPr>
        <w:rPr/>
      </w:pPr>
      <w:r>
        <w:rPr/>
        <w:t>Enfoque estadístico y enfoque basado en consultas</w:t>
      </w:r>
    </w:p>
    <w:p>
      <w:pPr>
        <w:pStyle w:val="Normal"/>
        <w:tabs>
          <w:tab w:val="left" w:pos="0" w:leader="none"/>
        </w:tabs>
        <w:rPr/>
      </w:pPr>
      <w:r>
        <w:rPr/>
        <w:t xml:space="preserve">Las técnicas de estadística descriptiva generalmente son empleadas para la construcción de resúmenes </w:t>
      </w:r>
      <w:r>
        <w:rPr>
          <w:lang w:val="en-US"/>
        </w:rPr>
        <w:t xml:space="preserve">basados en las protoformas 1 y 2 </w:t>
      </w:r>
      <w:r>
        <w:fldChar w:fldCharType="begin"/>
      </w:r>
      <w:r>
        <w:instrText>ADDIN ZOTERO_ITEM CSL_CITATION {"citationID":"P7yDVEgt","properties":{"formattedCitation":"(Boran, Akay y Yager 2016)","plainCitation":"(Boran, Akay y Yager 2016)","noteIndex":0},"citationItems":[{"id":"NJclqhNX/6PyOWd0u","uris":["http://zotero.org/users/local/rsuvzjK6/items/QWDE7BJJ"],"uri":["http://zotero.org/users/local/rsuvzjK6/items/QWDE7BJJ"],"itemData":{"id":3343,"type":"article-journal","container-title":"Expert Systems with Applications","DOI":"10.1016/j.eswa.2016.05.044","page":"356–377","title":"An overview of methods for linguistic summarization with fuzzy sets","volume":"61","author":[{"family":"Boran","given":"Fatih Emre"},{"family":"Akay","given":"Diyar"},{"family":"Yager","given":"Ronald R"}],"issued":{"date-parts":[["2016"]]}}}],"schema":"https://github.com/citation-style-language/schema/raw/master/csl-citation.json"}</w:instrText>
      </w:r>
      <w:r>
        <w:fldChar w:fldCharType="separate"/>
      </w:r>
      <w:bookmarkStart w:id="442" w:name="__Fieldmark__4232_2067855929"/>
      <w:r>
        <w:rPr>
          <w:lang w:val="en-US"/>
        </w:rPr>
        <w:t>(</w:t>
      </w:r>
      <w:bookmarkStart w:id="443" w:name="__Fieldmark__3694_498839314"/>
      <w:r>
        <w:rPr>
          <w:lang w:val="en-US"/>
        </w:rPr>
        <w:t>B</w:t>
      </w:r>
      <w:bookmarkStart w:id="444" w:name="__Fieldmark__3351_998588997"/>
      <w:r>
        <w:rPr>
          <w:lang w:val="en-US"/>
        </w:rPr>
        <w:t>o</w:t>
      </w:r>
      <w:bookmarkStart w:id="445" w:name="__Fieldmark__5836_118561941"/>
      <w:r>
        <w:rPr>
          <w:lang w:val="en-US"/>
        </w:rPr>
        <w:t>ran, Akay y Yager 2016)</w:t>
      </w:r>
      <w:r>
        <w:rPr>
          <w:lang w:val="en-US"/>
        </w:rPr>
      </w:r>
      <w:r>
        <w:fldChar w:fldCharType="end"/>
      </w:r>
      <w:bookmarkEnd w:id="442"/>
      <w:bookmarkEnd w:id="443"/>
      <w:bookmarkEnd w:id="444"/>
      <w:bookmarkEnd w:id="445"/>
      <w:r>
        <w:rPr>
          <w:lang w:val="en-US"/>
        </w:rPr>
        <w:t xml:space="preserve">. Estas técnicas se caracterizan generalmente por generar resúmenes cuantitativos y con una limitada capacidad de descubrimiento de nuevo conocimiento </w:t>
      </w:r>
      <w:r>
        <w:fldChar w:fldCharType="begin"/>
      </w:r>
      <w:r>
        <w:instrText>ADDIN ZOTERO_ITEM CSL_CITATION {"citationID":"jdszljxF","properties":{"formattedCitation":"(Khedidja, Allel y Mohand 2020)","plainCitation":"(Khedidja, Allel y Mohand 2020)","noteIndex":0},"citationItems":[{"id":"NJclqhNX/CLlQlJMn","uris":["http://zotero.org/users/local/rsuvzjK6/items/94JGYQQP"],"uri":["http://zotero.org/users/local/rsuvzjK6/items/94JGYQQP"],"itemData":{"id":3319,"type":"article-journal","abstract":"The rapid and significant increase in the amount of sensor data to be processed requires the use of techniques to reduce the size of data in order to efficiently extract the relevant knowledge. In this paper, we present two approaches used to derive data summaries. The first one relies on linguistic quantifiers in the sense of Yager. The second one leverages the notion of the typical value of a data set. Then, we show our implementation of these two methods with some experiments conducted on different databases (real-flight data collected from the ADSB project and real data for smart city collected from neOCampus project). The comparative studies show the best approach w.r.t. execution time.","container-title":"International Journal of Computing and Digital Systems","DOI":"10.12785/ijcds/090505","ISSN":"2210-142X","issue":"5","page":"825–833","title":"Data Summarization for Sensor Data Management: Towards Computational-Intelligence-Based Approaches","volume":"9","author":[{"family":"Khedidja","given":"Boulanouar"},{"family":"Allel","given":"Hadjali"},{"family":"Mohand","given":"Lagha"}],"issued":{"date-parts":[["2020"]]}}}],"schema":"https://github.com/citation-style-language/schema/raw/master/csl-citation.json"}</w:instrText>
      </w:r>
      <w:r>
        <w:fldChar w:fldCharType="separate"/>
      </w:r>
      <w:bookmarkStart w:id="446" w:name="__Fieldmark__4247_2067855929"/>
      <w:r>
        <w:rPr>
          <w:lang w:val="en-US"/>
        </w:rPr>
        <w:t>(</w:t>
      </w:r>
      <w:bookmarkStart w:id="447" w:name="__Fieldmark__3705_498839314"/>
      <w:r>
        <w:rPr>
          <w:lang w:val="en-US"/>
        </w:rPr>
        <w:t>K</w:t>
      </w:r>
      <w:bookmarkStart w:id="448" w:name="__Fieldmark__3358_998588997"/>
      <w:r>
        <w:rPr>
          <w:lang w:val="en-US"/>
        </w:rPr>
        <w:t>h</w:t>
      </w:r>
      <w:bookmarkStart w:id="449" w:name="__Fieldmark__5841_118561941"/>
      <w:r>
        <w:rPr>
          <w:lang w:val="en-US"/>
        </w:rPr>
        <w:t>edidja, Allel y Mohand 2020)</w:t>
      </w:r>
      <w:r>
        <w:rPr>
          <w:lang w:val="en-US"/>
        </w:rPr>
      </w:r>
      <w:r>
        <w:fldChar w:fldCharType="end"/>
      </w:r>
      <w:bookmarkEnd w:id="446"/>
      <w:bookmarkEnd w:id="447"/>
      <w:bookmarkEnd w:id="448"/>
      <w:bookmarkEnd w:id="449"/>
      <w:r>
        <w:rPr>
          <w:lang w:val="en-US"/>
        </w:rPr>
        <w:t>.</w:t>
      </w:r>
    </w:p>
    <w:p>
      <w:pPr>
        <w:pStyle w:val="Normal"/>
        <w:rPr/>
      </w:pPr>
      <w:r>
        <w:rPr/>
        <w:t xml:space="preserve">Otro ejemplo del enfoque basado en estadística descriptiva es </w:t>
      </w:r>
      <w:r>
        <w:fldChar w:fldCharType="begin"/>
      </w:r>
      <w:r>
        <w:instrText>ADDIN ZOTERO_ITEM CSL_CITATION {"citationID":"G19Ra5Rb","properties":{"formattedCitation":"(Kaczmarek-Majer et\\uc0\\u160{}al. 2019)","plainCitation":"(Kaczmarek-Majer et al. 2019)","noteIndex":0},"citationItems":[{"id":"NJclqhNX/dqnG33mX","uris":["http://zotero.org/users/local/rsuvzjK6/items/Z2YPXP9K"],"uri":["http://zotero.org/users/local/rsuvzjK6/items/Z2YPXP9K"],"itemData":{"id":3250,"type":"paper-conference","abstract":"Personalized linguistic summaries are developed with the use of protoforms in the sense of Yager and Kacprzyk. We discuss the construction and usefulness of such patient-dependent and disease-state-dependent linguistic summaries that may be examplified as `Most outgoing calls in mania state (disease period) are short compared to the calls recorded in...","DOI":"10.2991/eusflat-19.2019.56","ISBN":"978-94-6252-770-6","language":"en","publisher":"Atlantis Press","title":"Personalized linguistic summaries in smartphone-based monitoring of bipolar disorder patients","URL":"https://www.atlantis-press.com/proceedings/eusflat-19/125914826","author":[{"family":"Kaczmarek-Majer","given":"Katarzyna"},{"family":"Hryniewicz","given":"Olgierd"},{"family":"Dominiak","given":"Monika"},{"family":"Święcicki","given":"Łukasz"}],"accessed":{"date-parts":[["2019",12,11]]},"issued":{"date-parts":[["2019",8]]}}}],"schema":"https://github.com/citation-style-language/schema/raw/master/csl-citation.json"}</w:instrText>
      </w:r>
      <w:r>
        <w:fldChar w:fldCharType="separate"/>
      </w:r>
      <w:bookmarkStart w:id="450" w:name="__Fieldmark__4264_2067855929"/>
      <w:r>
        <w:rPr/>
      </w:r>
      <w:r>
        <w:rPr>
          <w:szCs w:val="24"/>
        </w:rPr>
        <w:t>(</w:t>
      </w:r>
      <w:bookmarkStart w:id="451" w:name="__Fieldmark__3718_498839314"/>
      <w:r>
        <w:rPr>
          <w:szCs w:val="24"/>
        </w:rPr>
        <w:t>K</w:t>
      </w:r>
      <w:bookmarkStart w:id="452" w:name="__Fieldmark__3367_998588997"/>
      <w:r>
        <w:rPr>
          <w:szCs w:val="24"/>
        </w:rPr>
        <w:t>a</w:t>
      </w:r>
      <w:bookmarkStart w:id="453" w:name="__Fieldmark__5848_118561941"/>
      <w:r>
        <w:rPr>
          <w:szCs w:val="24"/>
        </w:rPr>
        <w:t>czmarek-Majer et al. 2019)</w:t>
      </w:r>
      <w:r>
        <w:rPr/>
      </w:r>
      <w:r>
        <w:fldChar w:fldCharType="end"/>
      </w:r>
      <w:bookmarkEnd w:id="450"/>
      <w:bookmarkEnd w:id="451"/>
      <w:bookmarkEnd w:id="452"/>
      <w:bookmarkEnd w:id="453"/>
      <w:r>
        <w:rPr/>
        <w:t>, donde se presentan resultados preliminares sobre resúmenes lingüísticos aplicados a la duración media diaria de las llamadas salientes en teléfonos inteligentes. En este trabajo los algoritmos fueron aplicados a pacientes con trastorno bipolar. El estudio tuvo como objetivo el desarrollo de una herramienta de diagnóstico basada en el uso de teléfonos inteligentes para la detección y predicción de los primeros síntomas de un cambio de fase. Los r</w:t>
      </w:r>
      <w:r>
        <w:rPr>
          <w:lang w:eastAsia="ja-JP"/>
        </w:rPr>
        <w:t xml:space="preserve">esúmenes lingüísticos obtenidos en esta investigación son personalizados, basados en la protoforma “Entre todos los objetos que pertenecen al paciente </w:t>
      </w:r>
      <w:r>
        <w:rPr>
          <w:i/>
          <w:lang w:eastAsia="ja-JP"/>
        </w:rPr>
        <w:t>A, Q</w:t>
      </w:r>
      <w:r>
        <w:rPr>
          <w:lang w:eastAsia="ja-JP"/>
        </w:rPr>
        <w:t xml:space="preserve"> son </w:t>
      </w:r>
      <w:r>
        <w:rPr>
          <w:i/>
          <w:lang w:eastAsia="ja-JP"/>
        </w:rPr>
        <w:t>P”</w:t>
      </w:r>
      <w:r>
        <w:rPr>
          <w:lang w:eastAsia="ja-JP"/>
        </w:rPr>
        <w:t xml:space="preserve">, donde </w:t>
      </w:r>
      <w:r>
        <w:rPr>
          <w:i/>
          <w:lang w:eastAsia="ja-JP"/>
        </w:rPr>
        <w:t>Q</w:t>
      </w:r>
      <w:r>
        <w:rPr>
          <w:lang w:eastAsia="ja-JP"/>
        </w:rPr>
        <w:t xml:space="preserve"> es el cuantificador y </w:t>
      </w:r>
      <w:r>
        <w:rPr>
          <w:i/>
          <w:lang w:eastAsia="ja-JP"/>
        </w:rPr>
        <w:t>P</w:t>
      </w:r>
      <w:r>
        <w:rPr>
          <w:lang w:eastAsia="ja-JP"/>
        </w:rPr>
        <w:t xml:space="preserve"> es el sumarizador. </w:t>
      </w:r>
      <w:r>
        <w:rPr/>
        <w:t>Un elemento positivo de esta investigación fue el uso de resúmenes lingüísticos en lugar del procesamiento directo con los registros históricos del paciente en función de la ética médica.</w:t>
      </w:r>
    </w:p>
    <w:p>
      <w:pPr>
        <w:pStyle w:val="Normal"/>
        <w:rPr/>
      </w:pPr>
      <w:r>
        <w:rPr/>
        <w:t xml:space="preserve">En la generación de resúmenes lingüísticos a partir de lenguaje de consultas se destaca el </w:t>
      </w:r>
      <w:r>
        <w:rPr>
          <w:lang w:eastAsia="ja-JP"/>
        </w:rPr>
        <w:t xml:space="preserve">paquete </w:t>
      </w:r>
      <w:r>
        <w:rPr/>
        <w:t xml:space="preserve">FQUERY desarrollado por Kacprzyk y Zadrożny en </w:t>
      </w:r>
      <w:r>
        <w:fldChar w:fldCharType="begin"/>
      </w:r>
      <w:r>
        <w:instrText>ADDIN ZOTERO_ITEM CSL_CITATION {"citationID":"DZa0hN8b","properties":{"formattedCitation":"(Kacprzyk y Zadro\\uc0\\u380{}ny 2000)","plainCitation":"(Kacprzyk y Zadrożny 2000)","noteIndex":0},"citationItems":[{"id":"NJclqhNX/R1euJRME","uris":["http://zotero.org/users/local/rsuvzjK6/items/HEBPVMMX"],"uri":["http://zotero.org/users/local/rsuvzjK6/items/HEBPVMMX"],"itemData":{"id":18,"type":"article-journal","container-title":"Kybernetika","issue":"6","page":"657–670","title":"On a fuzzy querying and data mining interface","volume":"36","author":[{"family":"Kacprzyk","given":"Janusz"},{"family":"Zadrożny","given":"S\\lawomir"}],"issued":{"date-parts":[["2000"]]}}}],"schema":"https://github.com/citation-style-language/schema/raw/master/csl-citation.json"}</w:instrText>
      </w:r>
      <w:r>
        <w:fldChar w:fldCharType="separate"/>
      </w:r>
      <w:bookmarkStart w:id="454" w:name="__Fieldmark__4297_2067855929"/>
      <w:r>
        <w:rPr/>
      </w:r>
      <w:r>
        <w:rPr>
          <w:szCs w:val="24"/>
        </w:rPr>
        <w:t>(</w:t>
      </w:r>
      <w:bookmarkStart w:id="455" w:name="__Fieldmark__3743_498839314"/>
      <w:r>
        <w:rPr>
          <w:szCs w:val="24"/>
        </w:rPr>
        <w:t>K</w:t>
      </w:r>
      <w:bookmarkStart w:id="456" w:name="__Fieldmark__3388_998588997"/>
      <w:r>
        <w:rPr>
          <w:szCs w:val="24"/>
        </w:rPr>
        <w:t>a</w:t>
      </w:r>
      <w:bookmarkStart w:id="457" w:name="__Fieldmark__5871_118561941"/>
      <w:r>
        <w:rPr>
          <w:szCs w:val="24"/>
        </w:rPr>
        <w:t>cprzyk y Zadrożny 2000)</w:t>
      </w:r>
      <w:r>
        <w:rPr/>
      </w:r>
      <w:r>
        <w:fldChar w:fldCharType="end"/>
      </w:r>
      <w:bookmarkEnd w:id="454"/>
      <w:bookmarkEnd w:id="455"/>
      <w:bookmarkEnd w:id="456"/>
      <w:bookmarkEnd w:id="457"/>
      <w:r>
        <w:rPr/>
        <w:t xml:space="preserve"> y </w:t>
      </w:r>
      <w:r>
        <w:fldChar w:fldCharType="begin"/>
      </w:r>
      <w:r>
        <w:instrText>ADDIN ZOTERO_ITEM CSL_CITATION {"citationID":"L0Hi0Gqz","properties":{"formattedCitation":"(Kacprzyk, J. 1999)","plainCitation":"(Kacprzyk, J. 1999)","noteIndex":0},"citationItems":[{"id":"NJclqhNX/skmL6fKJ","uris":["http://zotero.org/users/local/rsuvzjK6/items/LX2BBAVA"],"uri":["http://zotero.org/users/local/rsuvzjK6/items/LX2BBAVA"],"itemData":{"id":3283,"type":"paper-conference","abstract":"We present an interactive approach to the linguistic summarization of databases in Yager's (1982, 1991) sense in which fuzzy logic with linguistic quantifiers is employed. For an implementation of such an interactive approach, a human-friendly database querying interface (FQUERY for Access) is used. An implementation at a computer retailer is shown.","container-title":"FUZZ-IEEE'99. 1999 IEEE International Fuzzy Systems. Conference Proceedings (Cat. No.99CH36315)","DOI":"10.1109/FUZZY.1999.793053","page":"813–818 vol.2","title":"Fuzzy logic for linguistic summarization of databases","volume":"2","author":[{"family":"Kacprzyk","given":"J."}],"issued":{"date-parts":[["1999"]]}}}],"schema":"https://github.com/citation-style-language/schema/raw/master/csl-citation.json"}</w:instrText>
      </w:r>
      <w:r>
        <w:fldChar w:fldCharType="separate"/>
      </w:r>
      <w:bookmarkStart w:id="458" w:name="__Fieldmark__4312_2067855929"/>
      <w:r>
        <w:rPr/>
        <w:t>(</w:t>
      </w:r>
      <w:bookmarkStart w:id="459" w:name="__Fieldmark__3754_498839314"/>
      <w:r>
        <w:rPr/>
        <w:t>K</w:t>
      </w:r>
      <w:bookmarkStart w:id="460" w:name="__Fieldmark__3395_998588997"/>
      <w:r>
        <w:rPr/>
        <w:t>a</w:t>
      </w:r>
      <w:bookmarkStart w:id="461" w:name="__Fieldmark__5876_118561941"/>
      <w:r>
        <w:rPr/>
        <w:t>cprzyk, J. 1999)</w:t>
      </w:r>
      <w:r>
        <w:rPr/>
      </w:r>
      <w:r>
        <w:fldChar w:fldCharType="end"/>
      </w:r>
      <w:bookmarkEnd w:id="458"/>
      <w:bookmarkEnd w:id="459"/>
      <w:bookmarkEnd w:id="460"/>
      <w:bookmarkEnd w:id="461"/>
      <w:r>
        <w:rPr/>
        <w:t xml:space="preserve">. Estos autores utilizan consultas difusas que extienden al SQL para la construcción de resúmenes con las protoformas descritas en la </w:t>
      </w:r>
      <w:r>
        <w:rPr/>
        <w:fldChar w:fldCharType="begin"/>
      </w:r>
      <w:r>
        <w:instrText> REF _Ref51676665 \h </w:instrText>
      </w:r>
      <w:r>
        <w:fldChar w:fldCharType="separate"/>
      </w:r>
      <w:r>
        <w:t>Tabla 3</w:t>
      </w:r>
      <w:r>
        <w:fldChar w:fldCharType="end"/>
      </w:r>
      <w:r>
        <w:rPr/>
        <w:t xml:space="preserve">, es un paquete integrado al gestor Microsoft Access </w:t>
      </w:r>
      <w:r>
        <w:fldChar w:fldCharType="begin"/>
      </w:r>
      <w:r>
        <w:instrText>ADDIN ZOTERO_ITEM CSL_CITATION {"citationID":"AJ9zduuR","properties":{"formattedCitation":"(Kacprzyk, Zadro\\uc0\\u380{}ny y Dziedzic 2014)","plainCitation":"(Kacprzyk, Zadrożny y Dziedzic 2014)","noteIndex":0},"citationItems":[{"id":"NJclqhNX/pY9aVP1L","uris":["http://zotero.org/users/local/X7i2mGyy/items/HNB8EEH4"],"uri":["http://zotero.org/users/local/X7i2mGyy/items/HNB8EEH4"],"itemData":{"id":2275,"type":"chapter","abstract":"The problem of data summarization of a set of (numeric) data, notably a (relational) database is dealt with. We are concerned with how to devise a short, (quasi) natural language summary, in the form of a sentence, which would best grasp the very content of the set of data. For instance, for a personnel database with records corresponding to particular employees who are described by attributes like age, sex, salary, etc., such a linguistic summary with respect to age may be “most employees are middle aged”. We use as a point of departure a fuzzy logic based approach to linguistic summarization originated by Yager, and then developed by Kacprzyk and Zadrożny who have also indicated—first—an intrinsic connection between linguistic summarization and fuzzy querying, and—second—a crucial role of protoforms in Zadeh’s sense. The second point of departure is the concept of a bipolar query in the sense that the querying criteria may be mandatory and optional, i.e. those which must be satisfied and those which should be satisfied if possible, as initiated by Zadrożny, and then developed by Zadrożny, Kacprzyk and De Tré. In this paper we present the concept of a bipolar linguistic summary that combines the very concepts of a linguistic summary with that of bipolarity in the above sense, and also an analogous relation between the linguistic summaries and bipolar queries.","collection-title":"Studies in Computational Intelligence","container-title":"Issues and Challenges of Intelligent Systems and Computational Intelligence","event-place":"Cham","ISBN":"978-3-319-03206-1","language":"en","note":"DOI: 10.1007/978-3-319-03206-1_16","page":"215–229","publisher":"Springer International Publishing","publisher-place":"Cham","title":"A Novel View of Bipolarity in Linguistic Data Summaries","URL":"https://doi.org/10.1007/978-3-319-03206-1_16","author":[{"family":"Kacprzyk","given":"Janusz"},{"family":"Zadrożny","given":"Sławomir"},{"family":"Dziedzic","given":"Mateusz"}],"editor":[{"family":"Kóczy","given":"László T."},{"family":"Pozna","given":"Claudiu R."},{"family":"Kacprzyk","given":"Janusz"}],"accessed":{"date-parts":[["2019",12,16]]},"issued":{"date-parts":[["2014"]]}}}],"schema":"https://github.com/citation-style-language/schema/raw/master/csl-citation.json"}</w:instrText>
      </w:r>
      <w:r>
        <w:fldChar w:fldCharType="separate"/>
      </w:r>
      <w:bookmarkStart w:id="462" w:name="__Fieldmark__4332_2067855929"/>
      <w:r>
        <w:rPr/>
      </w:r>
      <w:r>
        <w:rPr>
          <w:szCs w:val="24"/>
        </w:rPr>
        <w:t>(</w:t>
      </w:r>
      <w:bookmarkStart w:id="463" w:name="__Fieldmark__3768_498839314"/>
      <w:r>
        <w:rPr>
          <w:szCs w:val="24"/>
        </w:rPr>
        <w:t>K</w:t>
      </w:r>
      <w:bookmarkStart w:id="464" w:name="__Fieldmark__3405_998588997"/>
      <w:r>
        <w:rPr>
          <w:szCs w:val="24"/>
        </w:rPr>
        <w:t>a</w:t>
      </w:r>
      <w:bookmarkStart w:id="465" w:name="__Fieldmark__5884_118561941"/>
      <w:r>
        <w:rPr>
          <w:szCs w:val="24"/>
        </w:rPr>
        <w:t>cprzyk, Zadrożny y Dziedzic 2014)</w:t>
      </w:r>
      <w:r>
        <w:rPr/>
      </w:r>
      <w:r>
        <w:fldChar w:fldCharType="end"/>
      </w:r>
      <w:bookmarkEnd w:id="462"/>
      <w:bookmarkEnd w:id="463"/>
      <w:bookmarkEnd w:id="464"/>
      <w:bookmarkEnd w:id="465"/>
      <w:r>
        <w:rPr/>
        <w:t xml:space="preserve"> </w:t>
      </w:r>
      <w:r>
        <w:fldChar w:fldCharType="begin"/>
      </w:r>
      <w:r>
        <w:instrText>ADDIN ZOTERO_ITEM CSL_CITATION {"citationID":"BHQwS68P","properties":{"formattedCitation":"(Kacprzyk y Zadro\\uc0\\u380{}ny 2016b)","plainCitation":"(Kacprzyk y Zadrożny 2016b)","noteIndex":0},"citationItems":[{"id":"NJclqhNX/TvrmL5pV","uris":["http://zotero.org/users/local/rsuvzjK6/items/76NQ7FM4"],"uri":["http://zotero.org/users/local/rsuvzjK6/items/76NQ7FM4"],"itemData":{"id":3402,"type":"article-journal","abstract":"Analyses of Web server logs may be very useful and are often needed for designers and analysts of computer networks who try to design and optimize the functioning of the systems, safeguard them against attacks, provide for the most effective and efficient access path for the users/customers, etc. Obviously, they are also an interesting research problem that can be viewed from many perspectives, ranging from just a general analyses to topic focused analyses that are aimed at just a specific aspect. In traditional approaches, various statistics are computed and used for analytic and design purposes. Sometimes, visualization tools are also employed. In this paper we present the use of verbalization of results of Web server log data analysis/mining through linguistic data summaries based on fuzzy logic with linguistic quantifiers. Linguistic summaries of both static and dynamic analyses are presented, with an emphasis on the latter. We extend our previous works by employing as an aggregation tool the Ordered Weighted Averaging (OWA) operators due to Yager [52]. We present some examples of potentially interesting linguistic summaries of Web server logs, and indicate their possible assignment to different classes.","container-title":"Fuzzy Sets and Systems","DOI":"10.1016/j.fss.2015.07.020","page":"182–198","title":"Linguistic summarization of the contents of Web server logs via the Ordered Weighted Averaging (OWA) operators","volume":"285","author":[{"family":"Kacprzyk","given":"Janusz"},{"family":"Zadrożny","given":"Sławomir"}],"issued":{"date-parts":[["2016"]]}}}],"schema":"https://github.com/citation-style-language/schema/raw/master/csl-citation.json"}</w:instrText>
      </w:r>
      <w:r>
        <w:fldChar w:fldCharType="separate"/>
      </w:r>
      <w:bookmarkStart w:id="466" w:name="__Fieldmark__4347_2067855929"/>
      <w:r>
        <w:rPr/>
      </w:r>
      <w:r>
        <w:rPr>
          <w:szCs w:val="24"/>
        </w:rPr>
        <w:t>(</w:t>
      </w:r>
      <w:bookmarkStart w:id="467" w:name="__Fieldmark__3779_498839314"/>
      <w:r>
        <w:rPr>
          <w:szCs w:val="24"/>
        </w:rPr>
        <w:t>K</w:t>
      </w:r>
      <w:bookmarkStart w:id="468" w:name="__Fieldmark__3412_998588997"/>
      <w:r>
        <w:rPr>
          <w:szCs w:val="24"/>
        </w:rPr>
        <w:t>a</w:t>
      </w:r>
      <w:bookmarkStart w:id="469" w:name="__Fieldmark__5889_118561941"/>
      <w:r>
        <w:rPr>
          <w:szCs w:val="24"/>
        </w:rPr>
        <w:t>cprzyk y Zadrożny 2016b)</w:t>
      </w:r>
      <w:r>
        <w:rPr/>
      </w:r>
      <w:r>
        <w:fldChar w:fldCharType="end"/>
      </w:r>
      <w:bookmarkEnd w:id="466"/>
      <w:bookmarkEnd w:id="467"/>
      <w:bookmarkEnd w:id="468"/>
      <w:bookmarkEnd w:id="469"/>
      <w:r>
        <w:rPr/>
        <w:t xml:space="preserve">. </w:t>
      </w:r>
      <w:r>
        <w:rPr>
          <w:lang w:eastAsia="ja-JP"/>
        </w:rPr>
        <w:t>Otros ejemplos son propuestos en</w:t>
      </w:r>
      <w:r>
        <w:rPr/>
        <w:t xml:space="preserve"> </w:t>
      </w:r>
      <w:r>
        <w:fldChar w:fldCharType="begin"/>
      </w:r>
      <w:r>
        <w:instrText>ADDIN ZOTERO_ITEM CSL_CITATION {"citationID":"RmFOtxAS","properties":{"formattedCitation":"(Kacprzyk y Zadro\\uc0\\u380{}ny 1995)","plainCitation":"(Kacprzyk y Zadrożny 1995)","noteIndex":0},"citationItems":[{"id":"NJclqhNX/ofwp1WX0","uris":["http://zotero.org/users/local/rsuvzjK6/items/X8AIJEWA"],"uri":["http://zotero.org/users/local/rsuvzjK6/items/X8AIJEWA"],"itemData":{"id":338,"type":"chapter","container-title":"Fuzziness in database management systems","page":"415–433","publisher":"Springer","title":"Fquery for Access: Fuzzy Querying for a Windows-Based DBMS","URL":"https://link.springer.com/chapter/10.1007/978-3-7908-1897-0_18","volume":"5","author":[{"family":"Kacprzyk","given":"Janusz"},{"family":"Zadrożny","given":"S\\textbackslashlawomir"}],"issued":{"date-parts":[["1995"]]}}}],"schema":"https://github.com/citation-style-language/schema/raw/master/csl-citation.json"}</w:instrText>
      </w:r>
      <w:r>
        <w:fldChar w:fldCharType="separate"/>
      </w:r>
      <w:bookmarkStart w:id="470" w:name="__Fieldmark__4364_2067855929"/>
      <w:r>
        <w:rPr/>
      </w:r>
      <w:r>
        <w:rPr>
          <w:szCs w:val="24"/>
        </w:rPr>
        <w:t>(</w:t>
      </w:r>
      <w:bookmarkStart w:id="471" w:name="__Fieldmark__3792_498839314"/>
      <w:r>
        <w:rPr>
          <w:szCs w:val="24"/>
        </w:rPr>
        <w:t>K</w:t>
      </w:r>
      <w:bookmarkStart w:id="472" w:name="__Fieldmark__3421_998588997"/>
      <w:r>
        <w:rPr>
          <w:szCs w:val="24"/>
        </w:rPr>
        <w:t>a</w:t>
      </w:r>
      <w:bookmarkStart w:id="473" w:name="__Fieldmark__5896_118561941"/>
      <w:r>
        <w:rPr>
          <w:szCs w:val="24"/>
        </w:rPr>
        <w:t>cprzyk y Zadrożny 1995)</w:t>
      </w:r>
      <w:r>
        <w:rPr/>
      </w:r>
      <w:r>
        <w:fldChar w:fldCharType="end"/>
      </w:r>
      <w:bookmarkEnd w:id="470"/>
      <w:bookmarkEnd w:id="471"/>
      <w:bookmarkEnd w:id="472"/>
      <w:bookmarkEnd w:id="473"/>
      <w:r>
        <w:rPr>
          <w:lang w:eastAsia="ja-JP"/>
        </w:rPr>
        <w:t xml:space="preserve"> y </w:t>
      </w:r>
      <w:r>
        <w:fldChar w:fldCharType="begin"/>
      </w:r>
      <w:r>
        <w:instrText>ADDIN ZOTERO_ITEM CSL_CITATION {"citationID":"GwTduvNG","properties":{"formattedCitation":"(Rasmussen y Yager 1999)","plainCitation":"(Rasmussen y Yager 1999)","noteIndex":0},"citationItems":[{"id":"NJclqhNX/6GhXzIuc","uris":["http://zotero.org/users/local/rsuvzjK6/items/SI9S94ZF"],"uri":["http://zotero.org/users/local/rsuvzjK6/items/SI9S94ZF"],"itemData":{"id":3295,"type":"article-journal","abstract":"Different approaches have been used to define fuzzy functional dependencies (FFDs) but unlike normal functional dependencies (FDs) one unique approach has not dominated. FDS can be used to describe intentional properties of a database and as such can be used for database design to eliminate redundancy in data. FFDs, however, seem more appropriate for modeling extensional properties of the database. Another interesting data property are gradual functional dependencies (GFDs) which reflect a kind of data monotony. In this paper we will define FFDs and GFDs in the light of linguistic summaries and show how they can be evaluated in a new query language called SummarySQL.","container-title":"Fuzzy Sets and Systems","DOI":"10.1016/S0165-0114(97)00268-6","ISSN":"0165-0114","issue":"2","language":"en","page":"131–142","title":"Finding fuzzy and gradual functional dependencies with SummarySQL","volume":"106","author":[{"family":"Rasmussen","given":"Dan"},{"family":"Yager","given":"Ronald R."}],"issued":{"date-parts":[["1999"]]}}}],"schema":"https://github.com/citation-style-language/schema/raw/master/csl-citation.json"}</w:instrText>
      </w:r>
      <w:r>
        <w:fldChar w:fldCharType="separate"/>
      </w:r>
      <w:bookmarkStart w:id="474" w:name="__Fieldmark__4379_2067855929"/>
      <w:r>
        <w:rPr>
          <w:lang w:eastAsia="ja-JP"/>
        </w:rPr>
        <w:t>(</w:t>
      </w:r>
      <w:bookmarkStart w:id="475" w:name="__Fieldmark__3803_498839314"/>
      <w:r>
        <w:rPr>
          <w:lang w:eastAsia="ja-JP"/>
        </w:rPr>
        <w:t>R</w:t>
      </w:r>
      <w:bookmarkStart w:id="476" w:name="__Fieldmark__3428_998588997"/>
      <w:r>
        <w:rPr>
          <w:lang w:eastAsia="ja-JP"/>
        </w:rPr>
        <w:t>a</w:t>
      </w:r>
      <w:bookmarkStart w:id="477" w:name="__Fieldmark__5901_118561941"/>
      <w:r>
        <w:rPr>
          <w:lang w:eastAsia="ja-JP"/>
        </w:rPr>
        <w:t>smussen y Yager 1999)</w:t>
      </w:r>
      <w:r>
        <w:rPr>
          <w:lang w:eastAsia="ja-JP"/>
        </w:rPr>
      </w:r>
      <w:r>
        <w:fldChar w:fldCharType="end"/>
      </w:r>
      <w:bookmarkEnd w:id="474"/>
      <w:bookmarkEnd w:id="475"/>
      <w:bookmarkEnd w:id="476"/>
      <w:bookmarkEnd w:id="477"/>
      <w:r>
        <w:rPr>
          <w:lang w:eastAsia="ja-JP"/>
        </w:rPr>
        <w:t xml:space="preserve"> donde se generan resúmenes lingüísticos a partir de un lenguaje de consulta llamado </w:t>
      </w:r>
      <w:r>
        <w:rPr>
          <w:i/>
          <w:lang w:eastAsia="ja-JP"/>
        </w:rPr>
        <w:t>SummarySQL</w:t>
      </w:r>
      <w:r>
        <w:rPr>
          <w:lang w:eastAsia="ja-JP"/>
        </w:rPr>
        <w:t xml:space="preserve">. </w:t>
      </w:r>
      <w:r>
        <w:rPr/>
        <w:t xml:space="preserve">Este </w:t>
      </w:r>
      <w:r>
        <w:rPr>
          <w:lang w:eastAsia="ja-JP"/>
        </w:rPr>
        <w:t>enfoque tiene como ventaja la flexibilidad y versatilidad de los lenguajes de consultas como los basados en SQL.</w:t>
      </w:r>
    </w:p>
    <w:p>
      <w:pPr>
        <w:pStyle w:val="Normal"/>
        <w:rPr>
          <w:lang w:val="en-US" w:eastAsia="ja-JP"/>
        </w:rPr>
      </w:pPr>
      <w:r>
        <w:rPr>
          <w:lang w:eastAsia="ja-JP"/>
        </w:rPr>
        <w:t xml:space="preserve">Tanto el enfoque estadístico como el basado en consultas se basan simplemente en una observación de los objetos, identificando relaciones explícitas, pero no implícitas, por lo que pueden presentar dificultades para identificar situaciones </w:t>
      </w:r>
      <w:r>
        <w:rPr/>
        <w:t>anómalas</w:t>
      </w:r>
      <w:r>
        <w:rPr>
          <w:lang w:val="en-US" w:eastAsia="ja-JP"/>
        </w:rPr>
        <w:t>.</w:t>
      </w:r>
    </w:p>
    <w:p>
      <w:pPr>
        <w:pStyle w:val="Heading3"/>
        <w:numPr>
          <w:ilvl w:val="2"/>
          <w:numId w:val="80"/>
        </w:numPr>
        <w:rPr>
          <w:lang w:eastAsia="ja-JP"/>
        </w:rPr>
      </w:pPr>
      <w:r>
        <w:rPr>
          <w:lang w:eastAsia="ja-JP"/>
        </w:rPr>
        <w:t>Enfoque basado en reglas</w:t>
      </w:r>
    </w:p>
    <w:p>
      <w:pPr>
        <w:pStyle w:val="Normal"/>
        <w:rPr/>
      </w:pPr>
      <w:r>
        <w:rPr>
          <w:szCs w:val="24"/>
          <w:lang w:eastAsia="ja-JP"/>
        </w:rPr>
        <w:t xml:space="preserve">El enfoque de generación de resúmenes lingüísticos de datos a partir de reglas tiene su base en técnicas de construcción de reglas de producción, como los árboles de decisión y otros. En este sentido se destacan autores como Dubois y Prade </w:t>
      </w:r>
      <w:r>
        <w:fldChar w:fldCharType="begin"/>
      </w:r>
      <w:r>
        <w:instrText>ADDIN ZOTERO_ITEM CSL_CITATION {"citationID":"dGeNGg8X","properties":{"formattedCitation":"(Dubois y Prade 1992)","plainCitation":"(Dubois y Prade 1992)","noteIndex":0},"citationItems":[{"id":"NJclqhNX/FQoVOYmC","uris":["http://zotero.org/users/local/X7i2mGyy/items/99ZS9MHY"],"uri":["http://zotero.org/users/local/X7i2mGyy/items/99ZS9MHY"],"itemData":{"id":2320,"type":"article-journal","abstract":"Gradual inference rules of the form “The more X is F, the more Y is G” (or of similar forms with “the less” instead of “the more”), which express a progressive change of the degree to which the entity Y satisfies the gradual property G when the degree to which the entity X satisfies the gradual property F is modified, are often encountered in commonsense reasoning. A representation of such rules by means of fuzzy sets is proposed and discussed. This representation turns out to be based on a special implication function already considered in multiple-valued logic. Patterns of reasoning involving gradual inference rules are formalized. Their links with interpolation mechanisms are pointed out.","container-title":"Information Sciences","DOI":"10.1016/0020-0255(92)90035-7","ISSN":"0020-0255","issue":"1","journalAbbreviation":"Information Sciences","language":"en","page":"103-122","source":"ScienceDirect","title":"Gradual inference rules in approximate reasoning","volume":"61","author":[{"family":"Dubois","given":"Didier"},{"family":"Prade","given":"Henri"}],"issued":{"date-parts":[["1992",4,1]]}}}],"schema":"https://github.com/citation-style-language/schema/raw/master/csl-citation.json"}</w:instrText>
      </w:r>
      <w:r>
        <w:fldChar w:fldCharType="separate"/>
      </w:r>
      <w:bookmarkStart w:id="478" w:name="__Fieldmark__4406_2067855929"/>
      <w:r>
        <w:rPr>
          <w:szCs w:val="24"/>
          <w:lang w:eastAsia="ja-JP"/>
        </w:rPr>
        <w:t>(</w:t>
      </w:r>
      <w:bookmarkStart w:id="479" w:name="__Fieldmark__3824_498839314"/>
      <w:r>
        <w:rPr>
          <w:szCs w:val="24"/>
          <w:lang w:eastAsia="ja-JP"/>
        </w:rPr>
        <w:t>D</w:t>
      </w:r>
      <w:bookmarkStart w:id="480" w:name="__Fieldmark__3445_998588997"/>
      <w:r>
        <w:rPr>
          <w:szCs w:val="24"/>
          <w:lang w:eastAsia="ja-JP"/>
        </w:rPr>
        <w:t>u</w:t>
      </w:r>
      <w:bookmarkStart w:id="481" w:name="__Fieldmark__5941_118561941"/>
      <w:r>
        <w:rPr>
          <w:szCs w:val="24"/>
          <w:lang w:eastAsia="ja-JP"/>
        </w:rPr>
        <w:t>bois y Prade 1992)</w:t>
      </w:r>
      <w:r>
        <w:rPr>
          <w:szCs w:val="24"/>
          <w:lang w:eastAsia="ja-JP"/>
        </w:rPr>
      </w:r>
      <w:r>
        <w:fldChar w:fldCharType="end"/>
      </w:r>
      <w:bookmarkEnd w:id="478"/>
      <w:bookmarkEnd w:id="479"/>
      <w:bookmarkEnd w:id="480"/>
      <w:bookmarkEnd w:id="481"/>
      <w:r>
        <w:rPr>
          <w:szCs w:val="24"/>
          <w:lang w:val="en-US" w:eastAsia="ja-JP"/>
        </w:rPr>
        <w:t xml:space="preserve">, Anna Wilbik y colaboradores </w:t>
      </w:r>
      <w:r>
        <w:fldChar w:fldCharType="begin"/>
      </w:r>
      <w:r>
        <w:instrText>ADDIN ZOTERO_ITEM CSL_CITATION {"citationID":"HnWGBYRD","properties":{"formattedCitation":"(Wilbik, Kaymak y Dijkman 2017)","plainCitation":"(Wilbik, Kaymak y Dijkman 2017)","noteIndex":0},"citationItems":[{"id":"NJclqhNX/oxiUFrrO","uris":["http://zotero.org/users/local/rsuvzjK6/items/IMZ9T5H2"],"uri":["http://zotero.org/users/local/rsuvzjK6/items/IMZ9T5H2"],"itemData":{"id":3258,"type":"paper-conference","abstract":"Generation of linguistic summaries that are compact, short and relevant to the user remains an open challenge. In this paper, we propose a novel method for improving the generation of linguistic summaries inspired by the a-priori algorithm and the degree of appropriateness. The method generates all true summaries with related predicates in the summarizer, resulting in a small set of linguistic summaries, whose presentation to the user is compact. We tested our method on three real world data sets. The results indicate that our proposed approach is a good alternative to previous methods suggested for generating linguistic summaries.","container-title":"2017 IEEE International Conference on Fuzzy Systems (FUZZ-IEEE)","DOI":"10.1109/FUZZ-IEEE.2017.8015752","page":"1–6","title":"A method for improving the generation of linguistic summaries","author":[{"family":"Wilbik","given":"Anna"},{"family":"Kaymak","given":"Uzay"},{"family":"Dijkman","given":"Remco M."}],"issued":{"date-parts":[["2017",7]]}}}],"schema":"https://github.com/citation-style-language/schema/raw/master/csl-citation.json"}</w:instrText>
      </w:r>
      <w:r>
        <w:fldChar w:fldCharType="separate"/>
      </w:r>
      <w:bookmarkStart w:id="482" w:name="__Fieldmark__4421_2067855929"/>
      <w:r>
        <w:rPr>
          <w:szCs w:val="24"/>
          <w:lang w:val="en-US" w:eastAsia="ja-JP"/>
        </w:rPr>
        <w:t>(</w:t>
      </w:r>
      <w:bookmarkStart w:id="483" w:name="__Fieldmark__3835_498839314"/>
      <w:r>
        <w:rPr>
          <w:szCs w:val="24"/>
          <w:lang w:val="en-US" w:eastAsia="ja-JP"/>
        </w:rPr>
        <w:t>W</w:t>
      </w:r>
      <w:bookmarkStart w:id="484" w:name="__Fieldmark__3452_998588997"/>
      <w:r>
        <w:rPr>
          <w:szCs w:val="24"/>
          <w:lang w:val="en-US" w:eastAsia="ja-JP"/>
        </w:rPr>
        <w:t>i</w:t>
      </w:r>
      <w:bookmarkStart w:id="485" w:name="__Fieldmark__5948_118561941"/>
      <w:r>
        <w:rPr>
          <w:szCs w:val="24"/>
          <w:lang w:val="en-US" w:eastAsia="ja-JP"/>
        </w:rPr>
        <w:t>lbik, Kaymak y Dijkman 2017)</w:t>
      </w:r>
      <w:r>
        <w:rPr>
          <w:szCs w:val="24"/>
          <w:lang w:val="en-US" w:eastAsia="ja-JP"/>
        </w:rPr>
      </w:r>
      <w:r>
        <w:fldChar w:fldCharType="end"/>
      </w:r>
      <w:bookmarkEnd w:id="482"/>
      <w:bookmarkEnd w:id="483"/>
      <w:bookmarkEnd w:id="484"/>
      <w:bookmarkEnd w:id="485"/>
      <w:r>
        <w:rPr>
          <w:szCs w:val="24"/>
        </w:rPr>
        <w:t>,</w:t>
      </w:r>
      <w:r>
        <w:rPr>
          <w:szCs w:val="24"/>
          <w:lang w:val="en-US" w:eastAsia="ja-JP"/>
        </w:rPr>
        <w:t xml:space="preserve"> </w:t>
      </w:r>
      <w:r>
        <w:rPr>
          <w:szCs w:val="24"/>
        </w:rPr>
        <w:t xml:space="preserve">Kacprzyk y Zadrożny </w:t>
      </w:r>
      <w:r>
        <w:fldChar w:fldCharType="begin"/>
      </w:r>
      <w:r>
        <w:instrText>ADDIN ZOTERO_ITEM CSL_CITATION {"citationID":"eVweVBpY","properties":{"formattedCitation":"(Kacprzyk y Zadro\\uc0\\u380{}ny 2003)","plainCitation":"(Kacprzyk y Zadrożny 2003)","noteIndex":0},"citationItems":[{"id":"NJclqhNX/s9XdLmzK","uris":["http://zotero.org/users/local/rsuvzjK6/items/W6K9ANJX"],"uri":["http://zotero.org/users/local/rsuvzjK6/items/W6K9ANJX"],"itemData":{"id":9,"type":"paper-conference","container-title":"Fuzzy Systems, 2003. FUZZ'03. The 12th IEEE International Conference on","page":"702–707","publisher":"IEEE","title":"Linguistic summarization of data sets using association rules","volume":"1","author":[{"family":"Kacprzyk","given":"Janusz"},{"family":"Zadrożny","given":"Slawomir"}],"issued":{"date-parts":[["2003"]]}}}],"schema":"https://github.com/citation-style-language/schema/raw/master/csl-citation.json"}</w:instrText>
      </w:r>
      <w:r>
        <w:fldChar w:fldCharType="separate"/>
      </w:r>
      <w:bookmarkStart w:id="486" w:name="__Fieldmark__4438_2067855929"/>
      <w:r>
        <w:rPr>
          <w:szCs w:val="24"/>
        </w:rPr>
        <w:t>(</w:t>
      </w:r>
      <w:bookmarkStart w:id="487" w:name="__Fieldmark__3848_498839314"/>
      <w:r>
        <w:rPr>
          <w:szCs w:val="24"/>
        </w:rPr>
        <w:t>K</w:t>
      </w:r>
      <w:bookmarkStart w:id="488" w:name="__Fieldmark__3461_998588997"/>
      <w:r>
        <w:rPr>
          <w:szCs w:val="24"/>
        </w:rPr>
        <w:t>a</w:t>
      </w:r>
      <w:bookmarkStart w:id="489" w:name="__Fieldmark__5958_118561941"/>
      <w:r>
        <w:rPr>
          <w:szCs w:val="24"/>
        </w:rPr>
        <w:t>cprzyk y Zadrożny 2003)</w:t>
      </w:r>
      <w:r>
        <w:rPr>
          <w:szCs w:val="24"/>
        </w:rPr>
      </w:r>
      <w:r>
        <w:fldChar w:fldCharType="end"/>
      </w:r>
      <w:bookmarkEnd w:id="486"/>
      <w:bookmarkEnd w:id="487"/>
      <w:bookmarkEnd w:id="488"/>
      <w:bookmarkEnd w:id="489"/>
      <w:r>
        <w:rPr>
          <w:szCs w:val="24"/>
        </w:rPr>
        <w:t xml:space="preserve">, </w:t>
      </w:r>
      <w:r>
        <w:rPr>
          <w:szCs w:val="24"/>
          <w:lang w:val="en-US"/>
        </w:rPr>
        <w:t xml:space="preserve">Wu, Mendel y Joo </w:t>
      </w:r>
      <w:r>
        <w:fldChar w:fldCharType="begin"/>
      </w:r>
      <w:r>
        <w:instrText>ADDIN ZOTERO_ITEM CSL_CITATION {"citationID":"hSQIfD3c","properties":{"formattedCitation":"(Wu, Mendel y Joo 2010)","plainCitation":"(Wu, Mendel y Joo 2010)","noteIndex":0},"citationItems":[{"id":"NJclqhNX/GLHUlfkx","uris":["http://zotero.org/users/local/rsuvzjK6/items/SUVPC5HP"],"uri":["http://zotero.org/users/local/rsuvzjK6/items/SUVPC5HP"],"itemData":{"id":10,"type":"paper-conference","container-title":"Fuzzy Systems (FUZZ), 2010 IEEE International Conference on","page":"1–8","publisher":"IEEE","title":"Linguistic summarization using if-then rules","author":[{"family":"Wu","given":"Dongrui"},{"family":"Mendel","given":"Jerry M"},{"family":"Joo","given":"Jhiin"}],"issued":{"date-parts":[["2010"]]}}}],"schema":"https://github.com/citation-style-language/schema/raw/master/csl-citation.json"}</w:instrText>
      </w:r>
      <w:r>
        <w:fldChar w:fldCharType="separate"/>
      </w:r>
      <w:bookmarkStart w:id="490" w:name="__Fieldmark__4456_2067855929"/>
      <w:r>
        <w:rPr>
          <w:szCs w:val="24"/>
          <w:lang w:val="en-US"/>
        </w:rPr>
        <w:t>(</w:t>
      </w:r>
      <w:bookmarkStart w:id="491" w:name="__Fieldmark__3860_498839314"/>
      <w:r>
        <w:rPr>
          <w:szCs w:val="24"/>
          <w:lang w:val="en-US"/>
        </w:rPr>
        <w:t>W</w:t>
      </w:r>
      <w:bookmarkStart w:id="492" w:name="__Fieldmark__3469_998588997"/>
      <w:r>
        <w:rPr>
          <w:szCs w:val="24"/>
          <w:lang w:val="en-US"/>
        </w:rPr>
        <w:t>u</w:t>
      </w:r>
      <w:bookmarkStart w:id="493" w:name="__Fieldmark__5964_118561941"/>
      <w:r>
        <w:rPr>
          <w:szCs w:val="24"/>
          <w:lang w:val="en-US"/>
        </w:rPr>
        <w:t>, Mendel y Joo 2010)</w:t>
      </w:r>
      <w:r>
        <w:rPr>
          <w:szCs w:val="24"/>
          <w:lang w:val="en-US"/>
        </w:rPr>
      </w:r>
      <w:r>
        <w:fldChar w:fldCharType="end"/>
      </w:r>
      <w:bookmarkEnd w:id="490"/>
      <w:bookmarkEnd w:id="491"/>
      <w:bookmarkEnd w:id="492"/>
      <w:bookmarkEnd w:id="493"/>
      <w:r>
        <w:rPr>
          <w:szCs w:val="24"/>
          <w:lang w:val="en-US"/>
        </w:rPr>
        <w:t>.</w:t>
      </w:r>
    </w:p>
    <w:p>
      <w:pPr>
        <w:pStyle w:val="Normal"/>
        <w:rPr/>
      </w:pPr>
      <w:r>
        <w:rPr>
          <w:szCs w:val="24"/>
          <w:lang w:eastAsia="ja-JP"/>
        </w:rPr>
        <w:t xml:space="preserve">En </w:t>
      </w:r>
      <w:r>
        <w:fldChar w:fldCharType="begin"/>
      </w:r>
      <w:r>
        <w:instrText>ADDIN ZOTERO_ITEM CSL_CITATION {"citationID":"2glb5Bvn","properties":{"formattedCitation":"(Dubois y Prade 1992)","plainCitation":"(Dubois y Prade 1992)","noteIndex":0},"citationItems":[{"id":"NJclqhNX/FQoVOYmC","uris":["http://zotero.org/users/local/X7i2mGyy/items/99ZS9MHY"],"uri":["http://zotero.org/users/local/X7i2mGyy/items/99ZS9MHY"],"itemData":{"id":2320,"type":"article-journal","abstract":"Gradual inference rules of the form “The more X is F, the more Y is G” (or of similar forms with “the less” instead of “the more”), which express a progressive change of the degree to which the entity Y satisfies the gradual property G when the degree to which the entity X satisfies the gradual property F is modified, are often encountered in commonsense reasoning. A representation of such rules by means of fuzzy sets is proposed and discussed. This representation turns out to be based on a special implication function already considered in multiple-valued logic. Patterns of reasoning involving gradual inference rules are formalized. Their links with interpolation mechanisms are pointed out.","container-title":"Information Sciences","DOI":"10.1016/0020-0255(92)90035-7","ISSN":"0020-0255","issue":"1","journalAbbreviation":"Information Sciences","language":"en","page":"103-122","source":"ScienceDirect","title":"Gradual inference rules in approximate reasoning","volume":"61","author":[{"family":"Dubois","given":"Didier"},{"family":"Prade","given":"Henri"}],"issued":{"date-parts":[["1992",4,1]]}}}],"schema":"https://github.com/citation-style-language/schema/raw/master/csl-citation.json"}</w:instrText>
      </w:r>
      <w:r>
        <w:fldChar w:fldCharType="separate"/>
      </w:r>
      <w:bookmarkStart w:id="494" w:name="__Fieldmark__4473_2067855929"/>
      <w:r>
        <w:rPr>
          <w:szCs w:val="24"/>
          <w:lang w:eastAsia="ja-JP"/>
        </w:rPr>
        <w:t>(</w:t>
      </w:r>
      <w:bookmarkStart w:id="495" w:name="__Fieldmark__3873_498839314"/>
      <w:r>
        <w:rPr>
          <w:szCs w:val="24"/>
          <w:lang w:eastAsia="ja-JP"/>
        </w:rPr>
        <w:t>D</w:t>
      </w:r>
      <w:bookmarkStart w:id="496" w:name="__Fieldmark__3478_998588997"/>
      <w:r>
        <w:rPr>
          <w:szCs w:val="24"/>
          <w:lang w:eastAsia="ja-JP"/>
        </w:rPr>
        <w:t>u</w:t>
      </w:r>
      <w:bookmarkStart w:id="497" w:name="__Fieldmark__5971_118561941"/>
      <w:r>
        <w:rPr>
          <w:szCs w:val="24"/>
          <w:lang w:eastAsia="ja-JP"/>
        </w:rPr>
        <w:t>bois y Prade 1992)</w:t>
      </w:r>
      <w:r>
        <w:rPr>
          <w:szCs w:val="24"/>
          <w:lang w:eastAsia="ja-JP"/>
        </w:rPr>
      </w:r>
      <w:r>
        <w:fldChar w:fldCharType="end"/>
      </w:r>
      <w:bookmarkEnd w:id="494"/>
      <w:bookmarkEnd w:id="495"/>
      <w:bookmarkEnd w:id="496"/>
      <w:bookmarkEnd w:id="497"/>
      <w:r>
        <w:rPr>
          <w:szCs w:val="24"/>
          <w:lang w:eastAsia="ja-JP"/>
        </w:rPr>
        <w:t xml:space="preserve"> </w:t>
      </w:r>
      <w:r>
        <w:rPr>
          <w:lang w:eastAsia="ja-JP"/>
        </w:rPr>
        <w:t xml:space="preserve">se generan reglas de inferencia gradual de la forma "Cuanto más </w:t>
      </w:r>
      <w:r>
        <w:rPr>
          <w:i/>
          <w:lang w:eastAsia="ja-JP"/>
        </w:rPr>
        <w:t xml:space="preserve">X </w:t>
      </w:r>
      <w:r>
        <w:rPr>
          <w:lang w:eastAsia="ja-JP"/>
        </w:rPr>
        <w:t xml:space="preserve">es </w:t>
      </w:r>
      <w:r>
        <w:rPr>
          <w:i/>
          <w:lang w:eastAsia="ja-JP"/>
        </w:rPr>
        <w:t>F</w:t>
      </w:r>
      <w:r>
        <w:rPr>
          <w:lang w:eastAsia="ja-JP"/>
        </w:rPr>
        <w:t xml:space="preserve">, más </w:t>
      </w:r>
      <w:r>
        <w:rPr>
          <w:i/>
          <w:lang w:eastAsia="ja-JP"/>
        </w:rPr>
        <w:t>Y</w:t>
      </w:r>
      <w:r>
        <w:rPr>
          <w:lang w:eastAsia="ja-JP"/>
        </w:rPr>
        <w:t xml:space="preserve"> es </w:t>
      </w:r>
      <w:r>
        <w:rPr>
          <w:i/>
          <w:lang w:eastAsia="ja-JP"/>
        </w:rPr>
        <w:t>G</w:t>
      </w:r>
      <w:r>
        <w:rPr>
          <w:lang w:eastAsia="ja-JP"/>
        </w:rPr>
        <w:t xml:space="preserve">", que expresan un cambio progresivo del grado en que la entidad </w:t>
      </w:r>
      <w:r>
        <w:rPr>
          <w:i/>
          <w:lang w:eastAsia="ja-JP"/>
        </w:rPr>
        <w:t>Y</w:t>
      </w:r>
      <w:r>
        <w:rPr>
          <w:lang w:eastAsia="ja-JP"/>
        </w:rPr>
        <w:t xml:space="preserve"> satisface la propiedad gradual </w:t>
      </w:r>
      <w:r>
        <w:rPr>
          <w:i/>
          <w:lang w:eastAsia="ja-JP"/>
        </w:rPr>
        <w:t xml:space="preserve">G </w:t>
      </w:r>
      <w:r>
        <w:rPr>
          <w:lang w:eastAsia="ja-JP"/>
        </w:rPr>
        <w:t xml:space="preserve">cuando se modifica el grado en que la entidad </w:t>
      </w:r>
      <w:r>
        <w:rPr>
          <w:i/>
          <w:lang w:eastAsia="ja-JP"/>
        </w:rPr>
        <w:t>X</w:t>
      </w:r>
      <w:r>
        <w:rPr>
          <w:lang w:eastAsia="ja-JP"/>
        </w:rPr>
        <w:t xml:space="preserve"> satisface la propiedad gradual </w:t>
      </w:r>
      <w:r>
        <w:rPr>
          <w:i/>
          <w:lang w:eastAsia="ja-JP"/>
        </w:rPr>
        <w:t>F</w:t>
      </w:r>
      <w:r>
        <w:rPr>
          <w:lang w:eastAsia="ja-JP"/>
        </w:rPr>
        <w:t>. Luego las reglas son transformadas empleando conjuntos borrosos hasta convertirlas en resúmenes lingüísticos. Esta variante resulta interesante porque facilita la descripción de procesos dinámicos, cambiantes en el tiempo.</w:t>
      </w:r>
    </w:p>
    <w:p>
      <w:pPr>
        <w:pStyle w:val="Normal"/>
        <w:rPr/>
      </w:pPr>
      <w:r>
        <w:rPr/>
        <w:t xml:space="preserve">Muchos autores proponen la generación de resúmenes lingüísticos a partir de reglas de asociación y reglas de producción </w:t>
      </w:r>
      <w:r>
        <w:fldChar w:fldCharType="begin"/>
      </w:r>
      <w:r>
        <w:instrText>ADDIN ZOTERO_ITEM CSL_CITATION {"citationID":"nJHWWgB5","properties":{"formattedCitation":"(Kacprzyk y Zadro\\uc0\\u380{}ny 2003)","plainCitation":"(Kacprzyk y Zadrożny 2003)","noteIndex":0},"citationItems":[{"id":"NJclqhNX/s9XdLmzK","uris":["http://zotero.org/users/local/rsuvzjK6/items/W6K9ANJX"],"uri":["http://zotero.org/users/local/rsuvzjK6/items/W6K9ANJX"],"itemData":{"id":9,"type":"paper-conference","container-title":"Fuzzy Systems, 2003. FUZZ'03. The 12th IEEE International Conference on","page":"702–707","publisher":"IEEE","title":"Linguistic summarization of data sets using association rules","volume":"1","author":[{"family":"Kacprzyk","given":"Janusz"},{"family":"Zadrożny","given":"Slawomir"}],"issued":{"date-parts":[["2003"]]}}}],"schema":"https://github.com/citation-style-language/schema/raw/master/csl-citation.json"}</w:instrText>
      </w:r>
      <w:r>
        <w:fldChar w:fldCharType="separate"/>
      </w:r>
      <w:bookmarkStart w:id="498" w:name="__Fieldmark__4510_2067855929"/>
      <w:r>
        <w:rPr/>
      </w:r>
      <w:r>
        <w:rPr>
          <w:szCs w:val="24"/>
        </w:rPr>
        <w:t>(</w:t>
      </w:r>
      <w:bookmarkStart w:id="499" w:name="__Fieldmark__3903_498839314"/>
      <w:r>
        <w:rPr>
          <w:szCs w:val="24"/>
        </w:rPr>
        <w:t>K</w:t>
      </w:r>
      <w:bookmarkStart w:id="500" w:name="__Fieldmark__3504_998588997"/>
      <w:r>
        <w:rPr>
          <w:szCs w:val="24"/>
        </w:rPr>
        <w:t>a</w:t>
      </w:r>
      <w:bookmarkStart w:id="501" w:name="__Fieldmark__5998_118561941"/>
      <w:r>
        <w:rPr>
          <w:szCs w:val="24"/>
        </w:rPr>
        <w:t>cprzyk y Zadrożny 2003)</w:t>
      </w:r>
      <w:r>
        <w:rPr/>
      </w:r>
      <w:r>
        <w:fldChar w:fldCharType="end"/>
      </w:r>
      <w:bookmarkEnd w:id="498"/>
      <w:bookmarkEnd w:id="499"/>
      <w:bookmarkEnd w:id="500"/>
      <w:bookmarkEnd w:id="501"/>
      <w:r>
        <w:rPr/>
        <w:t xml:space="preserve">, </w:t>
      </w:r>
      <w:r>
        <w:fldChar w:fldCharType="begin"/>
      </w:r>
      <w:r>
        <w:instrText>ADDIN ZOTERO_ITEM CSL_CITATION {"citationID":"tCse7Deq","properties":{"formattedCitation":"(Wu, Mendel y Joo 2010)","plainCitation":"(Wu, Mendel y Joo 2010)","noteIndex":0},"citationItems":[{"id":"NJclqhNX/GLHUlfkx","uris":["http://zotero.org/users/local/rsuvzjK6/items/SUVPC5HP"],"uri":["http://zotero.org/users/local/rsuvzjK6/items/SUVPC5HP"],"itemData":{"id":10,"type":"paper-conference","container-title":"Fuzzy Systems (FUZZ), 2010 IEEE International Conference on","page":"1–8","publisher":"IEEE","title":"Linguistic summarization using if-then rules","author":[{"family":"Wu","given":"Dongrui"},{"family":"Mendel","given":"Jerry M"},{"family":"Joo","given":"Jhiin"}],"issued":{"date-parts":[["2010"]]}}}],"schema":"https://github.com/citation-style-language/schema/raw/master/csl-citation.json"}</w:instrText>
      </w:r>
      <w:r>
        <w:fldChar w:fldCharType="separate"/>
      </w:r>
      <w:bookmarkStart w:id="502" w:name="__Fieldmark__4525_2067855929"/>
      <w:r>
        <w:rPr/>
        <w:t>(</w:t>
      </w:r>
      <w:bookmarkStart w:id="503" w:name="__Fieldmark__3914_498839314"/>
      <w:r>
        <w:rPr/>
        <w:t>W</w:t>
      </w:r>
      <w:bookmarkStart w:id="504" w:name="__Fieldmark__3511_998588997"/>
      <w:r>
        <w:rPr/>
        <w:t>u</w:t>
      </w:r>
      <w:bookmarkStart w:id="505" w:name="__Fieldmark__6004_118561941"/>
      <w:r>
        <w:rPr/>
        <w:t>, Mendel y Joo 2010)</w:t>
      </w:r>
      <w:r>
        <w:rPr/>
      </w:r>
      <w:r>
        <w:fldChar w:fldCharType="end"/>
      </w:r>
      <w:bookmarkEnd w:id="502"/>
      <w:bookmarkEnd w:id="503"/>
      <w:bookmarkEnd w:id="504"/>
      <w:bookmarkEnd w:id="505"/>
      <w:r>
        <w:rPr/>
        <w:t xml:space="preserve">, </w:t>
      </w:r>
      <w:r>
        <w:fldChar w:fldCharType="begin"/>
      </w:r>
      <w:r>
        <w:instrText>ADDIN ZOTERO_ITEM CSL_CITATION {"citationID":"SWt8sFcJ","properties":{"formattedCitation":"(Wilbik, Kaymak y Dijkman 2017)","plainCitation":"(Wilbik, Kaymak y Dijkman 2017)","noteIndex":0},"citationItems":[{"id":"NJclqhNX/oxiUFrrO","uris":["http://zotero.org/users/local/rsuvzjK6/items/IMZ9T5H2"],"uri":["http://zotero.org/users/local/rsuvzjK6/items/IMZ9T5H2"],"itemData":{"id":3258,"type":"paper-conference","abstract":"Generation of linguistic summaries that are compact, short and relevant to the user remains an open challenge. In this paper, we propose a novel method for improving the generation of linguistic summaries inspired by the a-priori algorithm and the degree of appropriateness. The method generates all true summaries with related predicates in the summarizer, resulting in a small set of linguistic summaries, whose presentation to the user is compact. We tested our method on three real world data sets. The results indicate that our proposed approach is a good alternative to previous methods suggested for generating linguistic summaries.","container-title":"2017 IEEE International Conference on Fuzzy Systems (FUZZ-IEEE)","DOI":"10.1109/FUZZ-IEEE.2017.8015752","page":"1–6","title":"A method for improving the generation of linguistic summaries","author":[{"family":"Wilbik","given":"Anna"},{"family":"Kaymak","given":"Uzay"},{"family":"Dijkman","given":"Remco M."}],"issued":{"date-parts":[["2017",7]]}}}],"schema":"https://github.com/citation-style-language/schema/raw/master/csl-citation.json"}</w:instrText>
      </w:r>
      <w:r>
        <w:fldChar w:fldCharType="separate"/>
      </w:r>
      <w:bookmarkStart w:id="506" w:name="__Fieldmark__4540_2067855929"/>
      <w:r>
        <w:rPr/>
        <w:t>(</w:t>
      </w:r>
      <w:bookmarkStart w:id="507" w:name="__Fieldmark__3925_498839314"/>
      <w:r>
        <w:rPr/>
        <w:t>W</w:t>
      </w:r>
      <w:bookmarkStart w:id="508" w:name="__Fieldmark__3518_998588997"/>
      <w:r>
        <w:rPr/>
        <w:t>i</w:t>
      </w:r>
      <w:bookmarkStart w:id="509" w:name="__Fieldmark__6010_118561941"/>
      <w:r>
        <w:rPr/>
        <w:t>lbik, Kaymak y Dijkman 2017)</w:t>
      </w:r>
      <w:r>
        <w:rPr/>
      </w:r>
      <w:r>
        <w:fldChar w:fldCharType="end"/>
      </w:r>
      <w:bookmarkEnd w:id="506"/>
      <w:bookmarkEnd w:id="507"/>
      <w:bookmarkEnd w:id="508"/>
      <w:bookmarkEnd w:id="509"/>
      <w:r>
        <w:rPr/>
        <w:t>. En estos trabajos se logra encontrar resúmenes en las protoformas más complejas, pero tienen las siguientes limitantes:</w:t>
      </w:r>
    </w:p>
    <w:p>
      <w:pPr>
        <w:pStyle w:val="ListParagraph"/>
        <w:numPr>
          <w:ilvl w:val="0"/>
          <w:numId w:val="83"/>
        </w:numPr>
        <w:ind w:left="567" w:hanging="360"/>
        <w:rPr>
          <w:sz w:val="21"/>
          <w:lang w:eastAsia="ja-JP"/>
        </w:rPr>
      </w:pPr>
      <w:r>
        <w:rPr/>
        <w:t xml:space="preserve">Con frecuencia </w:t>
      </w:r>
      <w:r>
        <w:rPr>
          <w:lang w:eastAsia="ja-JP"/>
        </w:rPr>
        <w:t>se basan en la construcción de una base de reglas candidatas que luego son transformadas en resúmenes lingüísticos</w:t>
      </w:r>
      <w:r>
        <w:rPr>
          <w:lang w:val="es-ES" w:eastAsia="ja-JP"/>
        </w:rPr>
        <w:t>,</w:t>
      </w:r>
      <w:r>
        <w:rPr>
          <w:lang w:eastAsia="ja-JP"/>
        </w:rPr>
        <w:t xml:space="preserve"> </w:t>
      </w:r>
      <w:r>
        <w:rPr/>
        <w:t xml:space="preserve">generando un número elevado de resúmenes que son eliminados en una etapa posterior. </w:t>
      </w:r>
    </w:p>
    <w:p>
      <w:pPr>
        <w:pStyle w:val="ListParagraph"/>
        <w:numPr>
          <w:ilvl w:val="0"/>
          <w:numId w:val="83"/>
        </w:numPr>
        <w:ind w:left="567" w:hanging="360"/>
        <w:rPr>
          <w:sz w:val="21"/>
          <w:lang w:eastAsia="ja-JP"/>
        </w:rPr>
      </w:pPr>
      <w:r>
        <w:rPr>
          <w:lang w:val="es-ES"/>
        </w:rPr>
        <w:t>G</w:t>
      </w:r>
      <w:r>
        <w:rPr/>
        <w:t>eneralmente no explota</w:t>
      </w:r>
      <w:r>
        <w:rPr>
          <w:lang w:val="es-ES"/>
        </w:rPr>
        <w:t>n</w:t>
      </w:r>
      <w:r>
        <w:rPr/>
        <w:t xml:space="preserve"> suficientemente la información asociada a la correlación de los datos en el problema en cuestión</w:t>
      </w:r>
      <w:r>
        <w:rPr>
          <w:szCs w:val="24"/>
        </w:rPr>
        <w:t>.</w:t>
      </w:r>
    </w:p>
    <w:p>
      <w:pPr>
        <w:pStyle w:val="Normal"/>
        <w:rPr/>
      </w:pPr>
      <w:r>
        <w:rPr/>
        <w:t>Ejemplos de trabajos donde se evidencian estas dificultades se relacionan a continuación:</w:t>
      </w:r>
    </w:p>
    <w:p>
      <w:pPr>
        <w:pStyle w:val="ListParagraph"/>
        <w:numPr>
          <w:ilvl w:val="0"/>
          <w:numId w:val="84"/>
        </w:numPr>
        <w:ind w:left="567" w:hanging="360"/>
        <w:rPr/>
      </w:pPr>
      <w:r>
        <w:rPr>
          <w:lang w:eastAsia="ja-JP"/>
        </w:rPr>
        <w:t xml:space="preserve">En </w:t>
      </w:r>
      <w:r>
        <w:fldChar w:fldCharType="begin"/>
      </w:r>
      <w:r>
        <w:instrText>ADDIN ZOTERO_ITEM CSL_CITATION {"citationID":"NWfQiOlK","properties":{"formattedCitation":"(Wilbik, Kaymak y Dijkman 2017)","plainCitation":"(Wilbik, Kaymak y Dijkman 2017)","noteIndex":0},"citationItems":[{"id":"NJclqhNX/oxiUFrrO","uris":["http://zotero.org/users/local/rsuvzjK6/items/IMZ9T5H2"],"uri":["http://zotero.org/users/local/rsuvzjK6/items/IMZ9T5H2"],"itemData":{"id":3258,"type":"paper-conference","abstract":"Generation of linguistic summaries that are compact, short and relevant to the user remains an open challenge. In this paper, we propose a novel method for improving the generation of linguistic summaries inspired by the a-priori algorithm and the degree of appropriateness. The method generates all true summaries with related predicates in the summarizer, resulting in a small set of linguistic summaries, whose presentation to the user is compact. We tested our method on three real world data sets. The results indicate that our proposed approach is a good alternative to previous methods suggested for generating linguistic summaries.","container-title":"2017 IEEE International Conference on Fuzzy Systems (FUZZ-IEEE)","DOI":"10.1109/FUZZ-IEEE.2017.8015752","page":"1–6","title":"A method for improving the generation of linguistic summaries","author":[{"family":"Wilbik","given":"Anna"},{"family":"Kaymak","given":"Uzay"},{"family":"Dijkman","given":"Remco M."}],"issued":{"date-parts":[["2017",7]]}}}],"schema":"https://github.com/citation-style-language/schema/raw/master/csl-citation.json"}</w:instrText>
      </w:r>
      <w:r>
        <w:fldChar w:fldCharType="separate"/>
      </w:r>
      <w:bookmarkStart w:id="510" w:name="__Fieldmark__4570_2067855929"/>
      <w:r>
        <w:rPr>
          <w:lang w:eastAsia="ja-JP"/>
        </w:rPr>
        <w:t>(</w:t>
      </w:r>
      <w:bookmarkStart w:id="511" w:name="__Fieldmark__3949_498839314"/>
      <w:r>
        <w:rPr>
          <w:lang w:eastAsia="ja-JP"/>
        </w:rPr>
        <w:t>W</w:t>
      </w:r>
      <w:bookmarkStart w:id="512" w:name="__Fieldmark__3538_998588997"/>
      <w:r>
        <w:rPr>
          <w:lang w:eastAsia="ja-JP"/>
        </w:rPr>
        <w:t>i</w:t>
      </w:r>
      <w:bookmarkStart w:id="513" w:name="__Fieldmark__6035_118561941"/>
      <w:r>
        <w:rPr>
          <w:lang w:eastAsia="ja-JP"/>
        </w:rPr>
        <w:t>lbik, Kaymak y Dijkman 2017)</w:t>
      </w:r>
      <w:r>
        <w:rPr>
          <w:lang w:eastAsia="ja-JP"/>
        </w:rPr>
      </w:r>
      <w:r>
        <w:fldChar w:fldCharType="end"/>
      </w:r>
      <w:bookmarkEnd w:id="510"/>
      <w:bookmarkEnd w:id="511"/>
      <w:bookmarkEnd w:id="512"/>
      <w:bookmarkEnd w:id="513"/>
      <w:r>
        <w:rPr/>
        <w:t xml:space="preserve">, </w:t>
      </w:r>
      <w:r>
        <w:rPr>
          <w:lang w:val="es-ES" w:eastAsia="ja-JP"/>
        </w:rPr>
        <w:t xml:space="preserve">los autores </w:t>
      </w:r>
      <w:r>
        <w:rPr>
          <w:lang w:eastAsia="ja-JP"/>
        </w:rPr>
        <w:t>genera</w:t>
      </w:r>
      <w:r>
        <w:rPr>
          <w:lang w:val="es-ES" w:eastAsia="ja-JP"/>
        </w:rPr>
        <w:t xml:space="preserve">n </w:t>
      </w:r>
      <w:r>
        <w:rPr>
          <w:lang w:eastAsia="ja-JP"/>
        </w:rPr>
        <w:t xml:space="preserve">resúmenes lingüísticos inspirados en el algoritmo </w:t>
      </w:r>
      <w:r>
        <w:rPr>
          <w:i/>
          <w:lang w:eastAsia="ja-JP"/>
        </w:rPr>
        <w:t>Apriori</w:t>
      </w:r>
      <w:r>
        <w:rPr>
          <w:i/>
          <w:lang w:val="es-ES" w:eastAsia="ja-JP"/>
        </w:rPr>
        <w:t xml:space="preserve"> </w:t>
      </w:r>
      <w:r>
        <w:fldChar w:fldCharType="begin"/>
      </w:r>
      <w:r>
        <w:instrText>ADDIN ZOTERO_ITEM CSL_CITATION {"citationID":"dca1RLsY","properties":{"formattedCitation":"(Tahyudin, Haviluddin y Nambo 2019)","plainCitation":"(Tahyudin, Haviluddin y Nambo 2019)","noteIndex":0},"citationItems":[{"id":"NJclqhNX/GvwVMtTm","uris":["http://zotero.org/users/local/rsuvzjK6/items/MG277K2X"],"uri":["http://zotero.org/users/local/rsuvzjK6/items/MG277K2X"],"itemData":{"id":3460,"type":"article-journal","abstract":"Some of the solutions for solving numerical Association rule mining problem are by discretization and optimization methods. The popular algorithms of optimization are A priori algorithms, Genetic algorithms (GA) and Particle swarm optimization (PSO). This research has aim to study time complexity of those optimization algorithms. The results show that the time complexity of evolutionary algorithms such as GA and PSO are faster than the time complexity of A priori algorithms.","ISSN":"2277-8616","language":"en","source":"repository.unmul.ac.id","title":"Time Complexity Of A Priori And Evolutionary Algorithm For Numerical Association Rule Mining Optimization","URL":"http://repository.unmul.ac.id/handle/123456789/3898","author":[{"family":"Tahyudin","given":"Imam"},{"family":"Haviluddin","given":"Haviluddin"},{"family":"Nambo","given":"Hidetaka"}],"accessed":{"date-parts":[["2021",3,29]]},"issued":{"date-parts":[["2019",11,8]]}}}],"schema":"https://github.com/citation-style-language/schema/raw/master/csl-citation.json"}</w:instrText>
      </w:r>
      <w:r>
        <w:fldChar w:fldCharType="separate"/>
      </w:r>
      <w:bookmarkStart w:id="514" w:name="__Fieldmark__4593_2067855929"/>
      <w:r>
        <w:rPr>
          <w:i/>
          <w:lang w:val="es-ES" w:eastAsia="ja-JP"/>
        </w:rPr>
        <w:t>(</w:t>
      </w:r>
      <w:bookmarkStart w:id="515" w:name="__Fieldmark__3966_498839314"/>
      <w:r>
        <w:rPr>
          <w:i/>
          <w:lang w:val="es-ES" w:eastAsia="ja-JP"/>
        </w:rPr>
        <w:t>T</w:t>
      </w:r>
      <w:bookmarkStart w:id="516" w:name="__Fieldmark__3551_998588997"/>
      <w:r>
        <w:rPr>
          <w:i/>
          <w:lang w:val="es-ES" w:eastAsia="ja-JP"/>
        </w:rPr>
        <w:t>a</w:t>
      </w:r>
      <w:bookmarkStart w:id="517" w:name="__Fieldmark__6046_118561941"/>
      <w:r>
        <w:rPr>
          <w:i/>
          <w:lang w:val="es-ES" w:eastAsia="ja-JP"/>
        </w:rPr>
        <w:t>hyudin, Haviluddin y Nambo 2019)</w:t>
      </w:r>
      <w:r>
        <w:rPr>
          <w:i/>
          <w:lang w:val="es-ES" w:eastAsia="ja-JP"/>
        </w:rPr>
      </w:r>
      <w:r>
        <w:fldChar w:fldCharType="end"/>
      </w:r>
      <w:bookmarkEnd w:id="514"/>
      <w:bookmarkEnd w:id="515"/>
      <w:bookmarkEnd w:id="516"/>
      <w:bookmarkEnd w:id="517"/>
      <w:r>
        <w:rPr/>
        <w:t>.</w:t>
      </w:r>
      <w:r>
        <w:rPr>
          <w:iCs/>
          <w:lang w:val="es-ES" w:eastAsia="ja-JP"/>
        </w:rPr>
        <w:t xml:space="preserve"> Un elemento interesante en esta estrategia es cómo los autores especifican</w:t>
      </w:r>
      <w:r>
        <w:rPr>
          <w:i/>
          <w:lang w:val="es-ES" w:eastAsia="ja-JP"/>
        </w:rPr>
        <w:t xml:space="preserve"> </w:t>
      </w:r>
      <w:r>
        <w:rPr>
          <w:lang w:eastAsia="ja-JP"/>
        </w:rPr>
        <w:t xml:space="preserve">los posibles cuantificadores y etiquetas lingüísticas </w:t>
      </w:r>
      <w:r>
        <w:rPr>
          <w:lang w:val="es-ES" w:eastAsia="ja-JP"/>
        </w:rPr>
        <w:t xml:space="preserve">en formas de frases simples, lo que facilita la interpretabilidad de los resúmenes obtenidos. En la presente investigación se extiende la propuesta de estos autores y se propone un nuevo algoritmo </w:t>
      </w:r>
      <w:r>
        <w:fldChar w:fldCharType="begin"/>
      </w:r>
      <w:r>
        <w:instrText>ADDIN ZOTERO_ITEM CSL_CITATION {"citationID":"MN1GlpGF","properties":{"formattedCitation":"(P\\uc0\\u233{}rez Pupo, Santos, et\\uc0\\u160{}al. 2018)","plainCitation":"(Pérez Pupo, Santos, et al. 2018)","noteIndex":0},"citationItems":[{"id":"NJclqhNX/l7qcdOKi","uris":["http://zotero.org/users/local/rsuvzjK6/items/EWBZ69Z7"],"uri":["http://zotero.org/users/local/rsuvzjK6/items/EWBZ69Z7"],"itemData":{"id":3213,"type":"article-journal","abstract":"Las técnicas de sumarización lingüística de datos agrupan un conjunto de algoritmos de minería de datos útiles para descubrir relaciones intrínsecas presentes en los datos. Estas relaciones son presentadas en lenguaje natural para facilitar la toma de decisiones en la temática objeto de estudio. Existen diferentes técnicas para la generación de resúmenes entre los que se destacan el uso de consultas de bases de datos aplicable en los resúmenes más sencillos y el uso de metaheurísticas en los resúmenes de mayor complejidad. En este trabajo se propone un algoritmo para la generación de resúmenes lingüísticos a partir de datos heterogéneos y tomando como base la generación de reglas de asociación. Además, se emplean las medidas propuestas por Zadeh para la evaluación de los resúmenes combinados con técnicas de aprendizaje activo. Finalmente, se aplica la técnica propuesta para la toma de decisiones en gestión de proyectos y se discute acerca de las decisiones tomadas a partir de los resúmenes obtenidos.","container-title":"Revista Cubana de Ciencias Informáticas","ISSN":"1994-1536","page":"163–175","title":"Descubrimiento de resúmenes lingüísticos para ayuda a la toma decisiones en gestión de proyecto","volume":"12","author":[{"family":"Pérez Pupo","given":"Iliana"},{"family":"Santos","given":"Osvaldo"},{"family":"García","given":"Roberto"},{"family":"Piñero Pérez","given":"Pedro Yobanis"},{"family":"Ramírez","given":"Esther Cristina"}],"issued":{"date-parts":[["2018"]]}}}],"schema":"https://github.com/citation-style-language/schema/raw/master/csl-citation.json"}</w:instrText>
      </w:r>
      <w:r>
        <w:fldChar w:fldCharType="separate"/>
      </w:r>
      <w:bookmarkStart w:id="518" w:name="__Fieldmark__4613_2067855929"/>
      <w:r>
        <w:rPr>
          <w:lang w:val="es-ES" w:eastAsia="ja-JP"/>
        </w:rPr>
      </w:r>
      <w:r>
        <w:rPr>
          <w:szCs w:val="24"/>
          <w:lang w:val="es-ES" w:eastAsia="ja-JP"/>
        </w:rPr>
        <w:t>(</w:t>
      </w:r>
      <w:bookmarkStart w:id="519" w:name="__Fieldmark__3981_498839314"/>
      <w:r>
        <w:rPr>
          <w:szCs w:val="24"/>
          <w:lang w:val="es-ES" w:eastAsia="ja-JP"/>
        </w:rPr>
        <w:t>P</w:t>
      </w:r>
      <w:bookmarkStart w:id="520" w:name="__Fieldmark__3562_998588997"/>
      <w:r>
        <w:rPr>
          <w:szCs w:val="24"/>
          <w:lang w:val="es-ES" w:eastAsia="ja-JP"/>
        </w:rPr>
        <w:t>é</w:t>
      </w:r>
      <w:bookmarkStart w:id="521" w:name="__Fieldmark__6060_118561941"/>
      <w:r>
        <w:rPr>
          <w:szCs w:val="24"/>
          <w:lang w:val="es-ES" w:eastAsia="ja-JP"/>
        </w:rPr>
        <w:t>rez Pupo, Santos, et al. 2018)</w:t>
      </w:r>
      <w:r>
        <w:rPr>
          <w:lang w:val="es-ES" w:eastAsia="ja-JP"/>
        </w:rPr>
      </w:r>
      <w:r>
        <w:fldChar w:fldCharType="end"/>
      </w:r>
      <w:bookmarkEnd w:id="518"/>
      <w:bookmarkEnd w:id="519"/>
      <w:bookmarkEnd w:id="520"/>
      <w:bookmarkEnd w:id="521"/>
      <w:r>
        <w:rPr>
          <w:lang w:eastAsia="ja-JP"/>
        </w:rPr>
        <w:t xml:space="preserve"> </w:t>
      </w:r>
      <w:r>
        <w:rPr>
          <w:lang w:val="es-ES" w:eastAsia="ja-JP"/>
        </w:rPr>
        <w:t xml:space="preserve">que combina algoritmos de aprendizaje de reglas de asociación </w:t>
      </w:r>
      <w:r>
        <w:rPr/>
        <w:t>con otros enfoques que consideran el comportamiento estadístico de los datos.</w:t>
      </w:r>
    </w:p>
    <w:p>
      <w:pPr>
        <w:pStyle w:val="ListParagraph"/>
        <w:numPr>
          <w:ilvl w:val="0"/>
          <w:numId w:val="84"/>
        </w:numPr>
        <w:ind w:left="567" w:hanging="360"/>
        <w:rPr/>
      </w:pPr>
      <w:r>
        <w:rPr/>
        <w:t xml:space="preserve">En </w:t>
      </w:r>
      <w:r>
        <w:fldChar w:fldCharType="begin"/>
      </w:r>
      <w:r>
        <w:instrText>ADDIN ZOTERO_ITEM CSL_CITATION {"citationID":"niO3y2o4","properties":{"formattedCitation":"(Smits et\\uc0\\u160{}al. 2018)","plainCitation":"(Smits et al. 2018)","noteIndex":0},"citationItems":[{"id":"NJclqhNX/NBcQJrgO","uris":["http://zotero.org/users/local/rsuvzjK6/items/4KA2DC8R"],"uri":["http://zotero.org/users/local/rsuvzjK6/items/4KA2DC8R"],"itemData":{"id":3265,"type":"paper-conference","abstract":"Summarizing data with linguistic statements is a crucial and topical issue that has been largely addressed by the soft computing community. The goal of summarization is to generate statements that linguistically describe the properties observed in a dataset. This paper addresses the issue of efficiently extracting these summaries and rendering them to the final user, in the case where the data to be summarized are stored in a relational data base: it proposes a novel strategy that leverages the statistics about the data distribution maintained by the database system. This paper shows that reliable summaries can be very efficiently estimated based on these statistics only and without any costly data access. Additionally, it proposes a visualization of the set of extracted summaries that offers a fruitful interactive exploration tool to the user. Experiments performed on two real data bases show the relevance and efficiency of the proposed approach: with a negligible loss of accuracy, we provide the first linguistic summarization approach whose processing time does not depend on the size of the dataset. The generation of estimated linguistic summaries takes less than one second even for dataset containing millions of tuples.","container-title":"2018 IEEE International Conference on Fuzzy Systems (FUZZ-IEEE)","DOI":"10.1109/FUZZ-IEEE.2018.8491604","page":"1–8","title":"Efficient Generation of Reliable Estimated Linguistic Summaries","author":[{"family":"Smits","given":"Grégory"},{"family":"Nerzic","given":"Pierre"},{"family":"Pivert","given":"Olivier"},{"family":"Lesot","given":"Marie-Jeanne"}],"issued":{"date-parts":[["2018",7]]}}}],"schema":"https://github.com/citation-style-language/schema/raw/master/csl-citation.json"}</w:instrText>
      </w:r>
      <w:r>
        <w:fldChar w:fldCharType="separate"/>
      </w:r>
      <w:bookmarkStart w:id="522" w:name="__Fieldmark__4633_2067855929"/>
      <w:r>
        <w:rPr/>
      </w:r>
      <w:r>
        <w:rPr>
          <w:szCs w:val="24"/>
        </w:rPr>
        <w:t>(</w:t>
      </w:r>
      <w:bookmarkStart w:id="523" w:name="__Fieldmark__3996_498839314"/>
      <w:r>
        <w:rPr>
          <w:szCs w:val="24"/>
        </w:rPr>
        <w:t>S</w:t>
      </w:r>
      <w:bookmarkStart w:id="524" w:name="__Fieldmark__3573_998588997"/>
      <w:r>
        <w:rPr>
          <w:szCs w:val="24"/>
        </w:rPr>
        <w:t>m</w:t>
      </w:r>
      <w:bookmarkStart w:id="525" w:name="__Fieldmark__6069_118561941"/>
      <w:r>
        <w:rPr>
          <w:szCs w:val="24"/>
        </w:rPr>
        <w:t>its et al. 2018)</w:t>
      </w:r>
      <w:r>
        <w:rPr/>
      </w:r>
      <w:r>
        <w:fldChar w:fldCharType="end"/>
      </w:r>
      <w:bookmarkEnd w:id="522"/>
      <w:bookmarkEnd w:id="523"/>
      <w:bookmarkEnd w:id="524"/>
      <w:bookmarkEnd w:id="525"/>
      <w:r>
        <w:rPr/>
        <w:t xml:space="preserve"> </w:t>
      </w:r>
      <w:r>
        <w:rPr>
          <w:lang w:val="es-ES"/>
        </w:rPr>
        <w:t xml:space="preserve">los autores aplican el algoritmo </w:t>
      </w:r>
      <w:r>
        <w:rPr>
          <w:i/>
          <w:iCs/>
          <w:lang w:val="es-ES"/>
        </w:rPr>
        <w:t>Apriori</w:t>
      </w:r>
      <w:r>
        <w:rPr>
          <w:lang w:val="es-ES"/>
        </w:rPr>
        <w:t xml:space="preserve"> para generar reglas </w:t>
      </w:r>
      <w:r>
        <w:rPr>
          <w:lang w:eastAsia="ja-JP"/>
        </w:rPr>
        <w:t>calcula</w:t>
      </w:r>
      <w:r>
        <w:rPr>
          <w:lang w:val="es-ES" w:eastAsia="ja-JP"/>
        </w:rPr>
        <w:t>ndo</w:t>
      </w:r>
      <w:r>
        <w:rPr>
          <w:lang w:eastAsia="ja-JP"/>
        </w:rPr>
        <w:t xml:space="preserve"> su cardinalidad</w:t>
      </w:r>
      <w:r>
        <w:rPr>
          <w:lang w:val="es-ES" w:eastAsia="ja-JP"/>
        </w:rPr>
        <w:t>,</w:t>
      </w:r>
      <w:r>
        <w:rPr>
          <w:lang w:eastAsia="ja-JP"/>
        </w:rPr>
        <w:t xml:space="preserve"> y posteriormente identifica</w:t>
      </w:r>
      <w:r>
        <w:rPr>
          <w:lang w:val="es-ES" w:eastAsia="ja-JP"/>
        </w:rPr>
        <w:t>n</w:t>
      </w:r>
      <w:r>
        <w:rPr>
          <w:lang w:eastAsia="ja-JP"/>
        </w:rPr>
        <w:t xml:space="preserve"> el cuantificador que mejor </w:t>
      </w:r>
      <w:r>
        <w:rPr>
          <w:lang w:val="es-ES" w:eastAsia="ja-JP"/>
        </w:rPr>
        <w:t xml:space="preserve">las </w:t>
      </w:r>
      <w:r>
        <w:rPr>
          <w:lang w:eastAsia="ja-JP"/>
        </w:rPr>
        <w:t>describe</w:t>
      </w:r>
      <w:r>
        <w:rPr>
          <w:lang w:val="es-ES" w:eastAsia="ja-JP"/>
        </w:rPr>
        <w:t xml:space="preserve"> para conformar los resúmenes</w:t>
      </w:r>
      <w:r>
        <w:rPr>
          <w:lang w:eastAsia="ja-JP"/>
        </w:rPr>
        <w:t>.</w:t>
      </w:r>
      <w:r>
        <w:rPr>
          <w:lang w:val="es-ES" w:eastAsia="ja-JP"/>
        </w:rPr>
        <w:t xml:space="preserve"> Para ello </w:t>
      </w:r>
      <w:r>
        <w:rPr>
          <w:lang w:val="es-ES"/>
        </w:rPr>
        <w:t xml:space="preserve">calculan </w:t>
      </w:r>
      <w:r>
        <w:rPr>
          <w:lang w:eastAsia="ja-JP"/>
        </w:rPr>
        <w:t xml:space="preserve">la cardinalidad relativa </w:t>
      </w:r>
      <w:r>
        <w:rPr>
          <w:lang w:val="es-ES" w:eastAsia="ja-JP"/>
        </w:rPr>
        <w:t xml:space="preserve">para los </w:t>
      </w:r>
      <w:r>
        <w:rPr>
          <w:lang w:eastAsia="ja-JP"/>
        </w:rPr>
        <w:t>atributo</w:t>
      </w:r>
      <w:r>
        <w:rPr>
          <w:lang w:val="es-ES" w:eastAsia="ja-JP"/>
        </w:rPr>
        <w:t>s</w:t>
      </w:r>
      <w:r>
        <w:rPr>
          <w:lang w:eastAsia="ja-JP"/>
        </w:rPr>
        <w:t xml:space="preserve"> numérico y la moda </w:t>
      </w:r>
      <w:r>
        <w:rPr>
          <w:lang w:val="es-ES" w:eastAsia="ja-JP"/>
        </w:rPr>
        <w:t xml:space="preserve">para los </w:t>
      </w:r>
      <w:r>
        <w:rPr>
          <w:lang w:eastAsia="ja-JP"/>
        </w:rPr>
        <w:t>valores categóricos</w:t>
      </w:r>
      <w:r>
        <w:rPr>
          <w:lang w:val="es-ES" w:eastAsia="ja-JP"/>
        </w:rPr>
        <w:t>.</w:t>
      </w:r>
    </w:p>
    <w:p>
      <w:pPr>
        <w:pStyle w:val="Heading3"/>
        <w:numPr>
          <w:ilvl w:val="2"/>
          <w:numId w:val="80"/>
        </w:numPr>
        <w:rPr/>
      </w:pPr>
      <w:r>
        <w:rPr/>
        <w:t>Enfoque basado en metaheurísticas</w:t>
      </w:r>
    </w:p>
    <w:p>
      <w:pPr>
        <w:pStyle w:val="Normal"/>
        <w:rPr/>
      </w:pPr>
      <w:r>
        <w:rPr/>
        <w:t xml:space="preserve">Otro enfoque en la construcción de resúmenes lingüísticos es el basado en metaheurísticas, donde se destacan autores como George y colaboradores </w:t>
      </w:r>
      <w:r>
        <w:fldChar w:fldCharType="begin"/>
      </w:r>
      <w:r>
        <w:instrText>ADDIN ZOTERO_ITEM CSL_CITATION {"citationID":"a1t9aia6jqg","properties":{"formattedCitation":"(George et\\uc0\\u160{}al. 1996)","plainCitation":"(George et al. 1996)","noteIndex":0},"citationItems":[{"id":"NJclqhNX/jHm2LdnZ","uris":["http://zotero.org/users/local/rsuvzjK6/items/I82VLKI2"],"uri":["http://zotero.org/users/local/rsuvzjK6/items/I82VLKI2"],"itemData":{"id":3309,"type":"article-journal","container-title":"Genetic Algorithms and Soft Computing","page":"599–611","title":"Data summarization using genetic algorithms and fuzzy logic","author":[{"family":"George","given":"R."},{"family":"Srikant","given":"R."},{"family":"Herrera","given":"F."},{"family":"Verdegay","given":"J.L."}],"issued":{"date-parts":[["1996"]]}}}],"schema":"https://github.com/citation-style-language/schema/raw/master/csl-citation.json"}</w:instrText>
      </w:r>
      <w:r>
        <w:fldChar w:fldCharType="separate"/>
      </w:r>
      <w:bookmarkStart w:id="526" w:name="__Fieldmark__4677_2067855929"/>
      <w:r>
        <w:rPr/>
      </w:r>
      <w:r>
        <w:rPr>
          <w:szCs w:val="24"/>
        </w:rPr>
        <w:t>(</w:t>
      </w:r>
      <w:bookmarkStart w:id="527" w:name="__Fieldmark__4034_498839314"/>
      <w:r>
        <w:rPr>
          <w:szCs w:val="24"/>
        </w:rPr>
        <w:t>G</w:t>
      </w:r>
      <w:bookmarkStart w:id="528" w:name="__Fieldmark__3607_998588997"/>
      <w:r>
        <w:rPr>
          <w:szCs w:val="24"/>
        </w:rPr>
        <w:t>e</w:t>
      </w:r>
      <w:bookmarkStart w:id="529" w:name="__Fieldmark__6111_118561941"/>
      <w:r>
        <w:rPr>
          <w:szCs w:val="24"/>
        </w:rPr>
        <w:t>orge et al. 1996)</w:t>
      </w:r>
      <w:r>
        <w:rPr/>
      </w:r>
      <w:r>
        <w:fldChar w:fldCharType="end"/>
      </w:r>
      <w:bookmarkEnd w:id="526"/>
      <w:bookmarkEnd w:id="527"/>
      <w:bookmarkEnd w:id="528"/>
      <w:bookmarkEnd w:id="529"/>
      <w:r>
        <w:rPr/>
        <w:t xml:space="preserve">, seguidos por J. Kacprzyk y P. Strykowski </w:t>
      </w:r>
      <w:r>
        <w:fldChar w:fldCharType="begin"/>
      </w:r>
      <w:r>
        <w:instrText>ADDIN ZOTERO_ITEM CSL_CITATION {"citationID":"VyFjV5VN","properties":{"formattedCitation":"(Kacprzyk y Strykowski 1999)","plainCitation":"(Kacprzyk y Strykowski 1999)","noteIndex":0},"citationItems":[{"id":"NJclqhNX/f5cwgFPZ","uris":["http://zotero.org/users/local/rsuvzjK6/items/82TIG4HA"],"uri":["http://zotero.org/users/local/rsuvzjK6/items/82TIG4HA"],"itemData":{"id":3359,"type":"article-journal","abstract":"We present an implementation (as an add-in to the DBMS) of fuzzy linguistic summaries of sales data of a small-to-medium size computer retailer in Southern Poland. The system derives linguistic summaries exemplified by \"about a half of sales of accessories is in autumn\" or \"about 1/3 of sales of network elements is in the beginning of the year\". An inherent imprecision of natural language is accounted for by using elements of fuzzy logic, and to effectively and efficiently search the company's database, a genetic algorithm is employed. The fitting function represents a multiaspect measure of the quality of a linguistic summary. The results obtained turned out to be useful to the owner, and suggested some changes in sales policy, determining the staff size, negotiation of commissions, etc. A combination of fuzzy logic and a genetic algorithm proved to be effective, efficient and synergistic.","container-title":"Proceedings of the 1999 Congress on Evolutionary Computation-CEC99 (Cat. No. 99TH8406)","DOI":"10.1109/CEC.1999.782523","page":"937–943","title":"Linguistic summaries of sales data at a computer retailer via fuzzy logic and a genetic algorithm","volume":"2","author":[{"family":"Kacprzyk","given":"J"},{"family":"Strykowski","given":"P"}],"issued":{"date-parts":[["1999"]]}}}],"schema":"https://github.com/citation-style-language/schema/raw/master/csl-citation.json"}</w:instrText>
      </w:r>
      <w:r>
        <w:fldChar w:fldCharType="separate"/>
      </w:r>
      <w:bookmarkStart w:id="530" w:name="__Fieldmark__4693_2067855929"/>
      <w:r>
        <w:rPr/>
        <w:t>(</w:t>
      </w:r>
      <w:bookmarkStart w:id="531" w:name="__Fieldmark__4045_498839314"/>
      <w:r>
        <w:rPr/>
        <w:t>K</w:t>
      </w:r>
      <w:bookmarkStart w:id="532" w:name="__Fieldmark__3614_998588997"/>
      <w:r>
        <w:rPr/>
        <w:t>a</w:t>
      </w:r>
      <w:bookmarkStart w:id="533" w:name="__Fieldmark__6116_118561941"/>
      <w:r>
        <w:rPr/>
        <w:t>cprzyk y Strykowski 1999)</w:t>
      </w:r>
      <w:r>
        <w:rPr/>
      </w:r>
      <w:r>
        <w:fldChar w:fldCharType="end"/>
      </w:r>
      <w:bookmarkEnd w:id="530"/>
      <w:bookmarkEnd w:id="531"/>
      <w:bookmarkEnd w:id="532"/>
      <w:bookmarkEnd w:id="533"/>
      <w:r>
        <w:rPr/>
        <w:t xml:space="preserve"> y posteriormente Donis-Díaz, Bello, et al. </w:t>
      </w:r>
      <w:r>
        <w:fldChar w:fldCharType="begin"/>
      </w:r>
      <w:r>
        <w:instrText>ADDIN ZOTERO_ITEM CSL_CITATION {"citationID":"a165i0fkn86","properties":{"formattedCitation":"(Donis-D\\uc0\\u237{}az, Bello y Kacprzyk 2015)","plainCitation":"(Donis-Díaz, Bello y Kacprzyk 2015)","noteIndex":0},"citationItems":[{"id":"NJclqhNX/4naOJElr","uris":["http://zotero.org/users/local/rsuvzjK6/items/7DS66S9U"],"uri":["http://zotero.org/users/local/rsuvzjK6/items/7DS66S9U"],"itemData":{"id":3264,"type":"paper-conference","abstract":"Some models using metaheuristics based in an “improvement of solutions” procedure, specifically Genetic Algorithms (GA), have been proposed previously to the linguistic summarization of numerical data (LDS). In the present work is proposed a new model for LDS based in Ant Colony Optimization (ACO), a metaheuristic that use a “construction of solution” procedure. Both models are compared in LDS over creep data. Results show how the ACO based model overcomes the measures of goodness of the final summary but fails to improve the results of the GA based model in relation to the diversity of the summary. Features of both models are considered to explain the results.","collection-title":"Advances in Intelligent Systems and Computing","container-title":"Intelligent Systems'2014","DOI":"10.1007/978-3-319-11313-5_8","event-place":"Cham","ISBN":"978-3-319-11313-5","language":"en","page":"81–92","publisher":"Springer International Publishing","publisher-place":"Cham","title":"Using Ant Colony Optimization and Genetic Algorithms for the Linguistic Summarization of Creep Data","author":[{"family":"Donis-Díaz","given":"Carlos A."},{"family":"Bello","given":"Rafael"},{"family":"Kacprzyk","given":"Janusz"}],"editor":[{"family":"Angelov","given":"P."},{"family":"Atanassov","given":"K.T."},{"family":"Doukovska","given":"L."},{"family":"Hadjiski","given":"M."},{"family":"Jotsov","given":"V."},{"family":"Kacprzyk","given":"J."},{"family":"Kasabov","given":"N."},{"family":"Sotirov","given":"S."},{"family":"Szmidt","given":"E."},{"family":"Zadrożny","given":"S."}],"issued":{"date-parts":[["2015"]]}}}],"schema":"https://github.com/citation-style-language/schema/raw/master/csl-citation.json"}</w:instrText>
      </w:r>
      <w:r>
        <w:fldChar w:fldCharType="separate"/>
      </w:r>
      <w:bookmarkStart w:id="534" w:name="__Fieldmark__4708_2067855929"/>
      <w:r>
        <w:rPr/>
      </w:r>
      <w:r>
        <w:rPr>
          <w:szCs w:val="24"/>
        </w:rPr>
        <w:t>(</w:t>
      </w:r>
      <w:bookmarkStart w:id="535" w:name="__Fieldmark__4056_498839314"/>
      <w:r>
        <w:rPr>
          <w:szCs w:val="24"/>
        </w:rPr>
        <w:t>D</w:t>
      </w:r>
      <w:bookmarkStart w:id="536" w:name="__Fieldmark__3621_998588997"/>
      <w:r>
        <w:rPr>
          <w:szCs w:val="24"/>
        </w:rPr>
        <w:t>o</w:t>
      </w:r>
      <w:bookmarkStart w:id="537" w:name="__Fieldmark__6124_118561941"/>
      <w:r>
        <w:rPr>
          <w:szCs w:val="24"/>
        </w:rPr>
        <w:t>nis-Díaz, Bello y Kacprzyk 2015)</w:t>
      </w:r>
      <w:r>
        <w:rPr/>
      </w:r>
      <w:r>
        <w:fldChar w:fldCharType="end"/>
      </w:r>
      <w:bookmarkEnd w:id="534"/>
      <w:bookmarkEnd w:id="535"/>
      <w:bookmarkEnd w:id="536"/>
      <w:bookmarkEnd w:id="537"/>
      <w:r>
        <w:rPr/>
        <w:t xml:space="preserve"> </w:t>
      </w:r>
      <w:r>
        <w:fldChar w:fldCharType="begin"/>
      </w:r>
      <w:r>
        <w:instrText>ADDIN ZOTERO_ITEM CSL_CITATION {"citationID":"afdkpqu5r0","properties":{"formattedCitation":"(Donis-D\\uc0\\u237{}az, Bello, et\\uc0\\u160{}al. 2014)","plainCitation":"(Donis-Díaz, Bello, et al. 2014)","noteIndex":0},"citationItems":[{"id":3149,"uris":["http://zotero.org/users/local/EJ15hJE2/items/T2JFREYY"],"uri":["http://zotero.org/users/local/EJ15hJE2/items/T2JFREYY"],"itemData":{"id":3149,"type":"article-journal","container-title":"Czasopismo Techniczne","DOI":"10.4467/2353737XCT.14.019.2602","issue":"Automatyka Zeszyt 2 AC (10) 2013","page":"3–12","title":"Linguistic data summarization using an enhanced genetic algorithm","volume":"2013","author":[{"family":"Donis-Díaz","given":"C. A."},{"family":"Bello","given":"Rafael"},{"family":"Kacprzyk","given":"Janusz"},{"literal":"others"}],"issued":{"date-parts":[["2014"]]}}}],"schema":"https://github.com/citation-style-language/schema/raw/master/csl-citation.json"}</w:instrText>
      </w:r>
      <w:r>
        <w:fldChar w:fldCharType="separate"/>
      </w:r>
      <w:bookmarkStart w:id="538" w:name="__Fieldmark__4723_2067855929"/>
      <w:r>
        <w:rPr/>
      </w:r>
      <w:r>
        <w:rPr>
          <w:szCs w:val="24"/>
        </w:rPr>
        <w:t>(</w:t>
      </w:r>
      <w:bookmarkStart w:id="539" w:name="__Fieldmark__4067_498839314"/>
      <w:r>
        <w:rPr>
          <w:szCs w:val="24"/>
        </w:rPr>
        <w:t>D</w:t>
      </w:r>
      <w:bookmarkStart w:id="540" w:name="__Fieldmark__3628_998588997"/>
      <w:r>
        <w:rPr>
          <w:szCs w:val="24"/>
        </w:rPr>
        <w:t>o</w:t>
      </w:r>
      <w:bookmarkStart w:id="541" w:name="__Fieldmark__6129_118561941"/>
      <w:r>
        <w:rPr>
          <w:szCs w:val="24"/>
        </w:rPr>
        <w:t>nis-Díaz, Bello, et al. 2014)</w:t>
      </w:r>
      <w:r>
        <w:rPr/>
      </w:r>
      <w:r>
        <w:fldChar w:fldCharType="end"/>
      </w:r>
      <w:bookmarkEnd w:id="538"/>
      <w:bookmarkEnd w:id="539"/>
      <w:bookmarkEnd w:id="540"/>
      <w:bookmarkEnd w:id="541"/>
      <w:r>
        <w:rPr/>
        <w:t>. Bajo este enfoque, los algoritmos genéticos han sido los más utilizados.</w:t>
      </w:r>
    </w:p>
    <w:p>
      <w:pPr>
        <w:pStyle w:val="Normal"/>
        <w:rPr/>
      </w:pPr>
      <w:r>
        <w:rPr/>
        <w:t xml:space="preserve">En </w:t>
      </w:r>
      <w:r>
        <w:fldChar w:fldCharType="begin"/>
      </w:r>
      <w:r>
        <w:instrText>ADDIN ZOTERO_ITEM CSL_CITATION {"citationID":"a1kfi280sn0","properties":{"formattedCitation":"(Donis-D\\uc0\\u237{}az, Muro, et\\uc0\\u160{}al. 2014)","plainCitation":"(Donis-Díaz, Muro, et al. 2014)","noteIndex":0},"citationItems":[{"id":3152,"uris":["http://zotero.org/users/local/EJ15hJE2/items/AV3MBLF8"],"uri":["http://zotero.org/users/local/EJ15hJE2/items/AV3MBLF8"],"itemData":{"id":3152,"type":"article-journal","abstract":"A hybrid model of Genetic Algorithm (GA) with local search to discover linguistic summaries and its application into the creep data analysis is proposed in this paper. Two specifics operator and a called Diversity term in the fitness function are introduced by the model to guarantees summaries with high quality and a wide range of information respectively. The experiments show that the hybrid model improves the results compared to those obtained using the classical model of GA. The quality of the summaries was verified by the interpretation of some of them from the theoretical point of view.","container-title":"Expert Systems with Applications","DOI":"10.1016/j.eswa.2013.09.002","ISSN":"0957-4174","issue":"4, Part 2","language":"en","page":"2035–2042","title":"A hybrid model of genetic algorithm with local search to discover linguistic data summaries from creep data","volume":"41","author":[{"family":"Donis-Díaz","given":"C. A."},{"family":"Muro","given":"A. G."},{"family":"Bello-Pérez","given":"R."},{"family":"Morales","given":"E. V."}],"issued":{"date-parts":[["2014",3]]}}}],"schema":"https://github.com/citation-style-language/schema/raw/master/csl-citation.json"}</w:instrText>
      </w:r>
      <w:r>
        <w:fldChar w:fldCharType="separate"/>
      </w:r>
      <w:bookmarkStart w:id="542" w:name="__Fieldmark__4740_2067855929"/>
      <w:r>
        <w:rPr/>
      </w:r>
      <w:r>
        <w:rPr>
          <w:szCs w:val="24"/>
        </w:rPr>
        <w:t>(</w:t>
      </w:r>
      <w:bookmarkStart w:id="543" w:name="__Fieldmark__4080_498839314"/>
      <w:r>
        <w:rPr>
          <w:szCs w:val="24"/>
        </w:rPr>
        <w:t>D</w:t>
      </w:r>
      <w:bookmarkStart w:id="544" w:name="__Fieldmark__3637_998588997"/>
      <w:r>
        <w:rPr>
          <w:szCs w:val="24"/>
        </w:rPr>
        <w:t>o</w:t>
      </w:r>
      <w:bookmarkStart w:id="545" w:name="__Fieldmark__6145_118561941"/>
      <w:r>
        <w:rPr>
          <w:szCs w:val="24"/>
        </w:rPr>
        <w:t>nis-Díaz, Muro, et al. 2014)</w:t>
      </w:r>
      <w:r>
        <w:rPr/>
      </w:r>
      <w:r>
        <w:fldChar w:fldCharType="end"/>
      </w:r>
      <w:bookmarkEnd w:id="542"/>
      <w:bookmarkEnd w:id="543"/>
      <w:bookmarkEnd w:id="544"/>
      <w:bookmarkEnd w:id="545"/>
      <w:r>
        <w:rPr/>
        <w:t xml:space="preserve"> se propone un modelo híbrido de Algoritmo Genético (AG) con un escalador de colinas para la identificación de resúmenes lingüísticos. Estos mismos autores experimentan además con diferentes metaheurísticas de inteligencia colectiva como las colonias de hormigas (ACO por sus siglas en inglés) </w:t>
      </w:r>
      <w:r>
        <w:fldChar w:fldCharType="begin"/>
      </w:r>
      <w:r>
        <w:instrText>ADDIN ZOTERO_ITEM CSL_CITATION {"citationID":"BEMIQAGp","properties":{"formattedCitation":"(Donis-D\\uc0\\u237{}az, Bello y Kacprzyk 2015)","plainCitation":"(Donis-Díaz, Bello y Kacprzyk 2015)","noteIndex":0},"citationItems":[{"id":"NJclqhNX/4naOJElr","uris":["http://zotero.org/users/local/rsuvzjK6/items/7DS66S9U"],"uri":["http://zotero.org/users/local/rsuvzjK6/items/7DS66S9U"],"itemData":{"id":3264,"type":"paper-conference","abstract":"Some models using metaheuristics based in an “improvement of solutions” procedure, specifically Genetic Algorithms (GA), have been proposed previously to the linguistic summarization of numerical data (LDS). In the present work is proposed a new model for LDS based in Ant Colony Optimization (ACO), a metaheuristic that use a “construction of solution” procedure. Both models are compared in LDS over creep data. Results show how the ACO based model overcomes the measures of goodness of the final summary but fails to improve the results of the GA based model in relation to the diversity of the summary. Features of both models are considered to explain the results.","collection-title":"Advances in Intelligent Systems and Computing","container-title":"Intelligent Systems'2014","DOI":"10.1007/978-3-319-11313-5_8","event-place":"Cham","ISBN":"978-3-319-11313-5","language":"en","page":"81–92","publisher":"Springer International Publishing","publisher-place":"Cham","title":"Using Ant Colony Optimization and Genetic Algorithms for the Linguistic Summarization of Creep Data","author":[{"family":"Donis-Díaz","given":"Carlos A."},{"family":"Bello","given":"Rafael"},{"family":"Kacprzyk","given":"Janusz"}],"editor":[{"family":"Angelov","given":"P."},{"family":"Atanassov","given":"K.T."},{"family":"Doukovska","given":"L."},{"family":"Hadjiski","given":"M."},{"family":"Jotsov","given":"V."},{"family":"Kacprzyk","given":"J."},{"family":"Kasabov","given":"N."},{"family":"Sotirov","given":"S."},{"family":"Szmidt","given":"E."},{"family":"Zadrożny","given":"S."}],"issued":{"date-parts":[["2015"]]}}}],"schema":"https://github.com/citation-style-language/schema/raw/master/csl-citation.json"}</w:instrText>
      </w:r>
      <w:r>
        <w:fldChar w:fldCharType="separate"/>
      </w:r>
      <w:bookmarkStart w:id="546" w:name="__Fieldmark__4756_2067855929"/>
      <w:r>
        <w:rPr/>
      </w:r>
      <w:r>
        <w:rPr>
          <w:szCs w:val="24"/>
        </w:rPr>
        <w:t>(</w:t>
      </w:r>
      <w:bookmarkStart w:id="547" w:name="__Fieldmark__4091_498839314"/>
      <w:r>
        <w:rPr>
          <w:szCs w:val="24"/>
        </w:rPr>
        <w:t>D</w:t>
      </w:r>
      <w:bookmarkStart w:id="548" w:name="__Fieldmark__3644_998588997"/>
      <w:r>
        <w:rPr>
          <w:szCs w:val="24"/>
        </w:rPr>
        <w:t>o</w:t>
      </w:r>
      <w:bookmarkStart w:id="549" w:name="__Fieldmark__6150_118561941"/>
      <w:r>
        <w:rPr>
          <w:szCs w:val="24"/>
        </w:rPr>
        <w:t>nis-Díaz, Bello y Kacprzyk 2015)</w:t>
      </w:r>
      <w:r>
        <w:rPr/>
      </w:r>
      <w:r>
        <w:fldChar w:fldCharType="end"/>
      </w:r>
      <w:bookmarkEnd w:id="546"/>
      <w:bookmarkEnd w:id="547"/>
      <w:bookmarkEnd w:id="548"/>
      <w:bookmarkEnd w:id="549"/>
      <w:r>
        <w:rPr/>
        <w:t xml:space="preserve">. </w:t>
      </w:r>
      <w:r>
        <w:rPr>
          <w:lang w:val="en-US"/>
        </w:rPr>
        <w:t>En la representación de los individuos o soluciones ambos algoritmos conciben que cada individuo está formado por</w:t>
      </w:r>
      <w:r>
        <w:rPr>
          <w:i/>
          <w:lang w:val="en-US"/>
        </w:rPr>
        <w:t xml:space="preserve"> </w:t>
      </w:r>
      <w:r>
        <w:rPr>
          <w:i/>
          <w:lang w:val="en-US"/>
        </w:rPr>
      </w:r>
      <m:oMath xmlns:m="http://schemas.openxmlformats.org/officeDocument/2006/math">
        <m:r>
          <w:rPr>
            <w:rFonts w:ascii="Cambria Math" w:hAnsi="Cambria Math"/>
          </w:rPr>
          <m:t xml:space="preserve">m</m:t>
        </m:r>
      </m:oMath>
      <w:r>
        <w:rPr>
          <w:lang w:val="en-US"/>
        </w:rPr>
        <w:t xml:space="preserve"> resúmenes lingüísticos. En particular, durante la identificación de los cuantificadores en </w:t>
      </w:r>
      <w:r>
        <w:fldChar w:fldCharType="begin"/>
      </w:r>
      <w:r>
        <w:instrText>ADDIN ZOTERO_ITEM CSL_CITATION {"citationID":"4XwqwEzw","properties":{"formattedCitation":"(Donis-D\\uc0\\u237{}az, Bello y Kacprzyk 2015)","plainCitation":"(Donis-Díaz, Bello y Kacprzyk 2015)","noteIndex":0},"citationItems":[{"id":"NJclqhNX/4naOJElr","uris":["http://zotero.org/users/local/rsuvzjK6/items/7DS66S9U"],"uri":["http://zotero.org/users/local/rsuvzjK6/items/7DS66S9U"],"itemData":{"id":3264,"type":"paper-conference","abstract":"Some models using metaheuristics based in an “improvement of solutions” procedure, specifically Genetic Algorithms (GA), have been proposed previously to the linguistic summarization of numerical data (LDS). In the present work is proposed a new model for LDS based in Ant Colony Optimization (ACO), a metaheuristic that use a “construction of solution” procedure. Both models are compared in LDS over creep data. Results show how the ACO based model overcomes the measures of goodness of the final summary but fails to improve the results of the GA based model in relation to the diversity of the summary. Features of both models are considered to explain the results.","collection-title":"Advances in Intelligent Systems and Computing","container-title":"Intelligent Systems'2014","DOI":"10.1007/978-3-319-11313-5_8","event-place":"Cham","ISBN":"978-3-319-11313-5","language":"en","page":"81–92","publisher":"Springer International Publishing","publisher-place":"Cham","title":"Using Ant Colony Optimization and Genetic Algorithms for the Linguistic Summarization of Creep Data","author":[{"family":"Donis-Díaz","given":"Carlos A."},{"family":"Bello","given":"Rafael"},{"family":"Kacprzyk","given":"Janusz"}],"editor":[{"family":"Angelov","given":"P."},{"family":"Atanassov","given":"K.T."},{"family":"Doukovska","given":"L."},{"family":"Hadjiski","given":"M."},{"family":"Jotsov","given":"V."},{"family":"Kacprzyk","given":"J."},{"family":"Kasabov","given":"N."},{"family":"Sotirov","given":"S."},{"family":"Szmidt","given":"E."},{"family":"Zadrożny","given":"S."}],"issued":{"date-parts":[["2015"]]}}}],"schema":"https://github.com/citation-style-language/schema/raw/master/csl-citation.json"}</w:instrText>
      </w:r>
      <w:r>
        <w:fldChar w:fldCharType="separate"/>
      </w:r>
      <w:bookmarkStart w:id="550" w:name="__Fieldmark__4777_2067855929"/>
      <w:r>
        <w:rPr>
          <w:lang w:val="en-US"/>
        </w:rPr>
      </w:r>
      <w:r>
        <w:rPr>
          <w:szCs w:val="24"/>
          <w:lang w:val="en-US"/>
        </w:rPr>
        <w:t>(</w:t>
      </w:r>
      <w:bookmarkStart w:id="551" w:name="__Fieldmark__4106_498839314"/>
      <w:r>
        <w:rPr>
          <w:szCs w:val="24"/>
          <w:lang w:val="en-US"/>
        </w:rPr>
        <w:t>D</w:t>
      </w:r>
      <w:bookmarkStart w:id="552" w:name="__Fieldmark__3655_998588997"/>
      <w:r>
        <w:rPr>
          <w:szCs w:val="24"/>
          <w:lang w:val="en-US"/>
        </w:rPr>
        <w:t>o</w:t>
      </w:r>
      <w:bookmarkStart w:id="553" w:name="__Fieldmark__6167_118561941"/>
      <w:r>
        <w:rPr>
          <w:szCs w:val="24"/>
          <w:lang w:val="en-US"/>
        </w:rPr>
        <w:t>nis-Díaz, Bello y Kacprzyk 2015)</w:t>
      </w:r>
      <w:r>
        <w:rPr>
          <w:lang w:val="en-US"/>
        </w:rPr>
      </w:r>
      <w:r>
        <w:fldChar w:fldCharType="end"/>
      </w:r>
      <w:bookmarkEnd w:id="550"/>
      <w:bookmarkEnd w:id="551"/>
      <w:bookmarkEnd w:id="552"/>
      <w:bookmarkEnd w:id="553"/>
      <w:r>
        <w:rPr>
          <w:lang w:val="en-US"/>
        </w:rPr>
        <w:t xml:space="preserve">, se propone una búsqueda exhaustiva hasta encontrar el cuantificador que logre mayor representatividad de una combinación específica </w:t>
      </w:r>
      <w:r>
        <w:rPr>
          <w:i/>
          <w:lang w:val="en-US"/>
        </w:rPr>
        <w:t>(filtros-sumarizador)</w:t>
      </w:r>
      <w:r>
        <w:rPr>
          <w:lang w:val="en-US"/>
        </w:rPr>
        <w:t xml:space="preserve"> en el conjunto de datos. Además, ambas propuestas incluyen métodos adicionales basados en técnicas de búsqueda local para la mejora de las soluciones que incorporan mayor complejidad en el proceso de búsqueda.</w:t>
      </w:r>
    </w:p>
    <w:p>
      <w:pPr>
        <w:pStyle w:val="Normal"/>
        <w:rPr>
          <w:lang w:val="en-US"/>
        </w:rPr>
      </w:pPr>
      <w:r>
        <w:rPr/>
        <w:t>Como debilidad de este enfoque, se le señala que estas técnicas no aprovechan la información asociada a las correlaciones entre los datos. Además, en ambos trabajos los autores establecen un algoritmo de generación de resúmenes con un alto costo computacional que se aprecia a partir de la cantidad de evaluaciones de resúmenes lingüísticos que debe realizar este algoritmo</w:t>
      </w:r>
      <w:r>
        <w:rPr>
          <w:lang w:val="en-US"/>
        </w:rPr>
        <w:t>.</w:t>
      </w:r>
    </w:p>
    <w:p>
      <w:pPr>
        <w:pStyle w:val="Heading3"/>
        <w:numPr>
          <w:ilvl w:val="2"/>
          <w:numId w:val="80"/>
        </w:numPr>
        <w:rPr/>
      </w:pPr>
      <w:r>
        <w:rPr/>
        <w:t>Enfoque basado en agrupamientos y descubrimiento de datos anómalos</w:t>
      </w:r>
    </w:p>
    <w:p>
      <w:pPr>
        <w:pStyle w:val="Normal"/>
        <w:rPr/>
      </w:pPr>
      <w:r>
        <w:rPr/>
        <w:t xml:space="preserve">En el enfoque basado en el agrupamiento de los datos se destacan trabajos como </w:t>
      </w:r>
      <w:r>
        <w:fldChar w:fldCharType="begin"/>
      </w:r>
      <w:r>
        <w:instrText>ADDIN ZOTERO_ITEM CSL_CITATION {"citationID":"CV1ECvwv","properties":{"formattedCitation":"(Wilbik y Dijkman 2016)","plainCitation":"(Wilbik y Dijkman 2016)","noteIndex":0},"citationItems":[{"id":"NJclqhNX/1ebjSrdZ","uris":["http://zotero.org/users/local/rsuvzjK6/items/9WRTM8B6"],"uri":["http://zotero.org/users/local/rsuvzjK6/items/9WRTM8B6"],"itemData":{"id":3260,"type":"paper-conference","abstract":"Linguistic summarization techniques make it easy to gain insight into large amounts of data by describing the main properties of the data linguistically. In this paper we focus on a specific type of data, namely process data, i.e., event logs that contain information about when some activities were performed for a particular customer case. An event log may contain many different sequences, because actions or events are often performed in slightly different orders for different customer cases. This easily leads to a very large number of generated summaries. As the point of linguistic summarization is to provide a quick overview, such a large number of summaries is not helpful to the interpreter. To address this problem, we propose a method for the generation of linguistic summaries of sequences that groups similar sequences and returns them in a single linguistic summary. We show the applicability of our technique on an event log from practice and show that it can be used to reduce the number of produced summaries by 80%, while keeping the important information that is contained in those summaries.","container-title":"2016 IEEE International Conference on Fuzzy Systems (FUZZ-IEEE)","DOI":"10.1109/FUZZ-IEEE.2016.7737736","page":"555–562","title":"On the generation of useful linguistic summaries of sequences","author":[{"family":"Wilbik","given":"Anna"},{"family":"Dijkman","given":"Remco M."}],"issued":{"date-parts":[["2016",7]]}}}],"schema":"https://github.com/citation-style-language/schema/raw/master/csl-citation.json"}</w:instrText>
      </w:r>
      <w:r>
        <w:fldChar w:fldCharType="separate"/>
      </w:r>
      <w:bookmarkStart w:id="554" w:name="__Fieldmark__4802_2067855929"/>
      <w:r>
        <w:rPr/>
        <w:t>(</w:t>
      </w:r>
      <w:bookmarkStart w:id="555" w:name="__Fieldmark__4124_498839314"/>
      <w:r>
        <w:rPr/>
        <w:t>W</w:t>
      </w:r>
      <w:bookmarkStart w:id="556" w:name="__Fieldmark__3669_998588997"/>
      <w:r>
        <w:rPr/>
        <w:t>i</w:t>
      </w:r>
      <w:bookmarkStart w:id="557" w:name="__Fieldmark__6189_118561941"/>
      <w:r>
        <w:rPr/>
        <w:t>lbik y Dijkman 2016)</w:t>
      </w:r>
      <w:r>
        <w:rPr/>
      </w:r>
      <w:r>
        <w:fldChar w:fldCharType="end"/>
      </w:r>
      <w:bookmarkEnd w:id="554"/>
      <w:bookmarkEnd w:id="555"/>
      <w:bookmarkEnd w:id="556"/>
      <w:bookmarkEnd w:id="557"/>
      <w:r>
        <w:rPr/>
        <w:t xml:space="preserve">, donde construyen matrices de partición y emplean los algoritmos </w:t>
      </w:r>
      <w:r>
        <w:rPr>
          <w:i/>
        </w:rPr>
        <w:t xml:space="preserve">Single Linkage (SL) </w:t>
      </w:r>
      <w:r>
        <w:rPr/>
        <w:t xml:space="preserve">y </w:t>
      </w:r>
      <w:r>
        <w:rPr>
          <w:i/>
        </w:rPr>
        <w:t>Non-Euclidean Relational Fuzzy CMeans (NERFCM).</w:t>
      </w:r>
      <w:r>
        <w:rPr/>
        <w:t xml:space="preserve"> Otros trabajos como </w:t>
      </w:r>
      <w:r>
        <w:fldChar w:fldCharType="begin"/>
      </w:r>
      <w:r>
        <w:instrText>ADDIN ZOTERO_ITEM CSL_CITATION {"citationID":"XAi4u1rC","properties":{"formattedCitation":"(Dijkman y Wilbik 2017)","plainCitation":"(Dijkman y Wilbik 2017)","noteIndex":0},"citationItems":[{"id":"NJclqhNX/tUNDshry","uris":["http://zotero.org/users/local/rsuvzjK6/items/8GWFVIKD"],"uri":["http://zotero.org/users/local/rsuvzjK6/items/8GWFVIKD"],"itemData":{"id":3297,"type":"article-journal","abstract":"The amount of data that is generated during the execution of a business process is growing. As a consequence it is increasingly hard to extract useful information from the large amount of data that is produced. Linguistic summarization helps to point business analysts in the direction of useful information, by verbalizing interesting patterns that exist in the data. In previous work we showed how linguistic summarization can be used to automatically generate diagnostic statements about event logs, such as ‘for most cases that contained the sequence ABC, the throughput time was long’. However, we also showed that our technique produced too many of these statements to be useful in a practical setting. Therefore this paper presents a novel technique for linguistic summarization of event logs, which generates linguistic summaries that are concise enough to be used in a practical setting, while at the same time enriching the summaries that are produced by also enabling conjunctive statements. The improved technique is based on pruning and clustering of linguistic summaries. We show that it can be used to reduce the number of summary statements 80–100% compared to previous work. In a survey among 51 practitioners, we found that practitioners consider linguistic summarization useful and easy to use and intend to use it if it were commercially available.","container-title":"Information Systems","DOI":"10.1016/j.is.2017.03.009","ISSN":"0306-4379","language":"en","page":"114–125","title":"Linguistic summarization of event logs – A practical approach","volume":"67","author":[{"family":"Dijkman","given":"Remco"},{"family":"Wilbik","given":"Anna"}],"issued":{"date-parts":[["2017",7]]}}}],"schema":"https://github.com/citation-style-language/schema/raw/master/csl-citation.json"}</w:instrText>
      </w:r>
      <w:r>
        <w:fldChar w:fldCharType="separate"/>
      </w:r>
      <w:bookmarkStart w:id="558" w:name="__Fieldmark__4822_2067855929"/>
      <w:r>
        <w:rPr/>
        <w:t>(</w:t>
      </w:r>
      <w:bookmarkStart w:id="559" w:name="__Fieldmark__4139_498839314"/>
      <w:r>
        <w:rPr/>
        <w:t>D</w:t>
      </w:r>
      <w:bookmarkStart w:id="560" w:name="__Fieldmark__3680_998588997"/>
      <w:r>
        <w:rPr/>
        <w:t>i</w:t>
      </w:r>
      <w:bookmarkStart w:id="561" w:name="__Fieldmark__6198_118561941"/>
      <w:r>
        <w:rPr/>
        <w:t>jkman y Wilbik 2017)</w:t>
      </w:r>
      <w:r>
        <w:rPr/>
      </w:r>
      <w:r>
        <w:fldChar w:fldCharType="end"/>
      </w:r>
      <w:bookmarkEnd w:id="558"/>
      <w:bookmarkEnd w:id="559"/>
      <w:bookmarkEnd w:id="560"/>
      <w:bookmarkEnd w:id="561"/>
      <w:r>
        <w:rPr/>
        <w:t>, se basan en la construcción de un árbol a partir de considerar todas las combinaciones de filtros y sumarizadores, luego podan las ramas que representa una combinación con bajo soporte en la base de datos. La naturaleza de estos trabajos, implica un alto costo computacional durante el proceso de búsqueda.</w:t>
      </w:r>
    </w:p>
    <w:p>
      <w:pPr>
        <w:pStyle w:val="Normal"/>
        <w:rPr/>
      </w:pPr>
      <w:r>
        <w:rPr/>
        <w:t xml:space="preserve">Los métodos basados en este enfoque generalmente construyen los </w:t>
      </w:r>
      <w:r>
        <w:rPr>
          <w:i/>
        </w:rPr>
        <w:t>clusters</w:t>
      </w:r>
      <w:r>
        <w:rPr/>
        <w:t xml:space="preserve"> y luego por cada grupo generan un resumen lingüístico que explica el comportamiento del mismo. Entre las principales limitantes de este enfoque se identifica que generalmente dependen de parámetros que acotan la cantidad de grupos a construir. En otros casos las estrategias basadas en distancias tienden a formar híper-esferas.</w:t>
      </w:r>
    </w:p>
    <w:p>
      <w:pPr>
        <w:pStyle w:val="Normal"/>
        <w:tabs>
          <w:tab w:val="left" w:pos="0" w:leader="none"/>
        </w:tabs>
        <w:rPr/>
      </w:pPr>
      <w:r>
        <w:rPr/>
        <w:t xml:space="preserve">Por otra parte, hay pocos trabajos que vinculan la generación de resúmenes con la minería de datos anómalos </w:t>
      </w:r>
      <w:r>
        <w:fldChar w:fldCharType="begin"/>
      </w:r>
      <w:r>
        <w:instrText>ADDIN ZOTERO_ITEM CSL_CITATION {"citationID":"RJ4dWmnZ","properties":{"formattedCitation":"(P\\uc0\\u233{}rez Pupo, Pi\\uc0\\u241{}ero P\\uc0\\u233{}rez, Vacacela, et\\uc0\\u160{}al. 2020)","plainCitation":"(Pérez Pupo, Piñero Pérez, Vacacela, et al. 2020)","noteIndex":0},"citationItems":[{"id":"NJclqhNX/ApDoS2n4","uris":["http://zotero.org/users/local/rsuvzjK6/items/5UTLXIFQ"],"uri":["http://zotero.org/users/local/rsuvzjK6/items/5UTLXIFQ"],"itemData":{"id":3311,"type":"paper-conference","abstract":"Linguistic data summarization techniques help to discover complex relationships between variables and to present the information in natural language. There are some investigations associated to algorithms to build linguistic summaries. But the literature does no report investigations concerned with combination linguistic data summarization techniques and outliers’ mining applied to planning of software project. In particular, outliers’ mining is a datamining technique, useful in errors and fraud detection. In this work authors present new algorithms to build linguistic data summaries from outliers in software project planning context. Besides, authors compare different outliers’ detection algorithms in software project planning context. The main motivation of this work is to detect planning errors in projects, to avoid high cost and time delays. Authors consider that the combination of outliers’ mining and linguistic data summarization support project managers to decision-making process in the software project planning. Finally, authors present the interpretation of obtained summaries and comment about its impact..","collection-title":"12179 LNAI","container-title":"International Joint Conference on Rough Sets. Lecture Notes in Computer Science ISSN 0302-9743, Springer, 12179 LNAI, ISBN 978-3-030-52704-4","DOI":"10.1007/978-3-030-52705-1_27","page":"365–375","publisher":"Lecture Notes in Computer Science, Springer","title":"Discovering Fails in Software Projects Planning Based on Linguistic Summaries","URL":"https://link.springer.com/content/pdf/10.1007%2F978-3-030-52705-1_27.pdf","author":[{"family":"Pérez Pupo","given":"Iliana"},{"family":"Piñero Pérez","given":"Pedro Yobani"},{"family":"Vacacela","given":"Roberto García"},{"family":"Bello","given":"Rafael"},{"family":"Acuña","given":"Luis Alvarado"}],"issued":{"date-parts":[["2020"]]}}}],"schema":"https://github.com/citation-style-language/schema/raw/master/csl-citation.json"}</w:instrText>
      </w:r>
      <w:r>
        <w:fldChar w:fldCharType="separate"/>
      </w:r>
      <w:bookmarkStart w:id="562" w:name="__Fieldmark__4846_2067855929"/>
      <w:r>
        <w:rPr/>
      </w:r>
      <w:r>
        <w:rPr>
          <w:szCs w:val="24"/>
        </w:rPr>
        <w:t>(</w:t>
      </w:r>
      <w:bookmarkStart w:id="563" w:name="__Fieldmark__4155_498839314"/>
      <w:r>
        <w:rPr>
          <w:szCs w:val="24"/>
        </w:rPr>
        <w:t>P</w:t>
      </w:r>
      <w:bookmarkStart w:id="564" w:name="__Fieldmark__3692_998588997"/>
      <w:r>
        <w:rPr>
          <w:szCs w:val="24"/>
        </w:rPr>
        <w:t>é</w:t>
      </w:r>
      <w:bookmarkStart w:id="565" w:name="__Fieldmark__6221_118561941"/>
      <w:r>
        <w:rPr>
          <w:szCs w:val="24"/>
        </w:rPr>
        <w:t>rez Pupo, Piñero Pérez, Vacacela, et al. 2020)</w:t>
      </w:r>
      <w:r>
        <w:rPr/>
      </w:r>
      <w:r>
        <w:fldChar w:fldCharType="end"/>
      </w:r>
      <w:bookmarkEnd w:id="562"/>
      <w:bookmarkEnd w:id="563"/>
      <w:bookmarkEnd w:id="564"/>
      <w:bookmarkEnd w:id="565"/>
      <w:r>
        <w:rPr/>
        <w:t xml:space="preserve">, </w:t>
      </w:r>
      <w:r>
        <w:fldChar w:fldCharType="begin"/>
      </w:r>
      <w:r>
        <w:instrText>ADDIN ZOTERO_ITEM CSL_CITATION {"citationID":"364G2SM6","properties":{"formattedCitation":"(Castro Aguilar 2017)","plainCitation":"(Castro Aguilar 2017)","noteIndex":0},"citationItems":[{"id":"NJclqhNX/FJ27pKB2","uris":["http://zotero.org/users/local/rsuvzjK6/items/NUCICDAI"],"uri":["http://zotero.org/users/local/rsuvzjK6/items/NUCICDAI"],"itemData":{"id":3493,"type":"thesis","abstract":"El incremento de la competitividad en los mercados globales ha provocado la necesidad de mejoras en las organizaciones orientadas a proyectos, dirigidas a mejorar la salud financiera y los ingresos de las mismas. En este contexto, surge el aseguramiento de ingresos, como un campo interdisciplinar que combina técnicas de estadística, bases de datos, soft computing y minería de datos anómalos, orientado a la reducción de los costos y la maximización de los ingresos en las organizaciones que los apliquen. Se propone en este trabajo un modelo para el aseguramiento de ingresos para organizaciones orientadas a proyectos, que permita la detección de errores de planificación y la maximización de los ingresos durante el desarrollo de proyectos. Como parte de la novedad del trabajo el modelo propuesto combina técnicas de gestión de riesgos, alcance, tiempo, minería de datos anómalos y técnicas de soft computing. En el trabajo se realizan pruebas de validación cruzada comparando diferentes técnicas, para la detección de situaciones anómalas, en la planificación de los proyectos. En la comparación se emplean bases de datos de gestión de proyectos de desarrollo de soluciones informáticas. El modelo propuesto se introduce como un módulo en la plataforma para la dirección integrada de proyectos GESPRO y se presentan los resultados de su aplicación.","event-place":"La Habana, Cuba","genre":"Doctoral","language":"spa","note":"Accepted: 2019-05-20T19:52:00Z\npublisher: Universidad de las Ciencias Informaticas. Facultad-4.","publisher":"Universidad de las Ciencias Informáticas","publisher-place":"La Habana, Cuba","source":"repositorio.uci.cu","title":"Modelo para el aseguramiento de ingresos en organizaciones orientadas a proyectos basado en minería de datos anómalos","URL":"https://repositorio.uci.cu/jspui/handle/123456789/7933","author":[{"family":"Castro Aguilar","given":"Gilberto Fernando"}],"accessed":{"date-parts":[["2021",4,2]]},"issued":{"date-parts":[["2017"]]}}}],"schema":"https://github.com/citation-style-language/schema/raw/master/csl-citation.json"}</w:instrText>
      </w:r>
      <w:r>
        <w:fldChar w:fldCharType="separate"/>
      </w:r>
      <w:bookmarkStart w:id="566" w:name="__Fieldmark__4861_2067855929"/>
      <w:r>
        <w:rPr/>
        <w:t>(</w:t>
      </w:r>
      <w:bookmarkStart w:id="567" w:name="__Fieldmark__4166_498839314"/>
      <w:r>
        <w:rPr/>
        <w:t>C</w:t>
      </w:r>
      <w:bookmarkStart w:id="568" w:name="__Fieldmark__3699_998588997"/>
      <w:r>
        <w:rPr/>
        <w:t>a</w:t>
      </w:r>
      <w:bookmarkStart w:id="569" w:name="__Fieldmark__6226_118561941"/>
      <w:r>
        <w:rPr/>
        <w:t>stro Aguilar 2017)</w:t>
      </w:r>
      <w:r>
        <w:rPr/>
      </w:r>
      <w:r>
        <w:fldChar w:fldCharType="end"/>
      </w:r>
      <w:bookmarkEnd w:id="566"/>
      <w:bookmarkEnd w:id="567"/>
      <w:bookmarkEnd w:id="568"/>
      <w:bookmarkEnd w:id="569"/>
      <w:r>
        <w:rPr>
          <w:lang w:val="en-US"/>
        </w:rPr>
        <w:t xml:space="preserve">. Ejemplo de este enfoque es presentado por </w:t>
      </w:r>
      <w:r>
        <w:rPr/>
        <w:t xml:space="preserve">Duraj y colaboradores en </w:t>
      </w:r>
      <w:r>
        <w:fldChar w:fldCharType="begin"/>
      </w:r>
      <w:r>
        <w:instrText>ADDIN ZOTERO_ITEM CSL_CITATION {"citationID":"VWd2oPOr","properties":{"formattedCitation":"(Duraj, Szczepaniak y Chomatek 2020)","plainCitation":"(Duraj, Szczepaniak y Chomatek 2020)","noteIndex":0},"citationItems":[{"id":"NJclqhNX/yXq5lwkE","uris":["http://zotero.org/users/local/rsuvzjK6/items/793DINNI"],"uri":["http://zotero.org/users/local/rsuvzjK6/items/793DINNI"],"itemData":{"id":3317,"type":"paper-conference","abstract":"In the processing of imprecise information, principally in big data analysis, it is very advantageous to transform numerical values into the standard form of linguistic statements. This paper deals with a novel method of outlier detection using linguistic summaries. Particular attention is devoted to examining the usefulness of non-monotonic quantifiers, which represent a fuzzy determination of the amount of analyzed data. The answer is positive. The use of non-monotonic quantifiers in the detection of outliers can provide a more significant value of the degree of truth of a linguistic summary. At the end, this paper provides a computational example of practical importance.","container-title":"International Conference on Information Processing and Management of Uncertainty in Knowledge-Based Systems","DOI":"10.1007/978-3-030-50153-2_58","ISBN":"978-3-030-50152-5","page":"787–799","publisher":"Springer","title":"Intelligent Detection of Information Outliers Using Linguistic Summaries with Non-monotonic Quantifiers","author":[{"family":"Duraj","given":"Agnieszka"},{"family":"Szczepaniak","given":"Piotr S"},{"family":"Chomatek","given":"Lukasz"}],"issued":{"date-parts":[["2020"]]}}}],"schema":"https://github.com/citation-style-language/schema/raw/master/csl-citation.json"}</w:instrText>
      </w:r>
      <w:r>
        <w:fldChar w:fldCharType="separate"/>
      </w:r>
      <w:bookmarkStart w:id="570" w:name="__Fieldmark__4877_2067855929"/>
      <w:r>
        <w:rPr/>
        <w:t>(</w:t>
      </w:r>
      <w:bookmarkStart w:id="571" w:name="__Fieldmark__4178_498839314"/>
      <w:r>
        <w:rPr/>
        <w:t>D</w:t>
      </w:r>
      <w:bookmarkStart w:id="572" w:name="__Fieldmark__3707_998588997"/>
      <w:r>
        <w:rPr/>
        <w:t>u</w:t>
      </w:r>
      <w:bookmarkStart w:id="573" w:name="__Fieldmark__6235_118561941"/>
      <w:r>
        <w:rPr/>
        <w:t>raj, Szczepaniak y Chomatek 2020)</w:t>
      </w:r>
      <w:r>
        <w:rPr/>
      </w:r>
      <w:r>
        <w:fldChar w:fldCharType="end"/>
      </w:r>
      <w:bookmarkEnd w:id="570"/>
      <w:bookmarkEnd w:id="571"/>
      <w:bookmarkEnd w:id="572"/>
      <w:bookmarkEnd w:id="573"/>
      <w:r>
        <w:rPr/>
        <w:t xml:space="preserve"> y </w:t>
      </w:r>
      <w:r>
        <w:fldChar w:fldCharType="begin"/>
      </w:r>
      <w:r>
        <w:instrText>ADDIN ZOTERO_ITEM CSL_CITATION {"citationID":"fj2AD3Kb","properties":{"formattedCitation":"(Duraj, Szczepaniak y Ochelska-Mierzejewska 2016)","plainCitation":"(Duraj, Szczepaniak y Ochelska-Mierzejewska 2016)","noteIndex":0},"citationItems":[{"id":"NJclqhNX/DxR54Q8Q","uris":["http://zotero.org/users/local/rsuvzjK6/items/EMMKBGSI"],"uri":["http://zotero.org/users/local/rsuvzjK6/items/EMMKBGSI"],"itemData":{"id":3341,"type":"paper-conference","abstract":"The main goal of automatic summarization of databases is usually to characterize the collection of data in terms of the dominant information involved. In complement to this task, the present paper shows the use of linguistic summarization for the characterization of databases containing textual records through detection of outlier information involved. The method applies a fuzzy measure of similarity between sentences to the summarization result.Certain level of standadization of textual records is assumed.","collection-title":"Advances in Intelligent Systems and Computing","container-title":"Flexible Query Answering Systems 2015","DOI":"10.1007/978-3-319-26154-6_8","event-place":"Cham","ISBN":"978-3-319-26154-6","language":"en","page":"101–113","publisher":"Springer International Publishing","publisher-place":"Cham","title":"Detection of Outlier Information Using Linguistic Summarization","author":[{"family":"Duraj","given":"Agnieszka"},{"family":"Szczepaniak","given":"Piotr S."},{"family":"Ochelska-Mierzejewska","given":"Joanna"}],"editor":[{"family":"Andreasen","given":"Troels"},{"family":"Christiansen","given":"Henning"},{"family":"Kacprzyk","given":"Janusz"},{"family":"Larsen","given":"Henrik"},{"family":"Pasi","given":"Gabriella"},{"family":"Pivert","given":"Olivier"},{"family":"De Tré","given":"Guy"},{"family":"Vila","given":"Maria Amparo"},{"family":"Yazici","given":"Adnan"},{"family":"Zadrożny","given":"Sławomir"}],"issued":{"date-parts":[["2016"]]}}}],"schema":"https://github.com/citation-style-language/schema/raw/master/csl-citation.json"}</w:instrText>
      </w:r>
      <w:r>
        <w:fldChar w:fldCharType="separate"/>
      </w:r>
      <w:bookmarkStart w:id="574" w:name="__Fieldmark__4892_2067855929"/>
      <w:r>
        <w:rPr/>
        <w:t>(</w:t>
      </w:r>
      <w:bookmarkStart w:id="575" w:name="__Fieldmark__4189_498839314"/>
      <w:r>
        <w:rPr/>
        <w:t>D</w:t>
      </w:r>
      <w:bookmarkStart w:id="576" w:name="__Fieldmark__3714_998588997"/>
      <w:r>
        <w:rPr/>
        <w:t>u</w:t>
      </w:r>
      <w:bookmarkStart w:id="577" w:name="__Fieldmark__6240_118561941"/>
      <w:r>
        <w:rPr/>
        <w:t>raj, Szczepaniak y Ochelska-Mierzejewska 2016)</w:t>
      </w:r>
      <w:r>
        <w:rPr/>
      </w:r>
      <w:r>
        <w:fldChar w:fldCharType="end"/>
      </w:r>
      <w:bookmarkEnd w:id="574"/>
      <w:bookmarkEnd w:id="575"/>
      <w:bookmarkEnd w:id="576"/>
      <w:bookmarkEnd w:id="577"/>
      <w:r>
        <w:rPr/>
        <w:t>, donde construyen de forma exhaustiva todas las posibles combinaciones de cuantificadores y sumarizadores predefinidos. Como limitante de esta propuesta, se identifica que no usan heurísticas u otros métodos que simplifiquen la complejidad en la búsqueda.</w:t>
      </w:r>
    </w:p>
    <w:p>
      <w:pPr>
        <w:pStyle w:val="Heading3"/>
        <w:numPr>
          <w:ilvl w:val="2"/>
          <w:numId w:val="80"/>
        </w:numPr>
        <w:rPr/>
      </w:pPr>
      <w:r>
        <w:rPr/>
        <w:t xml:space="preserve">Síntesis del análisis de los métodos para la generación de resúmenes lingüísticos </w:t>
      </w:r>
    </w:p>
    <w:p>
      <w:pPr>
        <w:pStyle w:val="Normal"/>
        <w:rPr/>
      </w:pPr>
      <w:r>
        <w:rPr/>
        <w:t xml:space="preserve">Como resumen de este análisis se identifica que antes del 2015 los métodos más utilizados son los basados en consultas difusas, </w:t>
      </w:r>
      <w:r>
        <w:rPr>
          <w:szCs w:val="24"/>
        </w:rPr>
        <w:t xml:space="preserve">existiendo numerosas publicaciones que hacen referencia al paquete </w:t>
      </w:r>
      <w:r>
        <w:rPr>
          <w:szCs w:val="24"/>
          <w:lang w:val="en-US"/>
        </w:rPr>
        <w:t xml:space="preserve">FQUERY </w:t>
      </w:r>
      <w:r>
        <w:fldChar w:fldCharType="begin"/>
      </w:r>
      <w:r>
        <w:instrText>ADDIN ZOTERO_ITEM CSL_CITATION {"citationID":"RmFOtxAS","properties":{"formattedCitation":"(Kacprzyk y Zadro\\uc0\\u380{}ny 1995)","plainCitation":"(Kacprzyk y Zadrożny 1995)","noteIndex":0},"citationItems":[{"id":"NJclqhNX/ofwp1WX0","uris":["http://zotero.org/users/local/rsuvzjK6/items/X8AIJEWA"],"uri":["http://zotero.org/users/local/rsuvzjK6/items/X8AIJEWA"],"itemData":{"id":338,"type":"chapter","container-title":"Fuzziness in database management systems","page":"415–433","publisher":"Springer","title":"Fquery for Access: Fuzzy Querying for a Windows-Based DBMS","URL":"https://link.springer.com/chapter/10.1007/978-3-7908-1897-0_18","volume":"5","author":[{"family":"Kacprzyk","given":"Janusz"},{"family":"Zadrożny","given":"S\\textbackslashlawomir"}],"issued":{"date-parts":[["1995"]]}}}],"schema":"https://github.com/citation-style-language/schema/raw/master/csl-citation.json"}</w:instrText>
      </w:r>
      <w:r>
        <w:fldChar w:fldCharType="separate"/>
      </w:r>
      <w:bookmarkStart w:id="578" w:name="__Fieldmark__4915_2067855929"/>
      <w:r>
        <w:rPr>
          <w:szCs w:val="24"/>
          <w:lang w:val="en-US"/>
        </w:rPr>
        <w:t>(</w:t>
      </w:r>
      <w:bookmarkStart w:id="579" w:name="__Fieldmark__4205_498839314"/>
      <w:r>
        <w:rPr>
          <w:szCs w:val="24"/>
          <w:lang w:val="en-US"/>
        </w:rPr>
        <w:t>K</w:t>
      </w:r>
      <w:bookmarkStart w:id="580" w:name="__Fieldmark__3726_998588997"/>
      <w:r>
        <w:rPr>
          <w:szCs w:val="24"/>
          <w:lang w:val="en-US"/>
        </w:rPr>
        <w:t>a</w:t>
      </w:r>
      <w:bookmarkStart w:id="581" w:name="__Fieldmark__6262_118561941"/>
      <w:r>
        <w:rPr>
          <w:szCs w:val="24"/>
          <w:lang w:val="en-US"/>
        </w:rPr>
        <w:t>cprzyk y Zadrożny 1995)</w:t>
      </w:r>
      <w:r>
        <w:rPr>
          <w:szCs w:val="24"/>
          <w:lang w:val="en-US"/>
        </w:rPr>
      </w:r>
      <w:r>
        <w:fldChar w:fldCharType="end"/>
      </w:r>
      <w:bookmarkEnd w:id="578"/>
      <w:bookmarkEnd w:id="579"/>
      <w:bookmarkEnd w:id="580"/>
      <w:bookmarkEnd w:id="581"/>
      <w:r>
        <w:rPr>
          <w:szCs w:val="24"/>
          <w:lang w:val="en-US"/>
        </w:rPr>
        <w:t>;</w:t>
      </w:r>
      <w:r>
        <w:rPr/>
        <w:t xml:space="preserve"> una de las ventajas de este enfoque son las facilidades que aporta el uso de lenguajes de consultas.</w:t>
      </w:r>
    </w:p>
    <w:p>
      <w:pPr>
        <w:pStyle w:val="Normal"/>
        <w:rPr/>
      </w:pPr>
      <w:r>
        <w:rPr>
          <w:szCs w:val="24"/>
        </w:rPr>
        <w:t xml:space="preserve">Esta situación se comporta diferente en la actualidad, </w:t>
      </w:r>
      <w:r>
        <w:rPr/>
        <w:t xml:space="preserve">pues en el período 2015-2020 hay </w:t>
      </w:r>
      <w:r>
        <w:rPr>
          <w:szCs w:val="24"/>
        </w:rPr>
        <w:t>mayor diversidad en el uso de diferentes técnicas, sin que se identifiquen diferencias significativas en la aplicación de éstas</w:t>
      </w:r>
      <w:r>
        <w:rPr/>
        <w:t>. Este comportamiento, muestra la inclusión de nuevos métodos basados en otras teorías, aportando resultados prometedores con potencialidades para el uso de los resúmenes en otras problemáticas asociadas a problemas de predicción, entre otros</w:t>
      </w:r>
      <w:r>
        <w:rPr>
          <w:szCs w:val="24"/>
        </w:rPr>
        <w:t>.</w:t>
      </w:r>
      <w:r>
        <w:rPr/>
        <w:t xml:space="preserve"> Un resumen de los principales métodos de generación de resúmenes lingüísticos se puede ver en el </w:t>
      </w:r>
      <w:r>
        <w:rPr/>
        <w:fldChar w:fldCharType="begin"/>
      </w:r>
      <w:r>
        <w:instrText> REF _Ref79256146 \h </w:instrText>
      </w:r>
      <w:r>
        <w:fldChar w:fldCharType="separate"/>
      </w:r>
      <w:r>
        <w:t>Anexo 3</w:t>
      </w:r>
      <w:r>
        <w:fldChar w:fldCharType="end"/>
      </w:r>
      <w:r>
        <w:rPr/>
        <w:t xml:space="preserve"> </w:t>
      </w:r>
      <w:r>
        <w:rPr/>
        <w:fldChar w:fldCharType="begin"/>
      </w:r>
      <w:r>
        <w:instrText> REF _Ref60469996 \h </w:instrText>
      </w:r>
      <w:r>
        <w:fldChar w:fldCharType="separate"/>
      </w:r>
      <w:r>
        <w:t>Figura 30</w:t>
      </w:r>
      <w:r>
        <w:fldChar w:fldCharType="end"/>
      </w:r>
      <w:r>
        <w:rPr/>
        <w:t>.</w:t>
      </w:r>
    </w:p>
    <w:p>
      <w:pPr>
        <w:pStyle w:val="Normal"/>
        <w:rPr>
          <w:szCs w:val="24"/>
        </w:rPr>
      </w:pPr>
      <w:r>
        <w:rPr>
          <w:szCs w:val="24"/>
        </w:rPr>
        <w:t>A partir del análisis de las diferentes técnicas se identifican las siguientes oportunidades de investigación:</w:t>
      </w:r>
    </w:p>
    <w:p>
      <w:pPr>
        <w:pStyle w:val="ListParagraph"/>
        <w:numPr>
          <w:ilvl w:val="0"/>
          <w:numId w:val="24"/>
        </w:numPr>
        <w:rPr>
          <w:lang w:val="en-US"/>
        </w:rPr>
      </w:pPr>
      <w:r>
        <w:rPr>
          <w:szCs w:val="24"/>
          <w:lang w:val="en-US"/>
        </w:rPr>
        <w:t>Continuidad en el trabajo con las metaheurísticas, a partir de un mejor uso de la información asociada al problema en cuestión y técnicas de evaluación parcial que disminuyan la complejidad de la búsqueda.</w:t>
      </w:r>
    </w:p>
    <w:p>
      <w:pPr>
        <w:pStyle w:val="ListParagraph"/>
        <w:numPr>
          <w:ilvl w:val="0"/>
          <w:numId w:val="24"/>
        </w:numPr>
        <w:rPr>
          <w:lang w:val="en-US"/>
        </w:rPr>
      </w:pPr>
      <w:r>
        <w:rPr>
          <w:szCs w:val="24"/>
          <w:lang w:val="en-US"/>
        </w:rPr>
        <w:t xml:space="preserve">El uso de conjuntos aproximados y otras técnicas de </w:t>
      </w:r>
      <w:r>
        <w:rPr>
          <w:i/>
          <w:iCs/>
          <w:szCs w:val="24"/>
          <w:lang w:val="en-US"/>
        </w:rPr>
        <w:t>soft computing</w:t>
      </w:r>
      <w:r>
        <w:rPr>
          <w:szCs w:val="24"/>
          <w:lang w:val="en-US"/>
        </w:rPr>
        <w:t xml:space="preserve">, que impliquen un mejor aprovechamiento de información asociada a la dependencia entre variables. </w:t>
      </w:r>
    </w:p>
    <w:p>
      <w:pPr>
        <w:pStyle w:val="ListParagraph"/>
        <w:numPr>
          <w:ilvl w:val="0"/>
          <w:numId w:val="24"/>
        </w:numPr>
        <w:rPr>
          <w:lang w:val="en-US"/>
        </w:rPr>
      </w:pPr>
      <w:r>
        <w:rPr>
          <w:szCs w:val="24"/>
          <w:lang w:val="en-US"/>
        </w:rPr>
        <w:t>El uso de los resúmenes lingüísticos en el descubrimiento y análisis de datos anómalos, con disímiles aplicaciones. En esta área se reportan pocas publicaciones.</w:t>
      </w:r>
    </w:p>
    <w:p>
      <w:pPr>
        <w:pStyle w:val="ListParagraph"/>
        <w:numPr>
          <w:ilvl w:val="0"/>
          <w:numId w:val="24"/>
        </w:numPr>
        <w:rPr>
          <w:lang w:val="en-US"/>
        </w:rPr>
      </w:pPr>
      <w:r>
        <w:rPr>
          <w:szCs w:val="24"/>
          <w:lang w:val="en-US"/>
        </w:rPr>
        <w:t xml:space="preserve">El análisis de nuevas protoformas y mejoras en los métodos de visualización de los resúmenes, potenciando la combinación con otras técnicas de visualización científica. </w:t>
      </w:r>
    </w:p>
    <w:p>
      <w:pPr>
        <w:pStyle w:val="Heading2"/>
        <w:numPr>
          <w:ilvl w:val="1"/>
          <w:numId w:val="80"/>
        </w:numPr>
        <w:rPr/>
      </w:pPr>
      <w:bookmarkStart w:id="582" w:name="_Toc84598924"/>
      <w:bookmarkEnd w:id="582"/>
      <w:r>
        <w:rPr/>
        <w:t>Principales técnicas y métodos de validación empleados en las investigaciones</w:t>
      </w:r>
    </w:p>
    <w:p>
      <w:pPr>
        <w:pStyle w:val="Normal"/>
        <w:rPr/>
      </w:pPr>
      <w:r>
        <w:rPr/>
        <w:t xml:space="preserve">En la bibliografía estudiada, también se analizaron cuáles fueron las principales estrategias de validación empleadas en las investigaciones sobre sumarización lingüística de datos </w:t>
      </w:r>
      <w:r>
        <w:fldChar w:fldCharType="begin"/>
      </w:r>
      <w:r>
        <w:instrText>ADDIN ZOTERO_ITEM CSL_CITATION {"citationID":"a2ql7iefleh","properties":{"formattedCitation":"(P\\uc0\\u233{}rez Pupo et\\uc0\\u160{}al. 2021)","plainCitation":"(Pérez Pupo et al. 2021)","noteIndex":0},"citationItems":[{"id":"NJclqhNX/SbUuLVaP","uris":["http://zotero.org/users/local/rsuvzjK6/items/GIUZ22HL"],"uri":["http://zotero.org/users/local/rsuvzjK6/items/GIUZ22HL"],"itemData":{"id":3437,"type":"article-journal","abstract":"Las técnicas de sumarización lingüística de datos han surgido para ayudar a descubrir relaciones complejas entre variables y presentar la información en lenguaje natural. En el desarrollo de estas técnicas se combinan la inteligencia artificial, la estadística, el aprendizaje automático, entre otras áreas del conocimiento humano. Esta investigación tiene como objetivo realizar un marco teórico referencial de la temática que permita a los investigadores analizar las tendencias en los métodos de generación de resúmenes lingüísticos de datos, las estrategias de validación empleadas en las investigaciones y las principales áreas de aplicación. Como conclusiones se identifica la necesidad de mejora de los métodos de validación, las técnicas emergentes en la generación de resúmenes y la posibilidad del empleo de los resúmenes en problemas de predicción entre otro.","container-title":"Revista cubana de transformación digital","ISSN":"2708-3411","issue":"1","page":"79-101","title":"Tendencias en la sumarización lingüística de datos","volume":"2","author":[{"family":"Pérez Pupo","given":"Iliana"},{"family":"Piñero Pérez","given":"Pedro Yobani"},{"family":"Martín","given":"Nayma"},{"family":"Bello Pérez","given":"Rafael Esteban"}],"issued":{"date-parts":[["2021"]]}}}],"schema":"https://github.com/citation-style-language/schema/raw/master/csl-citation.json"}</w:instrText>
      </w:r>
      <w:r>
        <w:fldChar w:fldCharType="separate"/>
      </w:r>
      <w:bookmarkStart w:id="583" w:name="__Fieldmark__4964_2067855929"/>
      <w:r>
        <w:rPr/>
      </w:r>
      <w:r>
        <w:rPr>
          <w:szCs w:val="24"/>
        </w:rPr>
        <w:t>(</w:t>
      </w:r>
      <w:bookmarkStart w:id="584" w:name="__Fieldmark__4243_498839314"/>
      <w:r>
        <w:rPr>
          <w:szCs w:val="24"/>
        </w:rPr>
        <w:t>P</w:t>
      </w:r>
      <w:bookmarkStart w:id="585" w:name="__Fieldmark__3760_998588997"/>
      <w:r>
        <w:rPr>
          <w:szCs w:val="24"/>
        </w:rPr>
        <w:t>é</w:t>
      </w:r>
      <w:bookmarkStart w:id="586" w:name="__Fieldmark__6348_118561941"/>
      <w:r>
        <w:rPr>
          <w:szCs w:val="24"/>
        </w:rPr>
        <w:t>rez Pupo et al. 2021)</w:t>
      </w:r>
      <w:r>
        <w:rPr/>
      </w:r>
      <w:r>
        <w:fldChar w:fldCharType="end"/>
      </w:r>
      <w:bookmarkEnd w:id="583"/>
      <w:bookmarkEnd w:id="584"/>
      <w:bookmarkEnd w:id="585"/>
      <w:bookmarkEnd w:id="586"/>
      <w:r>
        <w:rPr>
          <w:szCs w:val="24"/>
        </w:rPr>
        <w:t xml:space="preserve">. </w:t>
      </w:r>
    </w:p>
    <w:p>
      <w:pPr>
        <w:pStyle w:val="Normal"/>
        <w:rPr/>
      </w:pPr>
      <w:r>
        <w:rPr/>
        <w:t xml:space="preserve">A partir de este análisis se identifica que antes del 2015, la mayoría de las investigaciones solo se validaban a partir de la observación y el análisis cualitativo simple en casos de estudio, ver </w:t>
      </w:r>
      <w:r>
        <w:rPr/>
        <w:fldChar w:fldCharType="begin"/>
      </w:r>
      <w:r>
        <w:instrText> REF _Ref79256146 \h </w:instrText>
      </w:r>
      <w:r>
        <w:fldChar w:fldCharType="separate"/>
      </w:r>
      <w:r>
        <w:t>Anexo 3</w:t>
      </w:r>
      <w:r>
        <w:fldChar w:fldCharType="end"/>
      </w:r>
      <w:r>
        <w:rPr/>
        <w:t xml:space="preserve"> </w:t>
      </w:r>
      <w:r>
        <w:rPr/>
        <w:fldChar w:fldCharType="begin"/>
      </w:r>
      <w:r>
        <w:instrText> REF _Ref60470079 \h </w:instrText>
      </w:r>
      <w:r>
        <w:fldChar w:fldCharType="separate"/>
      </w:r>
      <w:r>
        <w:t>Figura 31</w:t>
      </w:r>
      <w:r>
        <w:fldChar w:fldCharType="end"/>
      </w:r>
      <w:r>
        <w:rPr/>
        <w:t xml:space="preserve">. Mientras que, en los últimos cinco años, hay investigaciones que usan técnicas básicas de estadística descriptiva, mediante el uso de los indicadores de calidad de los resúmenes en la mayoría de los casos </w:t>
      </w:r>
      <w:r>
        <w:fldChar w:fldCharType="begin"/>
      </w:r>
      <w:r>
        <w:instrText>ADDIN ZOTERO_ITEM CSL_CITATION {"citationID":"yIL7Oli0","properties":{"formattedCitation":"(Kaczmarek-Majer et\\uc0\\u160{}al. 2019)","plainCitation":"(Kaczmarek-Majer et al. 2019)","noteIndex":0},"citationItems":[{"id":"NJclqhNX/dqnG33mX","uris":["http://zotero.org/users/local/rsuvzjK6/items/Z2YPXP9K"],"uri":["http://zotero.org/users/local/rsuvzjK6/items/Z2YPXP9K"],"itemData":{"id":3250,"type":"paper-conference","abstract":"Personalized linguistic summaries are developed with the use of protoforms in the sense of Yager and Kacprzyk. We discuss the construction and usefulness of such patient-dependent and disease-state-dependent linguistic summaries that may be examplified as `Most outgoing calls in mania state (disease period) are short compared to the calls recorded in...","DOI":"10.2991/eusflat-19.2019.56","ISBN":"978-94-6252-770-6","language":"en","publisher":"Atlantis Press","title":"Personalized linguistic summaries in smartphone-based monitoring of bipolar disorder patients","URL":"https://www.atlantis-press.com/proceedings/eusflat-19/125914826","author":[{"family":"Kaczmarek-Majer","given":"Katarzyna"},{"family":"Hryniewicz","given":"Olgierd"},{"family":"Dominiak","given":"Monika"},{"family":"Święcicki","given":"Łukasz"}],"accessed":{"date-parts":[["2019",12,11]]},"issued":{"date-parts":[["2019",8]]}}}],"schema":"https://github.com/citation-style-language/schema/raw/master/csl-citation.json"}</w:instrText>
      </w:r>
      <w:r>
        <w:fldChar w:fldCharType="separate"/>
      </w:r>
      <w:bookmarkStart w:id="587" w:name="__Fieldmark__4989_2067855929"/>
      <w:r>
        <w:rPr/>
      </w:r>
      <w:r>
        <w:rPr>
          <w:szCs w:val="24"/>
        </w:rPr>
        <w:t>(</w:t>
      </w:r>
      <w:bookmarkStart w:id="588" w:name="__Fieldmark__4262_498839314"/>
      <w:r>
        <w:rPr>
          <w:szCs w:val="24"/>
        </w:rPr>
        <w:t>K</w:t>
      </w:r>
      <w:bookmarkStart w:id="589" w:name="__Fieldmark__3775_998588997"/>
      <w:r>
        <w:rPr>
          <w:szCs w:val="24"/>
        </w:rPr>
        <w:t>a</w:t>
      </w:r>
      <w:bookmarkStart w:id="590" w:name="__Fieldmark__6375_118561941"/>
      <w:r>
        <w:rPr>
          <w:szCs w:val="24"/>
        </w:rPr>
        <w:t>czmarek-Majer et al. 2019)</w:t>
      </w:r>
      <w:r>
        <w:rPr/>
      </w:r>
      <w:r>
        <w:fldChar w:fldCharType="end"/>
      </w:r>
      <w:bookmarkEnd w:id="587"/>
      <w:bookmarkEnd w:id="588"/>
      <w:bookmarkEnd w:id="589"/>
      <w:bookmarkEnd w:id="590"/>
      <w:r>
        <w:rPr/>
        <w:t xml:space="preserve"> </w:t>
      </w:r>
      <w:r>
        <w:fldChar w:fldCharType="begin"/>
      </w:r>
      <w:r>
        <w:instrText>ADDIN ZOTERO_ITEM CSL_CITATION {"citationID":"HURh6ovw","properties":{"formattedCitation":"(Pel\\uc0\\u225{}ez-Aguilera et\\uc0\\u160{}al. 2019)","plainCitation":"(Peláez-Aguilera et al. 2019)","noteIndex":0},"citationItems":[{"id":"NJclqhNX/5UqkzAsn","uris":["http://zotero.org/users/local/rsuvzjK6/items/FBBJLLBV"],"uri":["http://zotero.org/users/local/rsuvzjK6/items/FBBJLLBV"],"itemData":{"id":3249,"type":"article-journal","container-title":"Hindawi","DOI":"0.1155/2019/2694126","page":"11","title":"Fuzzy Linguistic Protoforms to Summarize Heart Rate Streams of Patients with Ischemic Heart Disease","volume":"2019","author":[{"family":"Peláez-Aguilera","given":"María Dolores"},{"family":"Espinilla","given":"Macarena"},{"family":"Fernández","given":"M. R."},{"family":"Medina","given":"Javier"}],"issued":{"date-parts":[["2019"]]}}}],"schema":"https://github.com/citation-style-language/schema/raw/master/csl-citation.json"}</w:instrText>
      </w:r>
      <w:r>
        <w:fldChar w:fldCharType="separate"/>
      </w:r>
      <w:bookmarkStart w:id="591" w:name="__Fieldmark__5004_2067855929"/>
      <w:r>
        <w:rPr/>
      </w:r>
      <w:r>
        <w:rPr>
          <w:szCs w:val="24"/>
        </w:rPr>
        <w:t>(</w:t>
      </w:r>
      <w:bookmarkStart w:id="592" w:name="__Fieldmark__4273_498839314"/>
      <w:r>
        <w:rPr>
          <w:szCs w:val="24"/>
        </w:rPr>
        <w:t>P</w:t>
      </w:r>
      <w:bookmarkStart w:id="593" w:name="__Fieldmark__3782_998588997"/>
      <w:r>
        <w:rPr>
          <w:szCs w:val="24"/>
        </w:rPr>
        <w:t>e</w:t>
      </w:r>
      <w:bookmarkStart w:id="594" w:name="__Fieldmark__6380_118561941"/>
      <w:r>
        <w:rPr>
          <w:szCs w:val="24"/>
        </w:rPr>
        <w:t>láez-Aguilera et al. 2019)</w:t>
      </w:r>
      <w:r>
        <w:rPr/>
      </w:r>
      <w:r>
        <w:fldChar w:fldCharType="end"/>
      </w:r>
      <w:bookmarkEnd w:id="591"/>
      <w:bookmarkEnd w:id="592"/>
      <w:bookmarkEnd w:id="593"/>
      <w:bookmarkEnd w:id="594"/>
      <w:r>
        <w:rPr/>
        <w:t xml:space="preserve"> </w:t>
      </w:r>
      <w:r>
        <w:fldChar w:fldCharType="begin"/>
      </w:r>
      <w:r>
        <w:instrText>ADDIN ZOTERO_ITEM CSL_CITATION {"citationID":"PiVESlro","properties":{"formattedCitation":"(Amghar y Chikh 2018)","plainCitation":"(Amghar y Chikh 2018)","noteIndex":0},"citationItems":[{"id":"NJclqhNX/6Z03zroz","uris":["http://zotero.org/users/local/rsuvzjK6/items/2ED8USB4"],"uri":["http://zotero.org/users/local/rsuvzjK6/items/2ED8USB4"],"itemData":{"id":3339,"type":"article-journal","abstract":"In general, medical clustering concerns a big database. The present paper aims at extracting a fuzzy linguistic summary from a large medical database. A linguistic summary is used to reduce large volumes of data to simple sentences. It is worth noting that with the increase of the amount of medical data, different techniques of machine learning have been developed recently.","container-title":"International Journal of Intelligent Systems and Applications","DOI":"10.5815/ijisa.2018.12.02","ISSN":"2074904X, 20749058","issue":"12","language":"en","page":"16–26","title":"Extracting a Linguistic Summary from a Medical Database","volume":"10","author":[{"family":"Amghar","given":"Djazia"},{"family":"Chikh","given":"Amine.M."}],"issued":{"date-parts":[["2018",12]]}}}],"schema":"https://github.com/citation-style-language/schema/raw/master/csl-citation.json"}</w:instrText>
      </w:r>
      <w:r>
        <w:fldChar w:fldCharType="separate"/>
      </w:r>
      <w:bookmarkStart w:id="595" w:name="__Fieldmark__5019_2067855929"/>
      <w:r>
        <w:rPr/>
        <w:t>(</w:t>
      </w:r>
      <w:bookmarkStart w:id="596" w:name="__Fieldmark__4284_498839314"/>
      <w:r>
        <w:rPr/>
        <w:t>A</w:t>
      </w:r>
      <w:bookmarkStart w:id="597" w:name="__Fieldmark__3789_998588997"/>
      <w:r>
        <w:rPr/>
        <w:t>m</w:t>
      </w:r>
      <w:bookmarkStart w:id="598" w:name="__Fieldmark__6385_118561941"/>
      <w:r>
        <w:rPr/>
        <w:t>ghar y Chikh 2018)</w:t>
      </w:r>
      <w:r>
        <w:rPr/>
      </w:r>
      <w:r>
        <w:fldChar w:fldCharType="end"/>
      </w:r>
      <w:bookmarkEnd w:id="595"/>
      <w:bookmarkEnd w:id="596"/>
      <w:bookmarkEnd w:id="597"/>
      <w:bookmarkEnd w:id="598"/>
      <w:r>
        <w:rPr/>
        <w:t xml:space="preserve">. En esta temática, muy pocos estudios aplican técnicas estadísticas de rigor basadas en test paramétricos y no paramétricos, ejemplo de excepciones son </w:t>
      </w:r>
      <w:r>
        <w:fldChar w:fldCharType="begin"/>
      </w:r>
      <w:r>
        <w:instrText>ADDIN ZOTERO_ITEM CSL_CITATION {"citationID":"amd2j4rpfl","properties":{"formattedCitation":"(Donis-D\\uc0\\u237{}az, Muro, et\\uc0\\u160{}al. 2014)","plainCitation":"(Donis-Díaz, Muro, et al. 2014)","noteIndex":0},"citationItems":[{"id":3152,"uris":["http://zotero.org/users/local/EJ15hJE2/items/AV3MBLF8"],"uri":["http://zotero.org/users/local/EJ15hJE2/items/AV3MBLF8"],"itemData":{"id":3152,"type":"article-journal","abstract":"A hybrid model of Genetic Algorithm (GA) with local search to discover linguistic summaries and its application into the creep data analysis is proposed in this paper. Two specifics operator and a called Diversity term in the fitness function are introduced by the model to guarantees summaries with high quality and a wide range of information respectively. The experiments show that the hybrid model improves the results compared to those obtained using the classical model of GA. The quality of the summaries was verified by the interpretation of some of them from the theoretical point of view.","container-title":"Expert Systems with Applications","DOI":"10.1016/j.eswa.2013.09.002","ISSN":"0957-4174","issue":"4, Part 2","language":"en","page":"2035–2042","title":"A hybrid model of genetic algorithm with local search to discover linguistic data summaries from creep data","volume":"41","author":[{"family":"Donis-Díaz","given":"C. A."},{"family":"Muro","given":"A. G."},{"family":"Bello-Pérez","given":"R."},{"family":"Morales","given":"E. V."}],"issued":{"date-parts":[["2014",3]]}}}],"schema":"https://github.com/citation-style-language/schema/raw/master/csl-citation.json"}</w:instrText>
      </w:r>
      <w:r>
        <w:fldChar w:fldCharType="separate"/>
      </w:r>
      <w:bookmarkStart w:id="599" w:name="__Fieldmark__5034_2067855929"/>
      <w:r>
        <w:rPr/>
      </w:r>
      <w:r>
        <w:rPr>
          <w:szCs w:val="24"/>
        </w:rPr>
        <w:t>(</w:t>
      </w:r>
      <w:bookmarkStart w:id="600" w:name="__Fieldmark__4295_498839314"/>
      <w:r>
        <w:rPr>
          <w:szCs w:val="24"/>
        </w:rPr>
        <w:t>D</w:t>
      </w:r>
      <w:bookmarkStart w:id="601" w:name="__Fieldmark__3796_998588997"/>
      <w:r>
        <w:rPr>
          <w:szCs w:val="24"/>
        </w:rPr>
        <w:t>o</w:t>
      </w:r>
      <w:bookmarkStart w:id="602" w:name="__Fieldmark__6394_118561941"/>
      <w:r>
        <w:rPr>
          <w:szCs w:val="24"/>
        </w:rPr>
        <w:t>nis-Díaz, Muro, et al. 2014)</w:t>
      </w:r>
      <w:r>
        <w:rPr/>
      </w:r>
      <w:r>
        <w:fldChar w:fldCharType="end"/>
      </w:r>
      <w:bookmarkEnd w:id="599"/>
      <w:bookmarkEnd w:id="600"/>
      <w:bookmarkEnd w:id="601"/>
      <w:bookmarkEnd w:id="602"/>
      <w:r>
        <w:rPr/>
        <w:t xml:space="preserve"> y </w:t>
      </w:r>
      <w:r>
        <w:fldChar w:fldCharType="begin"/>
      </w:r>
      <w:r>
        <w:instrText>ADDIN ZOTERO_ITEM CSL_CITATION {"citationID":"5CWys8Qr","properties":{"formattedCitation":"(Donis-D\\uc0\\u237{}az, Bello y Kacprzyk 2015)","plainCitation":"(Donis-Díaz, Bello y Kacprzyk 2015)","noteIndex":0},"citationItems":[{"id":"NJclqhNX/4naOJElr","uris":["http://zotero.org/users/local/rsuvzjK6/items/7DS66S9U"],"uri":["http://zotero.org/users/local/rsuvzjK6/items/7DS66S9U"],"itemData":{"id":3264,"type":"paper-conference","abstract":"Some models using metaheuristics based in an “improvement of solutions” procedure, specifically Genetic Algorithms (GA), have been proposed previously to the linguistic summarization of numerical data (LDS). In the present work is proposed a new model for LDS based in Ant Colony Optimization (ACO), a metaheuristic that use a “construction of solution” procedure. Both models are compared in LDS over creep data. Results show how the ACO based model overcomes the measures of goodness of the final summary but fails to improve the results of the GA based model in relation to the diversity of the summary. Features of both models are considered to explain the results.","collection-title":"Advances in Intelligent Systems and Computing","container-title":"Intelligent Systems'2014","DOI":"10.1007/978-3-319-11313-5_8","event-place":"Cham","ISBN":"978-3-319-11313-5","language":"en","page":"81–92","publisher":"Springer International Publishing","publisher-place":"Cham","title":"Using Ant Colony Optimization and Genetic Algorithms for the Linguistic Summarization of Creep Data","author":[{"family":"Donis-Díaz","given":"Carlos A."},{"family":"Bello","given":"Rafael"},{"family":"Kacprzyk","given":"Janusz"}],"editor":[{"family":"Angelov","given":"P."},{"family":"Atanassov","given":"K.T."},{"family":"Doukovska","given":"L."},{"family":"Hadjiski","given":"M."},{"family":"Jotsov","given":"V."},{"family":"Kacprzyk","given":"J."},{"family":"Kasabov","given":"N."},{"family":"Sotirov","given":"S."},{"family":"Szmidt","given":"E."},{"family":"Zadrożny","given":"S."}],"issued":{"date-parts":[["2015"]]}}}],"schema":"https://github.com/citation-style-language/schema/raw/master/csl-citation.json"}</w:instrText>
      </w:r>
      <w:r>
        <w:fldChar w:fldCharType="separate"/>
      </w:r>
      <w:bookmarkStart w:id="603" w:name="__Fieldmark__5049_2067855929"/>
      <w:r>
        <w:rPr/>
      </w:r>
      <w:r>
        <w:rPr>
          <w:szCs w:val="24"/>
        </w:rPr>
        <w:t>(</w:t>
      </w:r>
      <w:bookmarkStart w:id="604" w:name="__Fieldmark__4306_498839314"/>
      <w:r>
        <w:rPr>
          <w:szCs w:val="24"/>
        </w:rPr>
        <w:t>D</w:t>
      </w:r>
      <w:bookmarkStart w:id="605" w:name="__Fieldmark__3803_998588997"/>
      <w:r>
        <w:rPr>
          <w:szCs w:val="24"/>
        </w:rPr>
        <w:t>o</w:t>
      </w:r>
      <w:bookmarkStart w:id="606" w:name="__Fieldmark__6399_118561941"/>
      <w:r>
        <w:rPr>
          <w:szCs w:val="24"/>
        </w:rPr>
        <w:t>nis-Díaz, Bello y Kacprzyk 2015)</w:t>
      </w:r>
      <w:r>
        <w:rPr/>
      </w:r>
      <w:r>
        <w:fldChar w:fldCharType="end"/>
      </w:r>
      <w:bookmarkEnd w:id="603"/>
      <w:bookmarkEnd w:id="604"/>
      <w:bookmarkEnd w:id="605"/>
      <w:bookmarkEnd w:id="606"/>
      <w:r>
        <w:rPr/>
        <w:t>.</w:t>
      </w:r>
    </w:p>
    <w:p>
      <w:pPr>
        <w:pStyle w:val="Normal"/>
        <w:rPr/>
      </w:pPr>
      <w:r>
        <w:rPr/>
        <w:t xml:space="preserve">Respecto a la validez externa, se realiza un análisis observando cómo cada una de las investigaciones consultadas, hacen uso de alguna de las siguientes estrategias de validación: triangulación de datos, triangulación de métodos, triangulación de expertos y estudio de casos, ver </w:t>
      </w:r>
      <w:r>
        <w:rPr/>
        <w:fldChar w:fldCharType="begin"/>
      </w:r>
      <w:r>
        <w:instrText> REF _Ref79256146 \h </w:instrText>
      </w:r>
      <w:r>
        <w:fldChar w:fldCharType="separate"/>
      </w:r>
      <w:r>
        <w:t>Anexo 3</w:t>
      </w:r>
      <w:r>
        <w:fldChar w:fldCharType="end"/>
      </w:r>
      <w:r>
        <w:rPr/>
        <w:t xml:space="preserve"> </w:t>
      </w:r>
      <w:r>
        <w:rPr/>
        <w:fldChar w:fldCharType="begin"/>
      </w:r>
      <w:r>
        <w:instrText> REF _Ref59424124 \h </w:instrText>
      </w:r>
      <w:r>
        <w:fldChar w:fldCharType="separate"/>
      </w:r>
      <w:r>
        <w:t>Figura 32</w:t>
      </w:r>
      <w:r>
        <w:fldChar w:fldCharType="end"/>
      </w:r>
      <w:r>
        <w:rPr/>
        <w:t>.</w:t>
      </w:r>
    </w:p>
    <w:p>
      <w:pPr>
        <w:pStyle w:val="Normal"/>
        <w:rPr/>
      </w:pPr>
      <w:r>
        <w:rPr/>
        <w:t>En particular, respecto a la triangulación de datos, solo en los últimos años se encuentran investigaciones que lo aplican, se muestran a continuación algunas de estas investigaciones:</w:t>
      </w:r>
    </w:p>
    <w:p>
      <w:pPr>
        <w:pStyle w:val="ListParagraph"/>
        <w:numPr>
          <w:ilvl w:val="0"/>
          <w:numId w:val="55"/>
        </w:numPr>
        <w:suppressAutoHyphens w:val="false"/>
        <w:overflowPunct w:val="true"/>
        <w:spacing w:lineRule="auto" w:line="360" w:before="0" w:after="0"/>
        <w:ind w:left="567" w:hanging="360"/>
        <w:contextualSpacing/>
        <w:textAlignment w:val="auto"/>
        <w:rPr/>
      </w:pPr>
      <w:r>
        <w:rPr>
          <w:rFonts w:cs="Arial"/>
        </w:rPr>
        <w:t xml:space="preserve">En </w:t>
      </w:r>
      <w:r>
        <w:fldChar w:fldCharType="begin"/>
      </w:r>
      <w:r>
        <w:instrText>ADDIN ZOTERO_ITEM CSL_CITATION {"citationID":"bHzO0Pkc","properties":{"formattedCitation":"(Ramos-Soto y Martin-Rodillab 2019)","plainCitation":"(Ramos-Soto y Martin-Rodillab 2019)","noteIndex":0},"citationItems":[{"id":"NJclqhNX/pcBT0Go8","uris":["http://zotero.org/users/local/rsuvzjK6/items/2C5NWUAX"],"uri":["http://zotero.org/users/local/rsuvzjK6/items/2C5NWUAX"],"itemData":{"id":3288,"type":"article-journal","abstract":"One of the current limitations of fuzzy linguistic descriptions of data is the lack of diversity of protoforms that can be used to linguistically summarize data. Despite an important effort in providing protoforms with improved semantics that are applicable to time series data or specific application domains, type-I and type-II fuzzy quantified sentences are still predominant in the literature. In this context, we propose a different approach for defining new types of protoforms. Instead of understanding protoforms as individual primitives, our proposal draws inspiration from Rhetorical Structure Theory to provide a framework that allows to define new types of complex protoforms based on semantic relations among simpler protoforms. Based on this framework, we propose an initial taxonomy of relations among protoforms and provide an illustrative use case based on real data and evaluated by human users.","container-title":"Fuzzy Sets and Systems","DOI":"10.1016/j.fss.2019.11.013","page":"26","title":"Enriching linguistic descriptions of data: A framework for composite protoforms","author":[{"family":"Ramos-Soto","given":"A."},{"family":"Martin-Rodillab","given":"P."}],"issued":{"date-parts":[["2019"]]}}}],"schema":"https://github.com/citation-style-language/schema/raw/master/csl-citation.json"}</w:instrText>
      </w:r>
      <w:r>
        <w:fldChar w:fldCharType="separate"/>
      </w:r>
      <w:bookmarkStart w:id="607" w:name="__Fieldmark__5077_2067855929"/>
      <w:r>
        <w:rPr>
          <w:rFonts w:cs="Arial"/>
        </w:rPr>
        <w:t>(</w:t>
      </w:r>
      <w:bookmarkStart w:id="608" w:name="__Fieldmark__4328_498839314"/>
      <w:r>
        <w:rPr>
          <w:rFonts w:cs="Arial"/>
        </w:rPr>
        <w:t>R</w:t>
      </w:r>
      <w:bookmarkStart w:id="609" w:name="__Fieldmark__3821_998588997"/>
      <w:r>
        <w:rPr>
          <w:rFonts w:cs="Arial"/>
        </w:rPr>
        <w:t>a</w:t>
      </w:r>
      <w:bookmarkStart w:id="610" w:name="__Fieldmark__6426_118561941"/>
      <w:r>
        <w:rPr>
          <w:rFonts w:cs="Arial"/>
        </w:rPr>
        <w:t>mos-Soto y Martin-Rodillab 2019)</w:t>
      </w:r>
      <w:r>
        <w:rPr>
          <w:rFonts w:cs="Arial"/>
        </w:rPr>
      </w:r>
      <w:r>
        <w:fldChar w:fldCharType="end"/>
      </w:r>
      <w:bookmarkEnd w:id="607"/>
      <w:bookmarkEnd w:id="608"/>
      <w:bookmarkEnd w:id="609"/>
      <w:bookmarkEnd w:id="610"/>
      <w:r>
        <w:rPr>
          <w:rFonts w:cs="Arial"/>
        </w:rPr>
        <w:t xml:space="preserve"> utilizan datos de 15 estaciones meteorológicas de Galicia.</w:t>
      </w:r>
    </w:p>
    <w:p>
      <w:pPr>
        <w:pStyle w:val="ListParagraph"/>
        <w:numPr>
          <w:ilvl w:val="0"/>
          <w:numId w:val="55"/>
        </w:numPr>
        <w:suppressAutoHyphens w:val="false"/>
        <w:overflowPunct w:val="true"/>
        <w:spacing w:lineRule="auto" w:line="360" w:before="0" w:after="0"/>
        <w:ind w:left="567" w:hanging="360"/>
        <w:contextualSpacing/>
        <w:textAlignment w:val="auto"/>
        <w:rPr/>
      </w:pPr>
      <w:r>
        <w:rPr>
          <w:rFonts w:cs="Arial"/>
          <w:lang w:val="es-ES"/>
        </w:rPr>
        <w:t>E</w:t>
      </w:r>
      <w:r>
        <w:rPr>
          <w:rFonts w:cs="Arial"/>
        </w:rPr>
        <w:t xml:space="preserve">n </w:t>
      </w:r>
      <w:r>
        <w:fldChar w:fldCharType="begin"/>
      </w:r>
      <w:r>
        <w:instrText>ADDIN ZOTERO_ITEM CSL_CITATION {"citationID":"cvbJdjBw","properties":{"formattedCitation":"(Amghar y Chikh 2018)","plainCitation":"(Amghar y Chikh 2018)","noteIndex":0},"citationItems":[{"id":"NJclqhNX/6Z03zroz","uris":["http://zotero.org/users/local/rsuvzjK6/items/2ED8USB4"],"uri":["http://zotero.org/users/local/rsuvzjK6/items/2ED8USB4"],"itemData":{"id":3339,"type":"article-journal","abstract":"In general, medical clustering concerns a big database. The present paper aims at extracting a fuzzy linguistic summary from a large medical database. A linguistic summary is used to reduce large volumes of data to simple sentences. It is worth noting that with the increase of the amount of medical data, different techniques of machine learning have been developed recently.","container-title":"International Journal of Intelligent Systems and Applications","DOI":"10.5815/ijisa.2018.12.02","ISSN":"2074904X, 20749058","issue":"12","language":"en","page":"16–26","title":"Extracting a Linguistic Summary from a Medical Database","volume":"10","author":[{"family":"Amghar","given":"Djazia"},{"family":"Chikh","given":"Amine.M."}],"issued":{"date-parts":[["2018",12]]}}}],"schema":"https://github.com/citation-style-language/schema/raw/master/csl-citation.json"}</w:instrText>
      </w:r>
      <w:r>
        <w:fldChar w:fldCharType="separate"/>
      </w:r>
      <w:bookmarkStart w:id="611" w:name="__Fieldmark__5095_2067855929"/>
      <w:r>
        <w:rPr>
          <w:rFonts w:cs="Arial"/>
        </w:rPr>
        <w:t>(</w:t>
      </w:r>
      <w:bookmarkStart w:id="612" w:name="__Fieldmark__4342_498839314"/>
      <w:r>
        <w:rPr>
          <w:rFonts w:cs="Arial"/>
        </w:rPr>
        <w:t>A</w:t>
      </w:r>
      <w:bookmarkStart w:id="613" w:name="__Fieldmark__3831_998588997"/>
      <w:r>
        <w:rPr>
          <w:rFonts w:cs="Arial"/>
        </w:rPr>
        <w:t>m</w:t>
      </w:r>
      <w:bookmarkStart w:id="614" w:name="__Fieldmark__6435_118561941"/>
      <w:r>
        <w:rPr>
          <w:rFonts w:cs="Arial"/>
        </w:rPr>
        <w:t>ghar y Chikh 2018)</w:t>
      </w:r>
      <w:r>
        <w:rPr>
          <w:rFonts w:cs="Arial"/>
        </w:rPr>
      </w:r>
      <w:r>
        <w:fldChar w:fldCharType="end"/>
      </w:r>
      <w:bookmarkEnd w:id="611"/>
      <w:bookmarkEnd w:id="612"/>
      <w:bookmarkEnd w:id="613"/>
      <w:bookmarkEnd w:id="614"/>
      <w:r>
        <w:rPr>
          <w:rFonts w:cs="Arial"/>
        </w:rPr>
        <w:t xml:space="preserve"> se aplica la investigación a la</w:t>
      </w:r>
      <w:r>
        <w:rPr>
          <w:rFonts w:cs="Arial"/>
          <w:lang w:val="es-ES"/>
        </w:rPr>
        <w:t>s</w:t>
      </w:r>
      <w:r>
        <w:rPr>
          <w:rFonts w:cs="Arial"/>
        </w:rPr>
        <w:t xml:space="preserve"> base</w:t>
      </w:r>
      <w:r>
        <w:rPr>
          <w:rFonts w:cs="Arial"/>
          <w:lang w:val="es-ES"/>
        </w:rPr>
        <w:t>s</w:t>
      </w:r>
      <w:r>
        <w:rPr>
          <w:rFonts w:cs="Arial"/>
        </w:rPr>
        <w:t xml:space="preserve"> de datos </w:t>
      </w:r>
      <w:r>
        <w:rPr>
          <w:rFonts w:cs="Arial"/>
          <w:i/>
        </w:rPr>
        <w:t xml:space="preserve">Pima Indian Diabetes Dataset </w:t>
      </w:r>
      <w:r>
        <w:rPr>
          <w:rFonts w:cs="Arial"/>
        </w:rPr>
        <w:t>y Wisconsin Breast Cancer Dataset (WBCD)</w:t>
      </w:r>
      <w:r>
        <w:rPr>
          <w:rFonts w:cs="Arial"/>
          <w:lang w:val="es-ES"/>
        </w:rPr>
        <w:t>,</w:t>
      </w:r>
      <w:r>
        <w:rPr>
          <w:rFonts w:cs="Arial"/>
        </w:rPr>
        <w:t xml:space="preserve"> ambas del UCI Repository of Machine Learning </w:t>
      </w:r>
      <w:r>
        <w:fldChar w:fldCharType="begin"/>
      </w:r>
      <w:r>
        <w:instrText>ADDIN ZOTERO_ITEM CSL_CITATION {"citationID":"a2c8eb9tr3v","properties":{"formattedCitation":"(Dua y Graff 2021)","plainCitation":"(Dua y Graff 2021)","noteIndex":0},"citationItems":[{"id":3352,"uris":["http://zotero.org/users/local/EJ15hJE2/items/MWXZLDX7"],"uri":["http://zotero.org/users/local/EJ15hJE2/items/MWXZLDX7"],"itemData":{"id":3352,"type":"book","publisher":"University of California, Irvine, School of Information and Computer Sciences","title":"UCI Machine Learning Repository","URL":"http://archive.ics.uci.edu/ml","author":[{"family":"Dua","given":"Dheeru"},{"family":"Graff","given":"Casey"}],"issued":{"date-parts":[["2021"]]}}}],"schema":"https://github.com/citation-style-language/schema/raw/master/csl-citation.json"}</w:instrText>
      </w:r>
      <w:r>
        <w:fldChar w:fldCharType="separate"/>
      </w:r>
      <w:bookmarkStart w:id="615" w:name="__Fieldmark__5119_2067855929"/>
      <w:r>
        <w:rPr>
          <w:rFonts w:cs="Arial"/>
        </w:rPr>
      </w:r>
      <w:r>
        <w:rPr>
          <w:rFonts w:cs="Arial"/>
          <w:szCs w:val="24"/>
        </w:rPr>
        <w:t>(</w:t>
      </w:r>
      <w:bookmarkStart w:id="616" w:name="__Fieldmark__4361_498839314"/>
      <w:r>
        <w:rPr>
          <w:rFonts w:cs="Arial"/>
          <w:szCs w:val="24"/>
        </w:rPr>
        <w:t>D</w:t>
      </w:r>
      <w:bookmarkStart w:id="617" w:name="__Fieldmark__3846_998588997"/>
      <w:r>
        <w:rPr>
          <w:rFonts w:cs="Arial"/>
          <w:szCs w:val="24"/>
        </w:rPr>
        <w:t>u</w:t>
      </w:r>
      <w:bookmarkStart w:id="618" w:name="__Fieldmark__6448_118561941"/>
      <w:r>
        <w:rPr>
          <w:rFonts w:cs="Arial"/>
          <w:szCs w:val="24"/>
        </w:rPr>
        <w:t>a y Graff 2021)</w:t>
      </w:r>
      <w:r>
        <w:rPr>
          <w:rFonts w:cs="Arial"/>
        </w:rPr>
      </w:r>
      <w:r>
        <w:fldChar w:fldCharType="end"/>
      </w:r>
      <w:bookmarkEnd w:id="615"/>
      <w:bookmarkEnd w:id="616"/>
      <w:bookmarkEnd w:id="617"/>
      <w:bookmarkEnd w:id="618"/>
      <w:r>
        <w:rPr>
          <w:rFonts w:cs="Arial"/>
        </w:rPr>
        <w:t>.</w:t>
      </w:r>
    </w:p>
    <w:p>
      <w:pPr>
        <w:pStyle w:val="ListParagraph"/>
        <w:numPr>
          <w:ilvl w:val="0"/>
          <w:numId w:val="55"/>
        </w:numPr>
        <w:suppressAutoHyphens w:val="false"/>
        <w:overflowPunct w:val="true"/>
        <w:spacing w:lineRule="auto" w:line="360" w:before="0" w:after="0"/>
        <w:ind w:left="567" w:hanging="360"/>
        <w:contextualSpacing/>
        <w:textAlignment w:val="auto"/>
        <w:rPr/>
      </w:pPr>
      <w:r>
        <w:rPr>
          <w:rFonts w:cs="Arial"/>
        </w:rPr>
        <w:t xml:space="preserve">Kacprzyk y Zadrożny </w:t>
      </w:r>
      <w:r>
        <w:fldChar w:fldCharType="begin"/>
      </w:r>
      <w:r>
        <w:instrText>ADDIN ZOTERO_ITEM CSL_CITATION {"citationID":"a1b0tmuo7jt","properties":{"formattedCitation":"(Kacprzyk y Zadro\\uc0\\u380{}ny 2016a)","plainCitation":"(Kacprzyk y Zadrożny 2016a)","noteIndex":0},"citationItems":[{"id":3330,"uris":["http://zotero.org/users/local/EJ15hJE2/items/GKSSLAB9"],"uri":["http://zotero.org/users/local/EJ15hJE2/items/GKSSLAB9"],"itemData":{"id":3330,"type":"article-journal","abstract":"We present a novel approach to linguistic data summarization for numeric data, i.e., of the numbers to text type. Linguistic summarization is meant as a process of a comprehensive description of big and complex datasets via short statements in natural language. First, we briefly survey main developments in the traditional, well developed, and powerful approach to linguistic data summarization based on tools and techniques of natural language generation (NLG), notably due to Reiter and his collaborators. We indicate that this approach has a serious limitation on the representation and processing of imprecision that is characteristic for natural languages. We show that a fuzzy logic‐based approach to linguistic data summarization can be a simple yet efficient solution in this respect. We present the linguistic summaries represented by protoforms in the form of linguistically quantified propositions dealt with using tools and techniques of fuzzy logic to grasp an inherent imprecision of natural language. Such linguistic data summaries can provide a human user, whose only natural means of articulation and communication is natural language, with a simple yet effective and efficient means for the representation and manipulation of knowledge about processes and systems. We concentrate on the linguistic summarization of dynamic processes and systems, dealing with data represented as time series. We extend the basic, static data‐oriented concept of a linguistic data summary to the case of time series data, present various possible protoforms of linguistic summaries, and an analysis of their properties and ways of generation. We show two our own real applications of the new tools of linguistic summarization of time series, for the summarization of quotations of an investment (mutual) fund, and of Web server logs, to show the power of the tool. We also mention some other applications known from the literature. We conclude with some remarks on the strength of the linguistic summarization for broadly perceived data mining and knowledge discovery and some possible further research directions. WIREs Data Mining Knowl Discov 2016, 6:37–46. doi: 10.1002/widm.1175","container-title":"Wiley Interdisciplinary Reviews: Data Mining and Knowledge Discovery","DOI":"10.1002/widm.1175","issue":"1","page":"37–46","title":"Fuzzy logic-based linguistic summaries of time series: a powerful tool for discovering knowledge on time varying processes and systems under imprecision","volume":"6","author":[{"family":"Kacprzyk","given":"Janusz"},{"family":"Zadrożny","given":"Sławomir"}],"issued":{"date-parts":[["2016"]]}}}],"schema":"https://github.com/citation-style-language/schema/raw/master/csl-citation.json"}</w:instrText>
      </w:r>
      <w:r>
        <w:fldChar w:fldCharType="separate"/>
      </w:r>
      <w:bookmarkStart w:id="619" w:name="__Fieldmark__5136_2067855929"/>
      <w:r>
        <w:rPr>
          <w:rFonts w:cs="Arial"/>
        </w:rPr>
      </w:r>
      <w:r>
        <w:rPr>
          <w:rFonts w:cs="Arial"/>
          <w:szCs w:val="24"/>
        </w:rPr>
        <w:t>(</w:t>
      </w:r>
      <w:bookmarkStart w:id="620" w:name="__Fieldmark__4374_498839314"/>
      <w:r>
        <w:rPr>
          <w:rFonts w:cs="Arial"/>
          <w:szCs w:val="24"/>
        </w:rPr>
        <w:t>K</w:t>
      </w:r>
      <w:bookmarkStart w:id="621" w:name="__Fieldmark__3855_998588997"/>
      <w:r>
        <w:rPr>
          <w:rFonts w:cs="Arial"/>
          <w:szCs w:val="24"/>
        </w:rPr>
        <w:t>a</w:t>
      </w:r>
      <w:bookmarkStart w:id="622" w:name="__Fieldmark__6455_118561941"/>
      <w:r>
        <w:rPr>
          <w:rFonts w:cs="Arial"/>
          <w:szCs w:val="24"/>
        </w:rPr>
        <w:t>cprzyk y Zadrożny 2016a)</w:t>
      </w:r>
      <w:r>
        <w:rPr>
          <w:rFonts w:cs="Arial"/>
        </w:rPr>
      </w:r>
      <w:r>
        <w:fldChar w:fldCharType="end"/>
      </w:r>
      <w:bookmarkEnd w:id="619"/>
      <w:bookmarkEnd w:id="620"/>
      <w:bookmarkEnd w:id="621"/>
      <w:bookmarkEnd w:id="622"/>
      <w:r>
        <w:rPr>
          <w:rFonts w:cs="Arial"/>
        </w:rPr>
        <w:t xml:space="preserve"> </w:t>
      </w:r>
      <w:r>
        <w:rPr>
          <w:rFonts w:cs="Arial"/>
          <w:lang w:val="es-ES"/>
        </w:rPr>
        <w:t>realizan</w:t>
      </w:r>
      <w:r>
        <w:rPr>
          <w:rFonts w:cs="Arial"/>
        </w:rPr>
        <w:t xml:space="preserve"> análisis de cotizaciones de fondos de inversión en </w:t>
      </w:r>
      <w:r>
        <w:rPr>
          <w:rFonts w:cs="Arial"/>
          <w:lang w:val="es-ES"/>
        </w:rPr>
        <w:t>b</w:t>
      </w:r>
      <w:r>
        <w:rPr>
          <w:rFonts w:cs="Arial"/>
        </w:rPr>
        <w:t xml:space="preserve">olsas de </w:t>
      </w:r>
      <w:r>
        <w:rPr>
          <w:rFonts w:cs="Arial"/>
          <w:lang w:val="es-ES"/>
        </w:rPr>
        <w:t>v</w:t>
      </w:r>
      <w:r>
        <w:rPr>
          <w:rFonts w:cs="Arial"/>
        </w:rPr>
        <w:t>alores de Varsovia, Zagreb y Moscú.</w:t>
      </w:r>
    </w:p>
    <w:p>
      <w:pPr>
        <w:pStyle w:val="ListParagraph"/>
        <w:numPr>
          <w:ilvl w:val="0"/>
          <w:numId w:val="55"/>
        </w:numPr>
        <w:suppressAutoHyphens w:val="false"/>
        <w:overflowPunct w:val="true"/>
        <w:spacing w:lineRule="auto" w:line="360" w:before="0" w:after="0"/>
        <w:ind w:left="567" w:hanging="360"/>
        <w:contextualSpacing/>
        <w:textAlignment w:val="auto"/>
        <w:rPr/>
      </w:pPr>
      <w:r>
        <w:rPr>
          <w:rFonts w:cs="Arial"/>
        </w:rPr>
        <w:t xml:space="preserve">En </w:t>
      </w:r>
      <w:r>
        <w:fldChar w:fldCharType="begin"/>
      </w:r>
      <w:r>
        <w:instrText>ADDIN ZOTERO_ITEM CSL_CITATION {"citationID":"0XeqEex6","properties":{"formattedCitation":"(Khedidja, Allel y Mohand 2020)","plainCitation":"(Khedidja, Allel y Mohand 2020)","noteIndex":0},"citationItems":[{"id":"NJclqhNX/CLlQlJMn","uris":["http://zotero.org/users/local/rsuvzjK6/items/94JGYQQP"],"uri":["http://zotero.org/users/local/rsuvzjK6/items/94JGYQQP"],"itemData":{"id":3319,"type":"article-journal","abstract":"The rapid and significant increase in the amount of sensor data to be processed requires the use of techniques to reduce the size of data in order to efficiently extract the relevant knowledge. In this paper, we present two approaches used to derive data summaries. The first one relies on linguistic quantifiers in the sense of Yager. The second one leverages the notion of the typical value of a data set. Then, we show our implementation of these two methods with some experiments conducted on different databases (real-flight data collected from the ADSB project and real data for smart city collected from neOCampus project). The comparative studies show the best approach w.r.t. execution time.","container-title":"International Journal of Computing and Digital Systems","DOI":"10.12785/ijcds/090505","ISSN":"2210-142X","issue":"5","page":"825–833","title":"Data Summarization for Sensor Data Management: Towards Computational-Intelligence-Based Approaches","volume":"9","author":[{"family":"Khedidja","given":"Boulanouar"},{"family":"Allel","given":"Hadjali"},{"family":"Mohand","given":"Lagha"}],"issued":{"date-parts":[["2020"]]}}}],"schema":"https://github.com/citation-style-language/schema/raw/master/csl-citation.json"}</w:instrText>
      </w:r>
      <w:r>
        <w:fldChar w:fldCharType="separate"/>
      </w:r>
      <w:bookmarkStart w:id="623" w:name="__Fieldmark__5160_2067855929"/>
      <w:r>
        <w:rPr>
          <w:rFonts w:cs="Arial"/>
        </w:rPr>
        <w:t>(</w:t>
      </w:r>
      <w:bookmarkStart w:id="624" w:name="__Fieldmark__4393_498839314"/>
      <w:r>
        <w:rPr>
          <w:rFonts w:cs="Arial"/>
        </w:rPr>
        <w:t>K</w:t>
      </w:r>
      <w:bookmarkStart w:id="625" w:name="__Fieldmark__3870_998588997"/>
      <w:r>
        <w:rPr>
          <w:rFonts w:cs="Arial"/>
        </w:rPr>
        <w:t>h</w:t>
      </w:r>
      <w:bookmarkStart w:id="626" w:name="__Fieldmark__6468_118561941"/>
      <w:r>
        <w:rPr>
          <w:rFonts w:cs="Arial"/>
        </w:rPr>
        <w:t>edidja, Allel y Mohand 2020)</w:t>
      </w:r>
      <w:r>
        <w:rPr>
          <w:rFonts w:cs="Arial"/>
        </w:rPr>
      </w:r>
      <w:r>
        <w:fldChar w:fldCharType="end"/>
      </w:r>
      <w:bookmarkEnd w:id="623"/>
      <w:bookmarkEnd w:id="624"/>
      <w:bookmarkEnd w:id="625"/>
      <w:bookmarkEnd w:id="626"/>
      <w:r>
        <w:rPr>
          <w:rFonts w:cs="Arial"/>
        </w:rPr>
        <w:t xml:space="preserve"> se aplica a datos sobre vuelos reales y datos sobre </w:t>
      </w:r>
      <w:r>
        <w:rPr>
          <w:rFonts w:cs="Arial"/>
          <w:lang w:val="es-ES"/>
        </w:rPr>
        <w:t xml:space="preserve">la </w:t>
      </w:r>
      <w:r>
        <w:rPr>
          <w:rFonts w:cs="Arial"/>
        </w:rPr>
        <w:t xml:space="preserve">ciudad inteligente del proyecto </w:t>
      </w:r>
      <w:r>
        <w:rPr>
          <w:rFonts w:cs="Arial"/>
          <w:i/>
        </w:rPr>
        <w:t>neOCampus</w:t>
      </w:r>
      <w:r>
        <w:rPr>
          <w:rFonts w:cs="Arial"/>
          <w:lang w:val="es-ES"/>
        </w:rPr>
        <w:t>, de</w:t>
      </w:r>
      <w:r>
        <w:rPr>
          <w:rFonts w:cs="Arial"/>
        </w:rPr>
        <w:t xml:space="preserve"> la universidad </w:t>
      </w:r>
      <w:r>
        <w:rPr>
          <w:rFonts w:cs="Arial"/>
          <w:i/>
        </w:rPr>
        <w:t>Toulouse</w:t>
      </w:r>
      <w:r>
        <w:rPr>
          <w:rFonts w:cs="Arial"/>
        </w:rPr>
        <w:t xml:space="preserve"> en Francia</w:t>
      </w:r>
      <w:r>
        <w:rPr>
          <w:rFonts w:cs="Arial"/>
          <w:lang w:val="es-ES"/>
        </w:rPr>
        <w:t xml:space="preserve"> (</w:t>
      </w:r>
      <w:r>
        <w:rPr>
          <w:rFonts w:cs="Arial"/>
          <w:i/>
          <w:lang w:val="es-ES"/>
        </w:rPr>
        <w:t>Université de Toulouse</w:t>
      </w:r>
      <w:r>
        <w:rPr>
          <w:rFonts w:cs="Arial"/>
          <w:lang w:val="es-ES"/>
        </w:rPr>
        <w:t>)</w:t>
      </w:r>
      <w:r>
        <w:rPr>
          <w:rFonts w:cs="Arial"/>
        </w:rPr>
        <w:t>.</w:t>
      </w:r>
    </w:p>
    <w:p>
      <w:pPr>
        <w:pStyle w:val="Normal"/>
        <w:rPr/>
      </w:pPr>
      <w:r>
        <w:rPr/>
        <w:t xml:space="preserve">Pocos autores han empleado técnicas de triangulación de métodos en sus investigaciones, comparando sus propuestas con otros métodos reportados en la bibliografía; tal es el caso de los trabajos publicados en </w:t>
      </w:r>
      <w:r>
        <w:fldChar w:fldCharType="begin"/>
      </w:r>
      <w:r>
        <w:instrText>ADDIN ZOTERO_ITEM CSL_CITATION {"citationID":"ave8gerhd9","properties":{"formattedCitation":"(Donis-D\\uc0\\u237{}az, Muro, et\\uc0\\u160{}al. 2014)","plainCitation":"(Donis-Díaz, Muro, et al. 2014)","noteIndex":0},"citationItems":[{"id":3152,"uris":["http://zotero.org/users/local/EJ15hJE2/items/AV3MBLF8"],"uri":["http://zotero.org/users/local/EJ15hJE2/items/AV3MBLF8"],"itemData":{"id":3152,"type":"article-journal","abstract":"A hybrid model of Genetic Algorithm (GA) with local search to discover linguistic summaries and its application into the creep data analysis is proposed in this paper. Two specifics operator and a called Diversity term in the fitness function are introduced by the model to guarantees summaries with high quality and a wide range of information respectively. The experiments show that the hybrid model improves the results compared to those obtained using the classical model of GA. The quality of the summaries was verified by the interpretation of some of them from the theoretical point of view.","container-title":"Expert Systems with Applications","DOI":"10.1016/j.eswa.2013.09.002","ISSN":"0957-4174","issue":"4, Part 2","language":"en","page":"2035–2042","title":"A hybrid model of genetic algorithm with local search to discover linguistic data summaries from creep data","volume":"41","author":[{"family":"Donis-Díaz","given":"C. A."},{"family":"Muro","given":"A. G."},{"family":"Bello-Pérez","given":"R."},{"family":"Morales","given":"E. V."}],"issued":{"date-parts":[["2014",3]]}}}],"schema":"https://github.com/citation-style-language/schema/raw/master/csl-citation.json"}</w:instrText>
      </w:r>
      <w:r>
        <w:fldChar w:fldCharType="separate"/>
      </w:r>
      <w:bookmarkStart w:id="627" w:name="__Fieldmark__5190_2067855929"/>
      <w:r>
        <w:rPr/>
      </w:r>
      <w:r>
        <w:rPr>
          <w:szCs w:val="24"/>
        </w:rPr>
        <w:t>(</w:t>
      </w:r>
      <w:bookmarkStart w:id="628" w:name="__Fieldmark__4417_498839314"/>
      <w:r>
        <w:rPr>
          <w:szCs w:val="24"/>
        </w:rPr>
        <w:t>D</w:t>
      </w:r>
      <w:bookmarkStart w:id="629" w:name="__Fieldmark__3890_998588997"/>
      <w:r>
        <w:rPr>
          <w:szCs w:val="24"/>
        </w:rPr>
        <w:t>o</w:t>
      </w:r>
      <w:bookmarkStart w:id="630" w:name="__Fieldmark__6486_118561941"/>
      <w:r>
        <w:rPr>
          <w:szCs w:val="24"/>
        </w:rPr>
        <w:t>nis-Díaz, Muro, et al. 2014)</w:t>
      </w:r>
      <w:r>
        <w:rPr/>
      </w:r>
      <w:r>
        <w:fldChar w:fldCharType="end"/>
      </w:r>
      <w:bookmarkEnd w:id="627"/>
      <w:bookmarkEnd w:id="628"/>
      <w:bookmarkEnd w:id="629"/>
      <w:bookmarkEnd w:id="630"/>
      <w:r>
        <w:rPr/>
        <w:t xml:space="preserve"> y </w:t>
      </w:r>
      <w:r>
        <w:fldChar w:fldCharType="begin"/>
      </w:r>
      <w:r>
        <w:instrText>ADDIN ZOTERO_ITEM CSL_CITATION {"citationID":"lCKuSiHI","properties":{"formattedCitation":"(Khedidja, Allel y Mohand 2020)","plainCitation":"(Khedidja, Allel y Mohand 2020)","noteIndex":0},"citationItems":[{"id":"NJclqhNX/CLlQlJMn","uris":["http://zotero.org/users/local/rsuvzjK6/items/94JGYQQP"],"uri":["http://zotero.org/users/local/rsuvzjK6/items/94JGYQQP"],"itemData":{"id":3319,"type":"article-journal","abstract":"The rapid and significant increase in the amount of sensor data to be processed requires the use of techniques to reduce the size of data in order to efficiently extract the relevant knowledge. In this paper, we present two approaches used to derive data summaries. The first one relies on linguistic quantifiers in the sense of Yager. The second one leverages the notion of the typical value of a data set. Then, we show our implementation of these two methods with some experiments conducted on different databases (real-flight data collected from the ADSB project and real data for smart city collected from neOCampus project). The comparative studies show the best approach w.r.t. execution time.","container-title":"International Journal of Computing and Digital Systems","DOI":"10.12785/ijcds/090505","ISSN":"2210-142X","issue":"5","page":"825–833","title":"Data Summarization for Sensor Data Management: Towards Computational-Intelligence-Based Approaches","volume":"9","author":[{"family":"Khedidja","given":"Boulanouar"},{"family":"Allel","given":"Hadjali"},{"family":"Mohand","given":"Lagha"}],"issued":{"date-parts":[["2020"]]}}}],"schema":"https://github.com/citation-style-language/schema/raw/master/csl-citation.json"}</w:instrText>
      </w:r>
      <w:r>
        <w:fldChar w:fldCharType="separate"/>
      </w:r>
      <w:bookmarkStart w:id="631" w:name="__Fieldmark__5205_2067855929"/>
      <w:r>
        <w:rPr/>
        <w:t>(</w:t>
      </w:r>
      <w:bookmarkStart w:id="632" w:name="__Fieldmark__4428_498839314"/>
      <w:r>
        <w:rPr/>
        <w:t>K</w:t>
      </w:r>
      <w:bookmarkStart w:id="633" w:name="__Fieldmark__3897_998588997"/>
      <w:r>
        <w:rPr/>
        <w:t>h</w:t>
      </w:r>
      <w:bookmarkStart w:id="634" w:name="__Fieldmark__6492_118561941"/>
      <w:r>
        <w:rPr/>
        <w:t>edidja, Allel y Mohand 2020)</w:t>
      </w:r>
      <w:r>
        <w:rPr/>
      </w:r>
      <w:r>
        <w:fldChar w:fldCharType="end"/>
      </w:r>
      <w:bookmarkEnd w:id="631"/>
      <w:bookmarkEnd w:id="632"/>
      <w:bookmarkEnd w:id="633"/>
      <w:bookmarkEnd w:id="634"/>
      <w:r>
        <w:rPr/>
        <w:t xml:space="preserve">. </w:t>
      </w:r>
    </w:p>
    <w:p>
      <w:pPr>
        <w:pStyle w:val="Normal"/>
        <w:rPr/>
      </w:pPr>
      <w:r>
        <w:rPr/>
        <w:t xml:space="preserve">También se identifican pocas publicaciones donde se aplique triangulación de expertos. En este caso se podría citar </w:t>
      </w:r>
      <w:r>
        <w:fldChar w:fldCharType="begin"/>
      </w:r>
      <w:r>
        <w:instrText>ADDIN ZOTERO_ITEM CSL_CITATION {"citationID":"7jQByV9O","properties":{"formattedCitation":"(Rojas Valenzuela 2018)","plainCitation":"(Rojas Valenzuela 2018)","noteIndex":0},"citationItems":[{"id":"NJclqhNX/aF0BzUAd","uris":["http://zotero.org/users/local/rsuvzjK6/items/PIE6SYYJ"],"uri":["http://zotero.org/users/local/rsuvzjK6/items/PIE6SYYJ"],"itemData":{"id":2117,"type":"thesis","event-place":"Santiago, Chile","genre":"Tesis","number-of-pages":"83","publisher":"Universidad Técnica Federico Santa María, Departamento de Informática","publisher-place":"Santiago, Chile","title":"Resúmenes lingüísticos para riego de cultivos","URL":"https://repositorio.usm.cl","author":[{"family":"Rojas Valenzuela","given":"Álvaro Rodrigo"}],"issued":{"date-parts":[["2018"]]}}}],"schema":"https://github.com/citation-style-language/schema/raw/master/csl-citation.json"}</w:instrText>
      </w:r>
      <w:r>
        <w:fldChar w:fldCharType="separate"/>
      </w:r>
      <w:bookmarkStart w:id="635" w:name="__Fieldmark__5222_2067855929"/>
      <w:r>
        <w:rPr/>
        <w:t>(</w:t>
      </w:r>
      <w:bookmarkStart w:id="636" w:name="__Fieldmark__4441_498839314"/>
      <w:r>
        <w:rPr/>
        <w:t>R</w:t>
      </w:r>
      <w:bookmarkStart w:id="637" w:name="__Fieldmark__3906_998588997"/>
      <w:r>
        <w:rPr/>
        <w:t>o</w:t>
      </w:r>
      <w:bookmarkStart w:id="638" w:name="__Fieldmark__6501_118561941"/>
      <w:r>
        <w:rPr/>
        <w:t>jas Valenzuela 2018)</w:t>
      </w:r>
      <w:r>
        <w:rPr/>
      </w:r>
      <w:r>
        <w:fldChar w:fldCharType="end"/>
      </w:r>
      <w:bookmarkEnd w:id="635"/>
      <w:bookmarkEnd w:id="636"/>
      <w:bookmarkEnd w:id="637"/>
      <w:bookmarkEnd w:id="638"/>
      <w:r>
        <w:rPr/>
        <w:t>, donde el autor aplica encuestas para la validación de sus resultados.</w:t>
      </w:r>
    </w:p>
    <w:p>
      <w:pPr>
        <w:pStyle w:val="Normal"/>
        <w:rPr/>
      </w:pPr>
      <w:r>
        <w:rPr/>
        <w:t>En resumen, en la bibliografía consultada, se identifica que las técnicas de validación que han predominado en las investigaciones son las basadas en el estudio de casos. Este elemento permite identificar la necesidad de aumentar el uso de métodos cuantitativos en el diseño de experimentos, que permitan elevar la validez interna y externa de las investigaciones.</w:t>
      </w:r>
    </w:p>
    <w:p>
      <w:pPr>
        <w:pStyle w:val="Heading2"/>
        <w:numPr>
          <w:ilvl w:val="1"/>
          <w:numId w:val="80"/>
        </w:numPr>
        <w:rPr/>
      </w:pPr>
      <w:bookmarkStart w:id="639" w:name="_Ref60733855"/>
      <w:bookmarkStart w:id="640" w:name="_Toc84598925"/>
      <w:bookmarkEnd w:id="639"/>
      <w:bookmarkEnd w:id="640"/>
      <w:r>
        <w:rPr/>
        <w:t>Áreas de aplicación de los resúmenes lingüísticos</w:t>
      </w:r>
    </w:p>
    <w:p>
      <w:pPr>
        <w:pStyle w:val="Normal"/>
        <w:rPr/>
      </w:pPr>
      <w:r>
        <w:rPr/>
        <w:t>La sumarización lingüística de datos se ha aplicado en numerosos dominios y en diferentes tipos de aplicación (</w:t>
      </w:r>
      <w:r>
        <w:rPr/>
        <w:fldChar w:fldCharType="begin"/>
      </w:r>
      <w:r>
        <w:instrText> REF _Ref79256146 \h </w:instrText>
      </w:r>
      <w:r>
        <w:fldChar w:fldCharType="separate"/>
      </w:r>
      <w:r>
        <w:t>Anexo 3</w:t>
      </w:r>
      <w:r>
        <w:fldChar w:fldCharType="end"/>
      </w:r>
      <w:r>
        <w:rPr/>
        <w:t xml:space="preserve"> </w:t>
      </w:r>
      <w:r>
        <w:rPr/>
        <w:fldChar w:fldCharType="begin"/>
      </w:r>
      <w:r>
        <w:instrText> REF _Ref58509942 \h </w:instrText>
      </w:r>
      <w:r>
        <w:fldChar w:fldCharType="separate"/>
      </w:r>
      <w:r>
        <w:t>Figura 33</w:t>
      </w:r>
      <w:r>
        <w:fldChar w:fldCharType="end"/>
      </w:r>
      <w:r>
        <w:rPr/>
        <w:t xml:space="preserve">), ya sea aplicación descriptiva, como en problemas de predicción o clasificación.  </w:t>
      </w:r>
    </w:p>
    <w:p>
      <w:pPr>
        <w:pStyle w:val="Normal"/>
        <w:rPr/>
      </w:pPr>
      <w:r>
        <w:rPr/>
        <w:t>A partir del análisis realizado se identifica que el área de mayor cantidad de aplicaciones en el período 2000 al 2015, fue la asociada a los sectores financieros y económicos. Sin embargo, la tendencia en los últimos cinco años se concentra en la medicina, dispositivos inteligentes y redes de sensores.</w:t>
      </w:r>
    </w:p>
    <w:p>
      <w:pPr>
        <w:pStyle w:val="Normal"/>
        <w:rPr>
          <w:sz w:val="21"/>
          <w:szCs w:val="24"/>
        </w:rPr>
      </w:pPr>
      <w:r>
        <w:rPr>
          <w:szCs w:val="24"/>
        </w:rPr>
        <w:t>Respecto a los tipos de aplicación, en la mayoría de la bibliografía consultada, el uso de los resúmenes lingüísticos se concentra en la descripción de fenómenos y la toma de decisiones en áreas como:</w:t>
      </w:r>
    </w:p>
    <w:p>
      <w:pPr>
        <w:pStyle w:val="ListParagraph"/>
        <w:numPr>
          <w:ilvl w:val="0"/>
          <w:numId w:val="20"/>
        </w:numPr>
        <w:rPr/>
      </w:pPr>
      <w:r>
        <w:rPr>
          <w:lang w:val="es-ES"/>
        </w:rPr>
        <w:t xml:space="preserve">Economía y ventas: en </w:t>
      </w:r>
      <w:r>
        <w:fldChar w:fldCharType="begin"/>
      </w:r>
      <w:r>
        <w:instrText>ADDIN ZOTERO_ITEM CSL_CITATION {"citationID":"9cHbbXox","properties":{"formattedCitation":"(Kacprzyk y Zadro\\uc0\\u380{}ny 2016a)","plainCitation":"(Kacprzyk y Zadrożny 2016a)","noteIndex":0},"citationItems":[{"id":3330,"uris":["http://zotero.org/users/local/EJ15hJE2/items/GKSSLAB9"],"uri":["http://zotero.org/users/local/EJ15hJE2/items/GKSSLAB9"],"itemData":{"id":3330,"type":"article-journal","abstract":"We present a novel approach to linguistic data summarization for numeric data, i.e., of the numbers to text type. Linguistic summarization is meant as a process of a comprehensive description of big and complex datasets via short statements in natural language. First, we briefly survey main developments in the traditional, well developed, and powerful approach to linguistic data summarization based on tools and techniques of natural language generation (NLG), notably due to Reiter and his collaborators. We indicate that this approach has a serious limitation on the representation and processing of imprecision that is characteristic for natural languages. We show that a fuzzy logic‐based approach to linguistic data summarization can be a simple yet efficient solution in this respect. We present the linguistic summaries represented by protoforms in the form of linguistically quantified propositions dealt with using tools and techniques of fuzzy logic to grasp an inherent imprecision of natural language. Such linguistic data summaries can provide a human user, whose only natural means of articulation and communication is natural language, with a simple yet effective and efficient means for the representation and manipulation of knowledge about processes and systems. We concentrate on the linguistic summarization of dynamic processes and systems, dealing with data represented as time series. We extend the basic, static data‐oriented concept of a linguistic data summary to the case of time series data, present various possible protoforms of linguistic summaries, and an analysis of their properties and ways of generation. We show two our own real applications of the new tools of linguistic summarization of time series, for the summarization of quotations of an investment (mutual) fund, and of Web server logs, to show the power of the tool. We also mention some other applications known from the literature. We conclude with some remarks on the strength of the linguistic summarization for broadly perceived data mining and knowledge discovery and some possible further research directions. WIREs Data Mining Knowl Discov 2016, 6:37–46. doi: 10.1002/widm.1175","container-title":"Wiley Interdisciplinary Reviews: Data Mining and Knowledge Discovery","DOI":"10.1002/widm.1175","issue":"1","page":"37–46","title":"Fuzzy logic-based linguistic summaries of time series: a powerful tool for discovering knowledge on time varying processes and systems under imprecision","volume":"6","author":[{"family":"Kacprzyk","given":"Janusz"},{"family":"Zadrożny","given":"Sławomir"}],"issued":{"date-parts":[["2016"]]}}}],"schema":"https://github.com/citation-style-language/schema/raw/master/csl-citation.json"}</w:instrText>
      </w:r>
      <w:r>
        <w:fldChar w:fldCharType="separate"/>
      </w:r>
      <w:bookmarkStart w:id="641" w:name="__Fieldmark__5263_2067855929"/>
      <w:r>
        <w:rPr>
          <w:lang w:val="es-ES"/>
        </w:rPr>
      </w:r>
      <w:r>
        <w:rPr>
          <w:rFonts w:cs="Arial"/>
          <w:szCs w:val="24"/>
          <w:lang w:val="es-ES"/>
        </w:rPr>
        <w:t>(</w:t>
      </w:r>
      <w:bookmarkStart w:id="642" w:name="__Fieldmark__4472_498839314"/>
      <w:r>
        <w:rPr>
          <w:rFonts w:cs="Arial"/>
          <w:szCs w:val="24"/>
          <w:lang w:val="es-ES"/>
        </w:rPr>
        <w:t>K</w:t>
      </w:r>
      <w:bookmarkStart w:id="643" w:name="__Fieldmark__3933_998588997"/>
      <w:r>
        <w:rPr>
          <w:rFonts w:cs="Arial"/>
          <w:szCs w:val="24"/>
          <w:lang w:val="es-ES"/>
        </w:rPr>
        <w:t>a</w:t>
      </w:r>
      <w:bookmarkStart w:id="644" w:name="__Fieldmark__6560_118561941"/>
      <w:r>
        <w:rPr>
          <w:rFonts w:cs="Arial"/>
          <w:szCs w:val="24"/>
          <w:lang w:val="es-ES"/>
        </w:rPr>
        <w:t>cprzyk y Zadrożny 2016a)</w:t>
      </w:r>
      <w:r>
        <w:rPr>
          <w:lang w:val="es-ES"/>
        </w:rPr>
      </w:r>
      <w:r>
        <w:fldChar w:fldCharType="end"/>
      </w:r>
      <w:bookmarkEnd w:id="641"/>
      <w:bookmarkEnd w:id="642"/>
      <w:bookmarkEnd w:id="643"/>
      <w:bookmarkEnd w:id="644"/>
      <w:r>
        <w:rPr>
          <w:lang w:val="es-ES"/>
        </w:rPr>
        <w:t xml:space="preserve"> Kacprzyk y Zadrożny resumieron lingüísticamente, series de tiempo de registros y servidores web sobre cotizaciones de fondos de inversión en bolsas de valores de Varsovia, Zagreb y Moscú, con el fin de identificar desajustes económicos en Europa en el período 2002-2010, considerando tres aspectos de las tendencias: duración, dinámica y variabilidad de los fondos de inversión. Otro ejemplo es </w:t>
      </w:r>
      <w:r>
        <w:fldChar w:fldCharType="begin"/>
      </w:r>
      <w:r>
        <w:instrText>ADDIN ZOTERO_ITEM CSL_CITATION {"citationID":"SJEOwoUz","properties":{"formattedCitation":"(Pi\\uc0\\u241{}ero et\\uc0\\u160{}al. 2020)","plainCitation":"(Piñero et al. 2020)","noteIndex":0},"citationItems":[{"id":"NJclqhNX/wg4jIvA9","uris":["http://zotero.org/users/local/rsuvzjK6/items/3YGSNS7U"],"uri":["http://zotero.org/users/local/rsuvzjK6/items/3YGSNS7U"],"itemData":{"id":3426,"type":"book","event-place":"Guayaquil, Ecuador","ISBN":"978-9942-82-514-8","language":"Español","number-of-pages":"105","publisher":"Universidad Católica de Santiago de Guayaquil, ISBN: 978-9942-82-514-8","publisher-place":"Guayaquil, Ecuador","title":"Caracterización de los estándares de gestión de proyectos y su impacto en la gestión económico financiera de las organizaciones orientadas a proyectos.","author":[{"family":"Piñero","given":"Pedro"},{"family":"Pérez Pupo","given":"Iliana"},{"family":"García Vacacela","given":"Roberto"},{"family":"Toscanini","given":"Paola"}],"issued":{"date-parts":[["2020"]]}}}],"schema":"https://github.com/citation-style-language/schema/raw/master/csl-citation.json"}</w:instrText>
      </w:r>
      <w:r>
        <w:fldChar w:fldCharType="separate"/>
      </w:r>
      <w:bookmarkStart w:id="645" w:name="__Fieldmark__5279_2067855929"/>
      <w:r>
        <w:rPr>
          <w:lang w:val="es-ES"/>
        </w:rPr>
      </w:r>
      <w:r>
        <w:rPr>
          <w:rFonts w:cs="Arial"/>
          <w:szCs w:val="24"/>
          <w:lang w:val="es-ES"/>
        </w:rPr>
        <w:t>(</w:t>
      </w:r>
      <w:bookmarkStart w:id="646" w:name="__Fieldmark__4483_498839314"/>
      <w:r>
        <w:rPr>
          <w:rFonts w:cs="Arial"/>
          <w:szCs w:val="24"/>
          <w:lang w:val="es-ES"/>
        </w:rPr>
        <w:t>P</w:t>
      </w:r>
      <w:bookmarkStart w:id="647" w:name="__Fieldmark__3940_998588997"/>
      <w:r>
        <w:rPr>
          <w:rFonts w:cs="Arial"/>
          <w:szCs w:val="24"/>
          <w:lang w:val="es-ES"/>
        </w:rPr>
        <w:t>i</w:t>
      </w:r>
      <w:bookmarkStart w:id="648" w:name="__Fieldmark__6575_118561941"/>
      <w:r>
        <w:rPr>
          <w:rFonts w:cs="Arial"/>
          <w:szCs w:val="24"/>
          <w:lang w:val="es-ES"/>
        </w:rPr>
        <w:t>ñero et al. 2020)</w:t>
      </w:r>
      <w:r>
        <w:rPr>
          <w:lang w:val="es-ES"/>
        </w:rPr>
      </w:r>
      <w:r>
        <w:fldChar w:fldCharType="end"/>
      </w:r>
      <w:bookmarkEnd w:id="645"/>
      <w:bookmarkEnd w:id="646"/>
      <w:bookmarkEnd w:id="647"/>
      <w:bookmarkEnd w:id="648"/>
      <w:r>
        <w:rPr>
          <w:rFonts w:cs="Arial"/>
          <w:szCs w:val="24"/>
          <w:lang w:val="es-ES"/>
        </w:rPr>
        <w:t xml:space="preserve"> donde se aplica en el análisis económico-financiero de organizaciones orientadas a proyectos.</w:t>
      </w:r>
    </w:p>
    <w:p>
      <w:pPr>
        <w:pStyle w:val="ListParagraph"/>
        <w:numPr>
          <w:ilvl w:val="0"/>
          <w:numId w:val="20"/>
        </w:numPr>
        <w:rPr/>
      </w:pPr>
      <w:r>
        <w:rPr>
          <w:lang w:val="es-ES"/>
        </w:rPr>
        <w:t xml:space="preserve">Registros de logs: en </w:t>
      </w:r>
      <w:r>
        <w:fldChar w:fldCharType="begin"/>
      </w:r>
      <w:r>
        <w:instrText>ADDIN ZOTERO_ITEM CSL_CITATION {"citationID":"ahn0tnmev6","properties":{"formattedCitation":"(Kacprzyk y Zadro\\uc0\\u380{}ny 2016a)","plainCitation":"(Kacprzyk y Zadrożny 2016a)","noteIndex":0},"citationItems":[{"id":3330,"uris":["http://zotero.org/users/local/EJ15hJE2/items/GKSSLAB9"],"uri":["http://zotero.org/users/local/EJ15hJE2/items/GKSSLAB9"],"itemData":{"id":3330,"type":"article-journal","abstract":"We present a novel approach to linguistic data summarization for numeric data, i.e., of the numbers to text type. Linguistic summarization is meant as a process of a comprehensive description of big and complex datasets via short statements in natural language. First, we briefly survey main developments in the traditional, well developed, and powerful approach to linguistic data summarization based on tools and techniques of natural language generation (NLG), notably due to Reiter and his collaborators. We indicate that this approach has a serious limitation on the representation and processing of imprecision that is characteristic for natural languages. We show that a fuzzy logic‐based approach to linguistic data summarization can be a simple yet efficient solution in this respect. We present the linguistic summaries represented by protoforms in the form of linguistically quantified propositions dealt with using tools and techniques of fuzzy logic to grasp an inherent imprecision of natural language. Such linguistic data summaries can provide a human user, whose only natural means of articulation and communication is natural language, with a simple yet effective and efficient means for the representation and manipulation of knowledge about processes and systems. We concentrate on the linguistic summarization of dynamic processes and systems, dealing with data represented as time series. We extend the basic, static data‐oriented concept of a linguistic data summary to the case of time series data, present various possible protoforms of linguistic summaries, and an analysis of their properties and ways of generation. We show two our own real applications of the new tools of linguistic summarization of time series, for the summarization of quotations of an investment (mutual) fund, and of Web server logs, to show the power of the tool. We also mention some other applications known from the literature. We conclude with some remarks on the strength of the linguistic summarization for broadly perceived data mining and knowledge discovery and some possible further research directions. WIREs Data Mining Knowl Discov 2016, 6:37–46. doi: 10.1002/widm.1175","container-title":"Wiley Interdisciplinary Reviews: Data Mining and Knowledge Discovery","DOI":"10.1002/widm.1175","issue":"1","page":"37–46","title":"Fuzzy logic-based linguistic summaries of time series: a powerful tool for discovering knowledge on time varying processes and systems under imprecision","volume":"6","author":[{"family":"Kacprzyk","given":"Janusz"},{"family":"Zadrożny","given":"Sławomir"}],"issued":{"date-parts":[["2016"]]}}}],"schema":"https://github.com/citation-style-language/schema/raw/master/csl-citation.json"}</w:instrText>
      </w:r>
      <w:r>
        <w:fldChar w:fldCharType="separate"/>
      </w:r>
      <w:bookmarkStart w:id="649" w:name="__Fieldmark__5296_2067855929"/>
      <w:r>
        <w:rPr>
          <w:lang w:val="es-ES"/>
        </w:rPr>
      </w:r>
      <w:r>
        <w:rPr>
          <w:rFonts w:cs="Arial"/>
          <w:szCs w:val="24"/>
          <w:lang w:val="es-ES"/>
        </w:rPr>
        <w:t>(</w:t>
      </w:r>
      <w:bookmarkStart w:id="650" w:name="__Fieldmark__4496_498839314"/>
      <w:r>
        <w:rPr>
          <w:rFonts w:cs="Arial"/>
          <w:szCs w:val="24"/>
          <w:lang w:val="es-ES"/>
        </w:rPr>
        <w:t>K</w:t>
      </w:r>
      <w:bookmarkStart w:id="651" w:name="__Fieldmark__3949_998588997"/>
      <w:r>
        <w:rPr>
          <w:rFonts w:cs="Arial"/>
          <w:szCs w:val="24"/>
          <w:lang w:val="es-ES"/>
        </w:rPr>
        <w:t>a</w:t>
      </w:r>
      <w:bookmarkStart w:id="652" w:name="__Fieldmark__6582_118561941"/>
      <w:r>
        <w:rPr>
          <w:rFonts w:cs="Arial"/>
          <w:szCs w:val="24"/>
          <w:lang w:val="es-ES"/>
        </w:rPr>
        <w:t>cprzyk y Zadrożny 2016a)</w:t>
      </w:r>
      <w:r>
        <w:rPr>
          <w:lang w:val="es-ES"/>
        </w:rPr>
      </w:r>
      <w:r>
        <w:fldChar w:fldCharType="end"/>
      </w:r>
      <w:bookmarkEnd w:id="649"/>
      <w:bookmarkEnd w:id="650"/>
      <w:bookmarkEnd w:id="651"/>
      <w:bookmarkEnd w:id="652"/>
      <w:r>
        <w:rPr>
          <w:lang w:val="es-ES"/>
        </w:rPr>
        <w:t xml:space="preserve"> Kacprzyk y Zadrożny los utilizan para la descripción de registros de logs de servidores web. En </w:t>
      </w:r>
      <w:r>
        <w:fldChar w:fldCharType="begin"/>
      </w:r>
      <w:r>
        <w:instrText>ADDIN ZOTERO_ITEM CSL_CITATION {"citationID":"iBmpPqlr","properties":{"formattedCitation":"(Wilbik y Dijkman 2016)","plainCitation":"(Wilbik y Dijkman 2016)","noteIndex":0},"citationItems":[{"id":"NJclqhNX/1ebjSrdZ","uris":["http://zotero.org/users/local/rsuvzjK6/items/9WRTM8B6"],"uri":["http://zotero.org/users/local/rsuvzjK6/items/9WRTM8B6"],"itemData":{"id":3260,"type":"paper-conference","abstract":"Linguistic summarization techniques make it easy to gain insight into large amounts of data by describing the main properties of the data linguistically. In this paper we focus on a specific type of data, namely process data, i.e., event logs that contain information about when some activities were performed for a particular customer case. An event log may contain many different sequences, because actions or events are often performed in slightly different orders for different customer cases. This easily leads to a very large number of generated summaries. As the point of linguistic summarization is to provide a quick overview, such a large number of summaries is not helpful to the interpreter. To address this problem, we propose a method for the generation of linguistic summaries of sequences that groups similar sequences and returns them in a single linguistic summary. We show the applicability of our technique on an event log from practice and show that it can be used to reduce the number of produced summaries by 80%, while keeping the important information that is contained in those summaries.","container-title":"2016 IEEE International Conference on Fuzzy Systems (FUZZ-IEEE)","DOI":"10.1109/FUZZ-IEEE.2016.7737736","page":"555–562","title":"On the generation of useful linguistic summaries of sequences","author":[{"family":"Wilbik","given":"Anna"},{"family":"Dijkman","given":"Remco M."}],"issued":{"date-parts":[["2016",7]]}}}],"schema":"https://github.com/citation-style-language/schema/raw/master/csl-citation.json"}</w:instrText>
      </w:r>
      <w:r>
        <w:fldChar w:fldCharType="separate"/>
      </w:r>
      <w:bookmarkStart w:id="653" w:name="__Fieldmark__5313_2067855929"/>
      <w:r>
        <w:rPr>
          <w:lang w:val="es-ES"/>
        </w:rPr>
      </w:r>
      <w:r>
        <w:rPr>
          <w:rFonts w:cs="Arial"/>
          <w:lang w:val="es-ES"/>
        </w:rPr>
        <w:t>(</w:t>
      </w:r>
      <w:bookmarkStart w:id="654" w:name="__Fieldmark__4507_498839314"/>
      <w:r>
        <w:rPr>
          <w:rFonts w:cs="Arial"/>
          <w:lang w:val="es-ES"/>
        </w:rPr>
        <w:t>W</w:t>
      </w:r>
      <w:bookmarkStart w:id="655" w:name="__Fieldmark__3956_998588997"/>
      <w:r>
        <w:rPr>
          <w:rFonts w:cs="Arial"/>
          <w:lang w:val="es-ES"/>
        </w:rPr>
        <w:t>i</w:t>
      </w:r>
      <w:bookmarkStart w:id="656" w:name="__Fieldmark__6587_118561941"/>
      <w:r>
        <w:rPr>
          <w:rFonts w:cs="Arial"/>
          <w:lang w:val="es-ES"/>
        </w:rPr>
        <w:t>lbik y Dijkman 2016)</w:t>
      </w:r>
      <w:r>
        <w:rPr>
          <w:lang w:val="es-ES"/>
        </w:rPr>
      </w:r>
      <w:r>
        <w:fldChar w:fldCharType="end"/>
      </w:r>
      <w:bookmarkEnd w:id="653"/>
      <w:bookmarkEnd w:id="654"/>
      <w:bookmarkEnd w:id="655"/>
      <w:bookmarkEnd w:id="656"/>
      <w:r>
        <w:rPr>
          <w:lang w:val="es-ES"/>
        </w:rPr>
        <w:t xml:space="preserve"> Wilbik y Dijkman lo aplican a eventos de logs que contienen información sobre cómo algunas actividades son realizadas por casos particulares de usuarios. Un año más tarde utilizan logs sobre procesos de apelación de la municipalidad de Dutch en el caso de estudio de su validación </w:t>
      </w:r>
      <w:r>
        <w:fldChar w:fldCharType="begin"/>
      </w:r>
      <w:r>
        <w:instrText>ADDIN ZOTERO_ITEM CSL_CITATION {"citationID":"R2N6G7ZR","properties":{"formattedCitation":"(Dijkman y Wilbik 2017)","plainCitation":"(Dijkman y Wilbik 2017)","noteIndex":0},"citationItems":[{"id":"NJclqhNX/tUNDshry","uris":["http://zotero.org/users/local/rsuvzjK6/items/8GWFVIKD"],"uri":["http://zotero.org/users/local/rsuvzjK6/items/8GWFVIKD"],"itemData":{"id":3297,"type":"article-journal","abstract":"The amount of data that is generated during the execution of a business process is growing. As a consequence it is increasingly hard to extract useful information from the large amount of data that is produced. Linguistic summarization helps to point business analysts in the direction of useful information, by verbalizing interesting patterns that exist in the data. In previous work we showed how linguistic summarization can be used to automatically generate diagnostic statements about event logs, such as ‘for most cases that contained the sequence ABC, the throughput time was long’. However, we also showed that our technique produced too many of these statements to be useful in a practical setting. Therefore this paper presents a novel technique for linguistic summarization of event logs, which generates linguistic summaries that are concise enough to be used in a practical setting, while at the same time enriching the summaries that are produced by also enabling conjunctive statements. The improved technique is based on pruning and clustering of linguistic summaries. We show that it can be used to reduce the number of summary statements 80–100% compared to previous work. In a survey among 51 practitioners, we found that practitioners consider linguistic summarization useful and easy to use and intend to use it if it were commercially available.","container-title":"Information Systems","DOI":"10.1016/j.is.2017.03.009","ISSN":"0306-4379","language":"en","page":"114–125","title":"Linguistic summarization of event logs – A practical approach","volume":"67","author":[{"family":"Dijkman","given":"Remco"},{"family":"Wilbik","given":"Anna"}],"issued":{"date-parts":[["2017",7]]}}}],"schema":"https://github.com/citation-style-language/schema/raw/master/csl-citation.json"}</w:instrText>
      </w:r>
      <w:r>
        <w:fldChar w:fldCharType="separate"/>
      </w:r>
      <w:bookmarkStart w:id="657" w:name="__Fieldmark__5329_2067855929"/>
      <w:r>
        <w:rPr>
          <w:lang w:val="es-ES"/>
        </w:rPr>
      </w:r>
      <w:r>
        <w:rPr>
          <w:rFonts w:cs="Arial"/>
          <w:lang w:val="es-ES"/>
        </w:rPr>
        <w:t>(</w:t>
      </w:r>
      <w:bookmarkStart w:id="658" w:name="__Fieldmark__4518_498839314"/>
      <w:r>
        <w:rPr>
          <w:rFonts w:cs="Arial"/>
          <w:lang w:val="es-ES"/>
        </w:rPr>
        <w:t>D</w:t>
      </w:r>
      <w:bookmarkStart w:id="659" w:name="__Fieldmark__3963_998588997"/>
      <w:r>
        <w:rPr>
          <w:rFonts w:cs="Arial"/>
          <w:lang w:val="es-ES"/>
        </w:rPr>
        <w:t>i</w:t>
      </w:r>
      <w:bookmarkStart w:id="660" w:name="__Fieldmark__6598_118561941"/>
      <w:r>
        <w:rPr>
          <w:rFonts w:cs="Arial"/>
          <w:lang w:val="es-ES"/>
        </w:rPr>
        <w:t>jkman y Wilbik 2017)</w:t>
      </w:r>
      <w:r>
        <w:rPr>
          <w:lang w:val="es-ES"/>
        </w:rPr>
      </w:r>
      <w:r>
        <w:fldChar w:fldCharType="end"/>
      </w:r>
      <w:bookmarkEnd w:id="657"/>
      <w:bookmarkEnd w:id="658"/>
      <w:bookmarkEnd w:id="659"/>
      <w:bookmarkEnd w:id="660"/>
      <w:r>
        <w:rPr>
          <w:lang w:val="es-ES"/>
        </w:rPr>
        <w:t>.</w:t>
      </w:r>
    </w:p>
    <w:p>
      <w:pPr>
        <w:pStyle w:val="ListParagraph"/>
        <w:numPr>
          <w:ilvl w:val="0"/>
          <w:numId w:val="20"/>
        </w:numPr>
        <w:rPr/>
      </w:pPr>
      <w:r>
        <w:rPr>
          <w:lang w:val="es-ES"/>
        </w:rPr>
        <w:t xml:space="preserve">Redes de dispositivos y sensores: gestión de datos de sensores en </w:t>
      </w:r>
      <w:r>
        <w:fldChar w:fldCharType="begin"/>
      </w:r>
      <w:r>
        <w:instrText>ADDIN ZOTERO_ITEM CSL_CITATION {"citationID":"b6TlLwlB","properties":{"formattedCitation":"(Khedidja, Allel y Mohand 2020)","plainCitation":"(Khedidja, Allel y Mohand 2020)","noteIndex":0},"citationItems":[{"id":"NJclqhNX/CLlQlJMn","uris":["http://zotero.org/users/local/rsuvzjK6/items/94JGYQQP"],"uri":["http://zotero.org/users/local/rsuvzjK6/items/94JGYQQP"],"itemData":{"id":3319,"type":"article-journal","abstract":"The rapid and significant increase in the amount of sensor data to be processed requires the use of techniques to reduce the size of data in order to efficiently extract the relevant knowledge. In this paper, we present two approaches used to derive data summaries. The first one relies on linguistic quantifiers in the sense of Yager. The second one leverages the notion of the typical value of a data set. Then, we show our implementation of these two methods with some experiments conducted on different databases (real-flight data collected from the ADSB project and real data for smart city collected from neOCampus project). The comparative studies show the best approach w.r.t. execution time.","container-title":"International Journal of Computing and Digital Systems","DOI":"10.12785/ijcds/090505","ISSN":"2210-142X","issue":"5","page":"825–833","title":"Data Summarization for Sensor Data Management: Towards Computational-Intelligence-Based Approaches","volume":"9","author":[{"family":"Khedidja","given":"Boulanouar"},{"family":"Allel","given":"Hadjali"},{"family":"Mohand","given":"Lagha"}],"issued":{"date-parts":[["2020"]]}}}],"schema":"https://github.com/citation-style-language/schema/raw/master/csl-citation.json"}</w:instrText>
      </w:r>
      <w:r>
        <w:fldChar w:fldCharType="separate"/>
      </w:r>
      <w:bookmarkStart w:id="661" w:name="__Fieldmark__5348_2067855929"/>
      <w:r>
        <w:rPr>
          <w:lang w:val="es-ES"/>
        </w:rPr>
      </w:r>
      <w:r>
        <w:rPr>
          <w:rFonts w:cs="Arial"/>
          <w:lang w:val="es-ES"/>
        </w:rPr>
        <w:t>(</w:t>
      </w:r>
      <w:bookmarkStart w:id="662" w:name="__Fieldmark__4531_498839314"/>
      <w:r>
        <w:rPr>
          <w:rFonts w:cs="Arial"/>
          <w:lang w:val="es-ES"/>
        </w:rPr>
        <w:t>K</w:t>
      </w:r>
      <w:bookmarkStart w:id="663" w:name="__Fieldmark__3972_998588997"/>
      <w:r>
        <w:rPr>
          <w:rFonts w:cs="Arial"/>
          <w:lang w:val="es-ES"/>
        </w:rPr>
        <w:t>h</w:t>
      </w:r>
      <w:bookmarkStart w:id="664" w:name="__Fieldmark__6607_118561941"/>
      <w:r>
        <w:rPr>
          <w:rFonts w:cs="Arial"/>
          <w:lang w:val="es-ES"/>
        </w:rPr>
        <w:t>edidja, Allel y Mohand 2020)</w:t>
      </w:r>
      <w:r>
        <w:rPr>
          <w:lang w:val="es-ES"/>
        </w:rPr>
      </w:r>
      <w:r>
        <w:fldChar w:fldCharType="end"/>
      </w:r>
      <w:bookmarkEnd w:id="661"/>
      <w:bookmarkEnd w:id="662"/>
      <w:bookmarkEnd w:id="663"/>
      <w:bookmarkEnd w:id="664"/>
      <w:r>
        <w:rPr>
          <w:lang w:val="es-ES"/>
        </w:rPr>
        <w:t xml:space="preserve">; en </w:t>
      </w:r>
      <w:r>
        <w:fldChar w:fldCharType="begin"/>
      </w:r>
      <w:r>
        <w:instrText>ADDIN ZOTERO_ITEM CSL_CITATION {"citationID":"aeuim2hh9k","properties":{"formattedCitation":"(D\\uc0\\u237{}az-Hermida y Vidal 2018)","plainCitation":"(Díaz-Hermida y Vidal 2018)","noteIndex":0},"citationItems":[{"id":"NJclqhNX/tVnOLY3d","uris":["http://zotero.org/users/local/rsuvzjK6/items/P9PGYQ42"],"uri":["http://zotero.org/users/local/rsuvzjK6/items/P9PGYQ42"],"itemData":{"id":3546,"type":"paper-conference","abstract":"Fuzzy quantification is a subtopic of fuzzy logic which deals with the modelling of the quantified expressions we can find in natural language. Fuzzy quantifiers have been successfully applied in several fields like fuzzy, control, fuzzy databases, information retrieval, natural language generation, etc. Their ability to model and evaluate linguistic expressions in a mathematical way, makes fuzzy quantifiers very powerful for data analytics and data mining applications. In this paper we will give a general overview of the main applications of fuzzy quantifiers in this field as well as some ideas to use them in new application contexts.","container-title":"II Data Science &amp; Engineering ConsortiumMeeting","event-place":"Universidade de Santiago de Compostela, Spain","note":"arXiv: 1807.07389","publisher":"Centro Singular de Investigaci ́on en Tecnolox ́ıas da Informaci ́on(CiTIUS), arXiv:1807.07389","publisher-place":"Universidade de Santiago de Compostela, Spain","source":"arXiv.org","title":"Fuzzy quantification for linguistic data analysis and data mining","URL":"http://arxiv.org/abs/1807.07389","author":[{"family":"Díaz-Hermida","given":"F."},{"family":"Vidal","given":"Juan C."}],"accessed":{"date-parts":[["2021",4,8]]},"issued":{"date-parts":[["2018"]]}}}],"schema":"https://github.com/citation-style-language/schema/raw/master/csl-citation.json"}</w:instrText>
      </w:r>
      <w:r>
        <w:fldChar w:fldCharType="separate"/>
      </w:r>
      <w:bookmarkStart w:id="665" w:name="__Fieldmark__5363_2067855929"/>
      <w:r>
        <w:rPr>
          <w:lang w:val="es-ES"/>
        </w:rPr>
      </w:r>
      <w:r>
        <w:rPr>
          <w:rFonts w:cs="Arial"/>
          <w:szCs w:val="24"/>
          <w:lang w:val="es-ES"/>
        </w:rPr>
        <w:t>(</w:t>
      </w:r>
      <w:bookmarkStart w:id="666" w:name="__Fieldmark__4542_498839314"/>
      <w:r>
        <w:rPr>
          <w:rFonts w:cs="Arial"/>
          <w:szCs w:val="24"/>
          <w:lang w:val="es-ES"/>
        </w:rPr>
        <w:t>D</w:t>
      </w:r>
      <w:bookmarkStart w:id="667" w:name="__Fieldmark__3979_998588997"/>
      <w:r>
        <w:rPr>
          <w:rFonts w:cs="Arial"/>
          <w:szCs w:val="24"/>
          <w:lang w:val="es-ES"/>
        </w:rPr>
        <w:t>í</w:t>
      </w:r>
      <w:bookmarkStart w:id="668" w:name="__Fieldmark__6613_118561941"/>
      <w:r>
        <w:rPr>
          <w:rFonts w:cs="Arial"/>
          <w:szCs w:val="24"/>
          <w:lang w:val="es-ES"/>
        </w:rPr>
        <w:t>az-Hermida y Vidal 2018)</w:t>
      </w:r>
      <w:r>
        <w:rPr>
          <w:lang w:val="es-ES"/>
        </w:rPr>
      </w:r>
      <w:r>
        <w:fldChar w:fldCharType="end"/>
      </w:r>
      <w:bookmarkEnd w:id="665"/>
      <w:bookmarkEnd w:id="666"/>
      <w:bookmarkEnd w:id="667"/>
      <w:bookmarkEnd w:id="668"/>
      <w:r>
        <w:rPr>
          <w:lang w:val="es-ES"/>
        </w:rPr>
        <w:t xml:space="preserve"> se aplica a restricciones temporales en una red; datos coleccionados de relojes inteligentes que miden índices del corazón en sesiones de rehabilitación </w:t>
      </w:r>
      <w:r>
        <w:fldChar w:fldCharType="begin"/>
      </w:r>
      <w:r>
        <w:instrText>ADDIN ZOTERO_ITEM CSL_CITATION {"citationID":"ysYyMKVR","properties":{"formattedCitation":"(Pel\\uc0\\u225{}ez-Aguilera et\\uc0\\u160{}al. 2019)","plainCitation":"(Peláez-Aguilera et al. 2019)","noteIndex":0},"citationItems":[{"id":"NJclqhNX/5UqkzAsn","uris":["http://zotero.org/users/local/rsuvzjK6/items/FBBJLLBV"],"uri":["http://zotero.org/users/local/rsuvzjK6/items/FBBJLLBV"],"itemData":{"id":3249,"type":"article-journal","container-title":"Hindawi","DOI":"0.1155/2019/2694126","page":"11","title":"Fuzzy Linguistic Protoforms to Summarize Heart Rate Streams of Patients with Ischemic Heart Disease","volume":"2019","author":[{"family":"Peláez-Aguilera","given":"María Dolores"},{"family":"Espinilla","given":"Macarena"},{"family":"Fernández","given":"M. R."},{"family":"Medina","given":"Javier"}],"issued":{"date-parts":[["2019"]]}}}],"schema":"https://github.com/citation-style-language/schema/raw/master/csl-citation.json"}</w:instrText>
      </w:r>
      <w:r>
        <w:fldChar w:fldCharType="separate"/>
      </w:r>
      <w:bookmarkStart w:id="669" w:name="__Fieldmark__5380_2067855929"/>
      <w:r>
        <w:rPr>
          <w:lang w:val="es-ES"/>
        </w:rPr>
      </w:r>
      <w:r>
        <w:rPr>
          <w:rFonts w:cs="Arial"/>
          <w:szCs w:val="24"/>
          <w:lang w:val="es-ES"/>
        </w:rPr>
        <w:t>(</w:t>
      </w:r>
      <w:bookmarkStart w:id="670" w:name="__Fieldmark__4553_498839314"/>
      <w:r>
        <w:rPr>
          <w:rFonts w:cs="Arial"/>
          <w:szCs w:val="24"/>
          <w:lang w:val="es-ES"/>
        </w:rPr>
        <w:t>P</w:t>
      </w:r>
      <w:bookmarkStart w:id="671" w:name="__Fieldmark__3986_998588997"/>
      <w:r>
        <w:rPr>
          <w:rFonts w:cs="Arial"/>
          <w:szCs w:val="24"/>
          <w:lang w:val="es-ES"/>
        </w:rPr>
        <w:t>e</w:t>
      </w:r>
      <w:bookmarkStart w:id="672" w:name="__Fieldmark__6621_118561941"/>
      <w:r>
        <w:rPr>
          <w:rFonts w:cs="Arial"/>
          <w:szCs w:val="24"/>
          <w:lang w:val="es-ES"/>
        </w:rPr>
        <w:t>láez-Aguilera et al. 2019)</w:t>
      </w:r>
      <w:r>
        <w:rPr>
          <w:lang w:val="es-ES"/>
        </w:rPr>
      </w:r>
      <w:r>
        <w:fldChar w:fldCharType="end"/>
      </w:r>
      <w:bookmarkEnd w:id="669"/>
      <w:bookmarkEnd w:id="670"/>
      <w:bookmarkEnd w:id="671"/>
      <w:bookmarkEnd w:id="672"/>
      <w:r>
        <w:rPr>
          <w:lang w:val="es-ES"/>
        </w:rPr>
        <w:t xml:space="preserve">. Otras mediciones de relojes inteligentes sobre manía-euthymia y manía-depresión </w:t>
      </w:r>
      <w:r>
        <w:fldChar w:fldCharType="begin"/>
      </w:r>
      <w:r>
        <w:instrText>ADDIN ZOTERO_ITEM CSL_CITATION {"citationID":"4deMfgh1","properties":{"formattedCitation":"(Kaczmarek-Majer et\\uc0\\u160{}al. 2019)","plainCitation":"(Kaczmarek-Majer et al. 2019)","noteIndex":0},"citationItems":[{"id":"NJclqhNX/dqnG33mX","uris":["http://zotero.org/users/local/rsuvzjK6/items/Z2YPXP9K"],"uri":["http://zotero.org/users/local/rsuvzjK6/items/Z2YPXP9K"],"itemData":{"id":3250,"type":"paper-conference","abstract":"Personalized linguistic summaries are developed with the use of protoforms in the sense of Yager and Kacprzyk. We discuss the construction and usefulness of such patient-dependent and disease-state-dependent linguistic summaries that may be examplified as `Most outgoing calls in mania state (disease period) are short compared to the calls recorded in...","DOI":"10.2991/eusflat-19.2019.56","ISBN":"978-94-6252-770-6","language":"en","publisher":"Atlantis Press","title":"Personalized linguistic summaries in smartphone-based monitoring of bipolar disorder patients","URL":"https://www.atlantis-press.com/proceedings/eusflat-19/125914826","author":[{"family":"Kaczmarek-Majer","given":"Katarzyna"},{"family":"Hryniewicz","given":"Olgierd"},{"family":"Dominiak","given":"Monika"},{"family":"Święcicki","given":"Łukasz"}],"accessed":{"date-parts":[["2019",12,11]]},"issued":{"date-parts":[["2019",8]]}}}],"schema":"https://github.com/citation-style-language/schema/raw/master/csl-citation.json"}</w:instrText>
      </w:r>
      <w:r>
        <w:fldChar w:fldCharType="separate"/>
      </w:r>
      <w:bookmarkStart w:id="673" w:name="__Fieldmark__5395_2067855929"/>
      <w:r>
        <w:rPr>
          <w:lang w:val="es-ES"/>
        </w:rPr>
      </w:r>
      <w:r>
        <w:rPr>
          <w:rFonts w:cs="Arial"/>
          <w:szCs w:val="24"/>
          <w:lang w:val="es-ES"/>
        </w:rPr>
        <w:t>(</w:t>
      </w:r>
      <w:bookmarkStart w:id="674" w:name="__Fieldmark__4564_498839314"/>
      <w:r>
        <w:rPr>
          <w:rFonts w:cs="Arial"/>
          <w:szCs w:val="24"/>
          <w:lang w:val="es-ES"/>
        </w:rPr>
        <w:t>K</w:t>
      </w:r>
      <w:bookmarkStart w:id="675" w:name="__Fieldmark__3993_998588997"/>
      <w:r>
        <w:rPr>
          <w:rFonts w:cs="Arial"/>
          <w:szCs w:val="24"/>
          <w:lang w:val="es-ES"/>
        </w:rPr>
        <w:t>a</w:t>
      </w:r>
      <w:bookmarkStart w:id="676" w:name="__Fieldmark__6626_118561941"/>
      <w:r>
        <w:rPr>
          <w:rFonts w:cs="Arial"/>
          <w:szCs w:val="24"/>
          <w:lang w:val="es-ES"/>
        </w:rPr>
        <w:t>czmarek-Majer et al. 2019)</w:t>
      </w:r>
      <w:r>
        <w:rPr>
          <w:lang w:val="es-ES"/>
        </w:rPr>
      </w:r>
      <w:r>
        <w:fldChar w:fldCharType="end"/>
      </w:r>
      <w:bookmarkEnd w:id="673"/>
      <w:bookmarkEnd w:id="674"/>
      <w:bookmarkEnd w:id="675"/>
      <w:bookmarkEnd w:id="676"/>
      <w:r>
        <w:rPr>
          <w:lang w:val="es-ES"/>
        </w:rPr>
        <w:t xml:space="preserve">. En la red de comercio internacional </w:t>
      </w:r>
      <w:r>
        <w:fldChar w:fldCharType="begin"/>
      </w:r>
      <w:r>
        <w:instrText>ADDIN ZOTERO_ITEM CSL_CITATION {"citationID":"cFaSE3oX","properties":{"formattedCitation":"(Gen\\uc0\\u231{} et\\uc0\\u160{}al. 2020)","plainCitation":"(Genç et al. 2020)","noteIndex":0},"citationItems":[{"id":"NJclqhNX/ptoAqCUw","uris":["http://zotero.org/users/local/rsuvzjK6/items/WG4EU94P"],"uri":["http://zotero.org/users/local/rsuvzjK6/items/WG4EU94P"],"itemData":{"id":3322,"type":"article-journal","abstract":"Although plenty of techniques such as link prediction, clustering, and position analysis have been proposed to analyze social and economic networks and patterns of social and economic relationships in various fields, few studies have addressed the transformation of social and economic network data into the knowledge in the form of linguistic summaries. In this study, we propose, for the first time in the literature, iteration, reciprocal and branching-based linguistic summary forms taking into account both the attributes (features) of social and economic actors and the relations between them. We then develop methods for evaluating the degree of truth of the suggested linguistic summary forms by leveraging generalized quantifiers, specifically semi-fuzzy and polyadic quantifiers. The advantages and applicability of the proposed linguistic summary forms are illustrated on the international trade network.","container-title":"Soft Computing","DOI":"10.1007/s00500-019-03982-9","issue":"2","page":"1511–1527","title":"Linguistic summarization of fuzzy social and economic networks: an application on the international trade network","volume":"24","author":[{"family":"Genç","given":"Serkan"},{"family":"Akay","given":"Diyar"},{"family":"Boran","given":"Fatih Emre"},{"family":"Yager","given":"Ronald R"}],"issued":{"date-parts":[["2020"]]}}}],"schema":"https://github.com/citation-style-language/schema/raw/master/csl-citation.json"}</w:instrText>
      </w:r>
      <w:r>
        <w:fldChar w:fldCharType="separate"/>
      </w:r>
      <w:bookmarkStart w:id="677" w:name="__Fieldmark__5410_2067855929"/>
      <w:r>
        <w:rPr>
          <w:lang w:val="es-ES"/>
        </w:rPr>
      </w:r>
      <w:r>
        <w:rPr>
          <w:rFonts w:cs="Arial"/>
          <w:szCs w:val="24"/>
          <w:lang w:val="es-ES"/>
        </w:rPr>
        <w:t>(</w:t>
      </w:r>
      <w:bookmarkStart w:id="678" w:name="__Fieldmark__4575_498839314"/>
      <w:r>
        <w:rPr>
          <w:rFonts w:cs="Arial"/>
          <w:szCs w:val="24"/>
          <w:lang w:val="es-ES"/>
        </w:rPr>
        <w:t>G</w:t>
      </w:r>
      <w:bookmarkStart w:id="679" w:name="__Fieldmark__4000_998588997"/>
      <w:r>
        <w:rPr>
          <w:rFonts w:cs="Arial"/>
          <w:szCs w:val="24"/>
          <w:lang w:val="es-ES"/>
        </w:rPr>
        <w:t>e</w:t>
      </w:r>
      <w:bookmarkStart w:id="680" w:name="__Fieldmark__6631_118561941"/>
      <w:r>
        <w:rPr>
          <w:rFonts w:cs="Arial"/>
          <w:szCs w:val="24"/>
          <w:lang w:val="es-ES"/>
        </w:rPr>
        <w:t>nç et al. 2020)</w:t>
      </w:r>
      <w:r>
        <w:rPr>
          <w:lang w:val="es-ES"/>
        </w:rPr>
      </w:r>
      <w:r>
        <w:fldChar w:fldCharType="end"/>
      </w:r>
      <w:bookmarkEnd w:id="677"/>
      <w:bookmarkEnd w:id="678"/>
      <w:bookmarkEnd w:id="679"/>
      <w:bookmarkEnd w:id="680"/>
      <w:r>
        <w:rPr>
          <w:lang w:val="es-ES"/>
        </w:rPr>
        <w:t xml:space="preserve">. En </w:t>
      </w:r>
      <w:r>
        <w:fldChar w:fldCharType="begin"/>
      </w:r>
      <w:r>
        <w:instrText>ADDIN ZOTERO_ITEM CSL_CITATION {"citationID":"ykurAvrh","properties":{"formattedCitation":"(Jain, Keller y Bezdek 2016)","plainCitation":"(Jain, Keller y Bezdek 2016)","noteIndex":0},"citationItems":[{"id":"NJclqhNX/IrOQQem3","uris":["http://zotero.org/users/local/rsuvzjK6/items/RJKLGL8E"],"uri":["http://zotero.org/users/local/rsuvzjK6/items/RJKLGL8E"],"itemData":{"id":3392,"type":"paper-conference","abstract":"The recent rise in the availability of sensors to monitor our day-to-day lifestyles calls for techniques to glean information out of the generated data. For many of these sensors, the data recorded is periodic in nature. Moreover, it has been shown that a change in this periodic data is correlated to a shift in physical or mental health. We present a technique to compare this repetitive data, both qualitatively and quantitatively. Our method first summarizes the sensor measurements collected from smart homes of elderly into textual statements. Dissimilarity between the text summaries is then computed to quantify the comparison.","container-title":"2016 IEEE-embs international conference on biomedical and health informatics (bhi)","DOI":"10.1109/BHI.2016.7455829","ISBN":"978-1-5090-2455-1","page":"37–40","publisher":"IEEE","title":"Quantitative and qualitative comparison of periodic sensor data","author":[{"family":"Jain","given":"Akshay"},{"family":"Keller","given":"James M"},{"family":"Bezdek","given":"James C"}],"issued":{"date-parts":[["2016"]]}}}],"schema":"https://github.com/citation-style-language/schema/raw/master/csl-citation.json"}</w:instrText>
      </w:r>
      <w:r>
        <w:fldChar w:fldCharType="separate"/>
      </w:r>
      <w:bookmarkStart w:id="681" w:name="__Fieldmark__5425_2067855929"/>
      <w:r>
        <w:rPr>
          <w:lang w:val="es-ES"/>
        </w:rPr>
      </w:r>
      <w:r>
        <w:rPr>
          <w:rFonts w:cs="Arial"/>
          <w:lang w:val="es-ES"/>
        </w:rPr>
        <w:t>(</w:t>
      </w:r>
      <w:bookmarkStart w:id="682" w:name="__Fieldmark__4586_498839314"/>
      <w:r>
        <w:rPr>
          <w:rFonts w:cs="Arial"/>
          <w:lang w:val="es-ES"/>
        </w:rPr>
        <w:t>J</w:t>
      </w:r>
      <w:bookmarkStart w:id="683" w:name="__Fieldmark__4007_998588997"/>
      <w:r>
        <w:rPr>
          <w:rFonts w:cs="Arial"/>
          <w:lang w:val="es-ES"/>
        </w:rPr>
        <w:t>a</w:t>
      </w:r>
      <w:bookmarkStart w:id="684" w:name="__Fieldmark__6637_118561941"/>
      <w:r>
        <w:rPr>
          <w:rFonts w:cs="Arial"/>
          <w:lang w:val="es-ES"/>
        </w:rPr>
        <w:t>in, Keller y Bezdek 2016)</w:t>
      </w:r>
      <w:r>
        <w:rPr>
          <w:lang w:val="es-ES"/>
        </w:rPr>
      </w:r>
      <w:r>
        <w:fldChar w:fldCharType="end"/>
      </w:r>
      <w:bookmarkEnd w:id="681"/>
      <w:bookmarkEnd w:id="682"/>
      <w:bookmarkEnd w:id="683"/>
      <w:bookmarkEnd w:id="684"/>
      <w:r>
        <w:rPr>
          <w:lang w:val="es-ES"/>
        </w:rPr>
        <w:t xml:space="preserve"> se recopilan datos de sensores de hogares inteligentes de personas mayores sobre sus actividades de la vida diaria.</w:t>
      </w:r>
    </w:p>
    <w:p>
      <w:pPr>
        <w:pStyle w:val="ListParagraph"/>
        <w:numPr>
          <w:ilvl w:val="0"/>
          <w:numId w:val="20"/>
        </w:numPr>
        <w:rPr/>
      </w:pPr>
      <w:r>
        <w:rPr>
          <w:lang w:val="es-ES"/>
        </w:rPr>
        <w:t xml:space="preserve">En el sector de la salud y la medicina se han realizado varios estudios: con datos sobre gestión de glucosa en la Unidad de Cuidados Intensivos (UCI) del Centro Médico Universitario de Maastricht, Países Bajos </w:t>
      </w:r>
      <w:r>
        <w:fldChar w:fldCharType="begin"/>
      </w:r>
      <w:r>
        <w:instrText>ADDIN ZOTERO_ITEM CSL_CITATION {"citationID":"4qn3lQSC","properties":{"formattedCitation":"(Wilbik et\\uc0\\u160{}al. 2018)","plainCitation":"(Wilbik et al. 2018)","noteIndex":0},"citationItems":[{"id":"NJclqhNX/FD4ZOc26","uris":["http://zotero.org/users/local/rsuvzjK6/items/DG2G3LYW"],"uri":["http://zotero.org/users/local/rsuvzjK6/items/DG2G3LYW"],"itemData":{"id":3270,"type":"paper-conference","abstract":"Clinical protocols are introduced in hospitals to standardize the care delivery process. Compliance is a measure used to determine whether the protocol has been followed. However compliance measures do not provide enough insight to be used in daily practice. In this paper we propose to use linguistic summaries to analyze the compliance to clinical protocols. As our case we examine a glucose management protocol at ICU. We will demonstrate that linguistic summaries can provide insight, that is actionable and comprehensible by the health-care providers.","container-title":"2018 IEEE International Conference on Fuzzy Systems (FUZZ-IEEE)","DOI":"10.1109/FUZZ-IEEE.2018.8491449","page":"1–7","title":"Linguistic Summaries for Compliance Analysis of a Glucose Management Clinical Protocol","author":[{"family":"Wilbik","given":"Anna"},{"family":"Vanderfeesten","given":"Irene"},{"family":"Bergmans","given":"Dennis"},{"family":"Heines","given":"Serge"},{"family":"Mook","given":"Walther","dropping-particle":"van"}],"issued":{"date-parts":[["2018",7]]}}}],"schema":"https://github.com/citation-style-language/schema/raw/master/csl-citation.json"}</w:instrText>
      </w:r>
      <w:r>
        <w:fldChar w:fldCharType="separate"/>
      </w:r>
      <w:bookmarkStart w:id="685" w:name="__Fieldmark__5443_2067855929"/>
      <w:r>
        <w:rPr>
          <w:lang w:val="es-ES"/>
        </w:rPr>
      </w:r>
      <w:r>
        <w:rPr>
          <w:rFonts w:cs="Arial"/>
          <w:szCs w:val="24"/>
          <w:lang w:val="es-ES"/>
        </w:rPr>
        <w:t>(</w:t>
      </w:r>
      <w:bookmarkStart w:id="686" w:name="__Fieldmark__4599_498839314"/>
      <w:r>
        <w:rPr>
          <w:rFonts w:cs="Arial"/>
          <w:szCs w:val="24"/>
          <w:lang w:val="es-ES"/>
        </w:rPr>
        <w:t>W</w:t>
      </w:r>
      <w:bookmarkStart w:id="687" w:name="__Fieldmark__4016_998588997"/>
      <w:r>
        <w:rPr>
          <w:rFonts w:cs="Arial"/>
          <w:szCs w:val="24"/>
          <w:lang w:val="es-ES"/>
        </w:rPr>
        <w:t>i</w:t>
      </w:r>
      <w:bookmarkStart w:id="688" w:name="__Fieldmark__6646_118561941"/>
      <w:r>
        <w:rPr>
          <w:rFonts w:cs="Arial"/>
          <w:szCs w:val="24"/>
          <w:lang w:val="es-ES"/>
        </w:rPr>
        <w:t>lbik et al. 2018)</w:t>
      </w:r>
      <w:r>
        <w:rPr>
          <w:lang w:val="es-ES"/>
        </w:rPr>
      </w:r>
      <w:r>
        <w:fldChar w:fldCharType="end"/>
      </w:r>
      <w:bookmarkEnd w:id="685"/>
      <w:bookmarkEnd w:id="686"/>
      <w:bookmarkEnd w:id="687"/>
      <w:bookmarkEnd w:id="688"/>
      <w:r>
        <w:rPr>
          <w:lang w:val="es-ES"/>
        </w:rPr>
        <w:t xml:space="preserve">; sobre afecciones de corazón isquémico en pacientes del programa de rehabilitación del corazón en Andalucía </w:t>
      </w:r>
      <w:r>
        <w:fldChar w:fldCharType="begin"/>
      </w:r>
      <w:r>
        <w:instrText>ADDIN ZOTERO_ITEM CSL_CITATION {"citationID":"g3xdcCip","properties":{"formattedCitation":"(Pel\\uc0\\u225{}ez-Aguilera et\\uc0\\u160{}al. 2019)","plainCitation":"(Peláez-Aguilera et al. 2019)","noteIndex":0},"citationItems":[{"id":"NJclqhNX/5UqkzAsn","uris":["http://zotero.org/users/local/rsuvzjK6/items/FBBJLLBV"],"uri":["http://zotero.org/users/local/rsuvzjK6/items/FBBJLLBV"],"itemData":{"id":3249,"type":"article-journal","container-title":"Hindawi","DOI":"0.1155/2019/2694126","page":"11","title":"Fuzzy Linguistic Protoforms to Summarize Heart Rate Streams of Patients with Ischemic Heart Disease","volume":"2019","author":[{"family":"Peláez-Aguilera","given":"María Dolores"},{"family":"Espinilla","given":"Macarena"},{"family":"Fernández","given":"M. R."},{"family":"Medina","given":"Javier"}],"issued":{"date-parts":[["2019"]]}}}],"schema":"https://github.com/citation-style-language/schema/raw/master/csl-citation.json"}</w:instrText>
      </w:r>
      <w:r>
        <w:fldChar w:fldCharType="separate"/>
      </w:r>
      <w:bookmarkStart w:id="689" w:name="__Fieldmark__5459_2067855929"/>
      <w:r>
        <w:rPr>
          <w:lang w:val="es-ES"/>
        </w:rPr>
      </w:r>
      <w:r>
        <w:rPr>
          <w:rFonts w:cs="Arial"/>
          <w:szCs w:val="24"/>
          <w:lang w:val="es-ES"/>
        </w:rPr>
        <w:t>(</w:t>
      </w:r>
      <w:bookmarkStart w:id="690" w:name="__Fieldmark__4610_498839314"/>
      <w:r>
        <w:rPr>
          <w:rFonts w:cs="Arial"/>
          <w:szCs w:val="24"/>
          <w:lang w:val="es-ES"/>
        </w:rPr>
        <w:t>P</w:t>
      </w:r>
      <w:bookmarkStart w:id="691" w:name="__Fieldmark__4023_998588997"/>
      <w:r>
        <w:rPr>
          <w:rFonts w:cs="Arial"/>
          <w:szCs w:val="24"/>
          <w:lang w:val="es-ES"/>
        </w:rPr>
        <w:t>e</w:t>
      </w:r>
      <w:bookmarkStart w:id="692" w:name="__Fieldmark__6654_118561941"/>
      <w:r>
        <w:rPr>
          <w:rFonts w:cs="Arial"/>
          <w:szCs w:val="24"/>
          <w:lang w:val="es-ES"/>
        </w:rPr>
        <w:t>láez-Aguilera et al. 2019)</w:t>
      </w:r>
      <w:r>
        <w:rPr>
          <w:lang w:val="es-ES"/>
        </w:rPr>
      </w:r>
      <w:r>
        <w:fldChar w:fldCharType="end"/>
      </w:r>
      <w:bookmarkEnd w:id="689"/>
      <w:bookmarkEnd w:id="690"/>
      <w:bookmarkEnd w:id="691"/>
      <w:bookmarkEnd w:id="692"/>
      <w:r>
        <w:rPr>
          <w:lang w:val="es-ES"/>
        </w:rPr>
        <w:t xml:space="preserve">; sobre actividad física </w:t>
      </w:r>
      <w:r>
        <w:fldChar w:fldCharType="begin"/>
      </w:r>
      <w:r>
        <w:instrText>ADDIN ZOTERO_ITEM CSL_CITATION {"citationID":"u7sPcPtw","properties":{"formattedCitation":"(Sanchez-Valdes, Alvarez-Alvarez y Trivino 2016)","plainCitation":"(Sanchez-Valdes, Alvarez-Alvarez y Trivino 2016)","noteIndex":0},"citationItems":[{"id":"NJclqhNX/lSps0ESQ","uris":["http://zotero.org/users/local/rsuvzjK6/items/5GCCFHA5"],"uri":["http://zotero.org/users/local/rsuvzjK6/items/5GCCFHA5"],"itemData":{"id":3387,"type":"article-journal","abstract":"Self-tracking our physical activity allows us to acquire a better self-knowledge about our physical, and even mental health condition. Currently, the description of the time series provided by sensors is done by means of graphics and tables, that are hard to interpret by non-expert humans. Here, we present a computational application that dynamically describes in natural language the physical activity. The final reports are adapted to the everyday language and user's needs. The application highlights the relevant information obtained at different levels of temporal detail. We have included experimental results that demonstrate the flexibility and applicability of the new tool.","container-title":"Fuzzy Sets and Systems","DOI":"10.1016/j.fss.2015.06.018","page":"162–181","title":"Dynamic linguistic descriptions of time series applied to self-track the physical activity","volume":"285","author":[{"family":"Sanchez-Valdes","given":"Daniel"},{"family":"Alvarez-Alvarez","given":"Alberto"},{"family":"Trivino","given":"Gracian"}],"issued":{"date-parts":[["2016"]]}}}],"schema":"https://github.com/citation-style-language/schema/raw/master/csl-citation.json"}</w:instrText>
      </w:r>
      <w:r>
        <w:fldChar w:fldCharType="separate"/>
      </w:r>
      <w:bookmarkStart w:id="693" w:name="__Fieldmark__5474_2067855929"/>
      <w:r>
        <w:rPr>
          <w:lang w:val="es-ES"/>
        </w:rPr>
      </w:r>
      <w:r>
        <w:rPr>
          <w:rFonts w:cs="Arial"/>
          <w:lang w:val="es-ES"/>
        </w:rPr>
        <w:t>(</w:t>
      </w:r>
      <w:bookmarkStart w:id="694" w:name="__Fieldmark__4621_498839314"/>
      <w:r>
        <w:rPr>
          <w:rFonts w:cs="Arial"/>
          <w:lang w:val="es-ES"/>
        </w:rPr>
        <w:t>S</w:t>
      </w:r>
      <w:bookmarkStart w:id="695" w:name="__Fieldmark__4030_998588997"/>
      <w:r>
        <w:rPr>
          <w:rFonts w:cs="Arial"/>
          <w:lang w:val="es-ES"/>
        </w:rPr>
        <w:t>a</w:t>
      </w:r>
      <w:bookmarkStart w:id="696" w:name="__Fieldmark__6660_118561941"/>
      <w:r>
        <w:rPr>
          <w:rFonts w:cs="Arial"/>
          <w:lang w:val="es-ES"/>
        </w:rPr>
        <w:t>nchez-Valdes, Alvarez-Alvarez y Trivino 2016)</w:t>
      </w:r>
      <w:r>
        <w:rPr>
          <w:lang w:val="es-ES"/>
        </w:rPr>
      </w:r>
      <w:r>
        <w:fldChar w:fldCharType="end"/>
      </w:r>
      <w:bookmarkEnd w:id="693"/>
      <w:bookmarkEnd w:id="694"/>
      <w:bookmarkEnd w:id="695"/>
      <w:bookmarkEnd w:id="696"/>
      <w:r>
        <w:rPr>
          <w:lang w:val="es-ES"/>
        </w:rPr>
        <w:t xml:space="preserve">; sobre diabetes y cáncer </w:t>
      </w:r>
      <w:r>
        <w:fldChar w:fldCharType="begin"/>
      </w:r>
      <w:r>
        <w:instrText>ADDIN ZOTERO_ITEM CSL_CITATION {"citationID":"QyQWWrxQ","properties":{"formattedCitation":"(Amghar y Chikh 2018)","plainCitation":"(Amghar y Chikh 2018)","noteIndex":0},"citationItems":[{"id":"NJclqhNX/6Z03zroz","uris":["http://zotero.org/users/local/rsuvzjK6/items/2ED8USB4"],"uri":["http://zotero.org/users/local/rsuvzjK6/items/2ED8USB4"],"itemData":{"id":3339,"type":"article-journal","abstract":"In general, medical clustering concerns a big database. The present paper aims at extracting a fuzzy linguistic summary from a large medical database. A linguistic summary is used to reduce large volumes of data to simple sentences. It is worth noting that with the increase of the amount of medical data, different techniques of machine learning have been developed recently.","container-title":"International Journal of Intelligent Systems and Applications","DOI":"10.5815/ijisa.2018.12.02","ISSN":"2074904X, 20749058","issue":"12","language":"en","page":"16–26","title":"Extracting a Linguistic Summary from a Medical Database","volume":"10","author":[{"family":"Amghar","given":"Djazia"},{"family":"Chikh","given":"Amine.M."}],"issued":{"date-parts":[["2018",12]]}}}],"schema":"https://github.com/citation-style-language/schema/raw/master/csl-citation.json"}</w:instrText>
      </w:r>
      <w:r>
        <w:fldChar w:fldCharType="separate"/>
      </w:r>
      <w:bookmarkStart w:id="697" w:name="__Fieldmark__5489_2067855929"/>
      <w:r>
        <w:rPr>
          <w:lang w:val="es-ES"/>
        </w:rPr>
      </w:r>
      <w:r>
        <w:rPr>
          <w:rFonts w:cs="Arial"/>
          <w:lang w:val="es-ES"/>
        </w:rPr>
        <w:t>(</w:t>
      </w:r>
      <w:bookmarkStart w:id="698" w:name="__Fieldmark__4632_498839314"/>
      <w:r>
        <w:rPr>
          <w:rFonts w:cs="Arial"/>
          <w:lang w:val="es-ES"/>
        </w:rPr>
        <w:t>A</w:t>
      </w:r>
      <w:bookmarkStart w:id="699" w:name="__Fieldmark__4037_998588997"/>
      <w:r>
        <w:rPr>
          <w:rFonts w:cs="Arial"/>
          <w:lang w:val="es-ES"/>
        </w:rPr>
        <w:t>m</w:t>
      </w:r>
      <w:bookmarkStart w:id="700" w:name="__Fieldmark__6666_118561941"/>
      <w:r>
        <w:rPr>
          <w:rFonts w:cs="Arial"/>
          <w:lang w:val="es-ES"/>
        </w:rPr>
        <w:t>ghar y Chikh 2018)</w:t>
      </w:r>
      <w:r>
        <w:rPr>
          <w:lang w:val="es-ES"/>
        </w:rPr>
      </w:r>
      <w:r>
        <w:fldChar w:fldCharType="end"/>
      </w:r>
      <w:bookmarkEnd w:id="697"/>
      <w:bookmarkEnd w:id="698"/>
      <w:bookmarkEnd w:id="699"/>
      <w:bookmarkEnd w:id="700"/>
      <w:r>
        <w:rPr>
          <w:lang w:val="es-ES"/>
        </w:rPr>
        <w:t xml:space="preserve">. </w:t>
      </w:r>
      <w:r>
        <w:rPr>
          <w:lang w:val="en-US"/>
        </w:rPr>
        <w:t xml:space="preserve">En </w:t>
      </w:r>
      <w:r>
        <w:fldChar w:fldCharType="begin"/>
      </w:r>
      <w:r>
        <w:instrText>ADDIN ZOTERO_ITEM CSL_CITATION {"citationID":"enXpsUmc","properties":{"formattedCitation":"(Wilbik et\\uc0\\u160{}al. 2018)","plainCitation":"(Wilbik et al. 2018)","noteIndex":0},"citationItems":[{"id":"NJclqhNX/FD4ZOc26","uris":["http://zotero.org/users/local/rsuvzjK6/items/DG2G3LYW"],"uri":["http://zotero.org/users/local/rsuvzjK6/items/DG2G3LYW"],"itemData":{"id":3270,"type":"paper-conference","abstract":"Clinical protocols are introduced in hospitals to standardize the care delivery process. Compliance is a measure used to determine whether the protocol has been followed. However compliance measures do not provide enough insight to be used in daily practice. In this paper we propose to use linguistic summaries to analyze the compliance to clinical protocols. As our case we examine a glucose management protocol at ICU. We will demonstrate that linguistic summaries can provide insight, that is actionable and comprehensible by the health-care providers.","container-title":"2018 IEEE International Conference on Fuzzy Systems (FUZZ-IEEE)","DOI":"10.1109/FUZZ-IEEE.2018.8491449","page":"1–7","title":"Linguistic Summaries for Compliance Analysis of a Glucose Management Clinical Protocol","author":[{"family":"Wilbik","given":"Anna"},{"family":"Vanderfeesten","given":"Irene"},{"family":"Bergmans","given":"Dennis"},{"family":"Heines","given":"Serge"},{"family":"Mook","given":"Walther","dropping-particle":"van"}],"issued":{"date-parts":[["2018",7]]}}}],"schema":"https://github.com/citation-style-language/schema/raw/master/csl-citation.json"}</w:instrText>
      </w:r>
      <w:r>
        <w:fldChar w:fldCharType="separate"/>
      </w:r>
      <w:bookmarkStart w:id="701" w:name="__Fieldmark__5505_2067855929"/>
      <w:r>
        <w:rPr>
          <w:lang w:val="en-US"/>
        </w:rPr>
      </w:r>
      <w:r>
        <w:rPr>
          <w:rFonts w:cs="Arial"/>
          <w:szCs w:val="24"/>
          <w:lang w:val="en-US"/>
        </w:rPr>
        <w:t>(</w:t>
      </w:r>
      <w:bookmarkStart w:id="702" w:name="__Fieldmark__4644_498839314"/>
      <w:r>
        <w:rPr>
          <w:rFonts w:cs="Arial"/>
          <w:szCs w:val="24"/>
          <w:lang w:val="en-US"/>
        </w:rPr>
        <w:t>W</w:t>
      </w:r>
      <w:bookmarkStart w:id="703" w:name="__Fieldmark__4045_998588997"/>
      <w:r>
        <w:rPr>
          <w:rFonts w:cs="Arial"/>
          <w:szCs w:val="24"/>
          <w:lang w:val="en-US"/>
        </w:rPr>
        <w:t>i</w:t>
      </w:r>
      <w:bookmarkStart w:id="704" w:name="__Fieldmark__6672_118561941"/>
      <w:r>
        <w:rPr>
          <w:rFonts w:cs="Arial"/>
          <w:szCs w:val="24"/>
          <w:lang w:val="en-US"/>
        </w:rPr>
        <w:t>lbik et al. 2018)</w:t>
      </w:r>
      <w:r>
        <w:rPr>
          <w:lang w:val="en-US"/>
        </w:rPr>
      </w:r>
      <w:r>
        <w:fldChar w:fldCharType="end"/>
      </w:r>
      <w:bookmarkEnd w:id="701"/>
      <w:bookmarkEnd w:id="702"/>
      <w:bookmarkEnd w:id="703"/>
      <w:bookmarkEnd w:id="704"/>
      <w:r>
        <w:rPr>
          <w:lang w:val="es-ES"/>
        </w:rPr>
        <w:t xml:space="preserve"> </w:t>
      </w:r>
      <w:r>
        <w:rPr>
          <w:lang w:val="en-US"/>
        </w:rPr>
        <w:t xml:space="preserve">proponen utilizar los resúmenes lingüísticos para analizar el cumplimiento de los protocolos clínicos, en este estudio los autores demuestran que los resúmenes lingüísticos pueden proporcionar información comprensible para el personal médico. Otra investigación realizada en este sentido es </w:t>
      </w:r>
      <w:r>
        <w:fldChar w:fldCharType="begin"/>
      </w:r>
      <w:r>
        <w:instrText>ADDIN ZOTERO_ITEM CSL_CITATION {"citationID":"1WUMqdFk","properties":{"formattedCitation":"(Pel\\uc0\\u225{}ez-Aguilera et\\uc0\\u160{}al. 2019)","plainCitation":"(Peláez-Aguilera et al. 2019)","noteIndex":0},"citationItems":[{"id":"NJclqhNX/5UqkzAsn","uris":["http://zotero.org/users/local/rsuvzjK6/items/FBBJLLBV"],"uri":["http://zotero.org/users/local/rsuvzjK6/items/FBBJLLBV"],"itemData":{"id":3249,"type":"article-journal","container-title":"Hindawi","DOI":"0.1155/2019/2694126","page":"11","title":"Fuzzy Linguistic Protoforms to Summarize Heart Rate Streams of Patients with Ischemic Heart Disease","volume":"2019","author":[{"family":"Peláez-Aguilera","given":"María Dolores"},{"family":"Espinilla","given":"Macarena"},{"family":"Fernández","given":"M. R."},{"family":"Medina","given":"Javier"}],"issued":{"date-parts":[["2019"]]}}}],"schema":"https://github.com/citation-style-language/schema/raw/master/csl-citation.json"}</w:instrText>
      </w:r>
      <w:r>
        <w:fldChar w:fldCharType="separate"/>
      </w:r>
      <w:bookmarkStart w:id="705" w:name="__Fieldmark__5522_2067855929"/>
      <w:r>
        <w:rPr>
          <w:lang w:val="en-US"/>
        </w:rPr>
      </w:r>
      <w:r>
        <w:rPr>
          <w:rFonts w:cs="Arial"/>
          <w:szCs w:val="24"/>
          <w:lang w:val="en-US"/>
        </w:rPr>
        <w:t>(</w:t>
      </w:r>
      <w:bookmarkStart w:id="706" w:name="__Fieldmark__4656_498839314"/>
      <w:r>
        <w:rPr>
          <w:rFonts w:cs="Arial"/>
          <w:szCs w:val="24"/>
          <w:lang w:val="en-US"/>
        </w:rPr>
        <w:t>P</w:t>
      </w:r>
      <w:bookmarkStart w:id="707" w:name="__Fieldmark__4053_998588997"/>
      <w:r>
        <w:rPr>
          <w:rFonts w:cs="Arial"/>
          <w:szCs w:val="24"/>
          <w:lang w:val="en-US"/>
        </w:rPr>
        <w:t>e</w:t>
      </w:r>
      <w:bookmarkStart w:id="708" w:name="__Fieldmark__6682_118561941"/>
      <w:r>
        <w:rPr>
          <w:rFonts w:cs="Arial"/>
          <w:szCs w:val="24"/>
          <w:lang w:val="en-US"/>
        </w:rPr>
        <w:t>láez-Aguilera et al. 2019)</w:t>
      </w:r>
      <w:r>
        <w:rPr>
          <w:lang w:val="en-US"/>
        </w:rPr>
      </w:r>
      <w:r>
        <w:fldChar w:fldCharType="end"/>
      </w:r>
      <w:bookmarkEnd w:id="705"/>
      <w:bookmarkEnd w:id="706"/>
      <w:bookmarkEnd w:id="707"/>
      <w:bookmarkEnd w:id="708"/>
      <w:r>
        <w:rPr>
          <w:lang w:val="en-US"/>
        </w:rPr>
        <w:t xml:space="preserve">, donde los resúmenes son aplicados a datos proporcionados por pacientes de un programa de rehabilitación cardíaca; en este caso presentan una metodología para evaluar los flujos de frecuencia cardíaca de pacientes con cardiopatía isquémica utilizando un enfoque lingüístico, donde las variables utilizadas para la conformación de los resúmenes constituyen métricas de interés identificados por el equipo de rehabilitación cardíaca. En </w:t>
      </w:r>
      <w:r>
        <w:fldChar w:fldCharType="begin"/>
      </w:r>
      <w:r>
        <w:instrText>ADDIN ZOTERO_ITEM CSL_CITATION {"citationID":"WgEf8pLI","properties":{"formattedCitation":"(Kaczmarek-Majer et\\uc0\\u160{}al. 2019)","plainCitation":"(Kaczmarek-Majer et al. 2019)","noteIndex":0},"citationItems":[{"id":"NJclqhNX/dqnG33mX","uris":["http://zotero.org/users/local/rsuvzjK6/items/Z2YPXP9K"],"uri":["http://zotero.org/users/local/rsuvzjK6/items/Z2YPXP9K"],"itemData":{"id":3250,"type":"paper-conference","abstract":"Personalized linguistic summaries are developed with the use of protoforms in the sense of Yager and Kacprzyk. We discuss the construction and usefulness of such patient-dependent and disease-state-dependent linguistic summaries that may be examplified as `Most outgoing calls in mania state (disease period) are short compared to the calls recorded in...","DOI":"10.2991/eusflat-19.2019.56","ISBN":"978-94-6252-770-6","language":"en","publisher":"Atlantis Press","title":"Personalized linguistic summaries in smartphone-based monitoring of bipolar disorder patients","URL":"https://www.atlantis-press.com/proceedings/eusflat-19/125914826","author":[{"family":"Kaczmarek-Majer","given":"Katarzyna"},{"family":"Hryniewicz","given":"Olgierd"},{"family":"Dominiak","given":"Monika"},{"family":"Święcicki","given":"Łukasz"}],"accessed":{"date-parts":[["2019",12,11]]},"issued":{"date-parts":[["2019",8]]}}}],"schema":"https://github.com/citation-style-language/schema/raw/master/csl-citation.json"}</w:instrText>
      </w:r>
      <w:r>
        <w:fldChar w:fldCharType="separate"/>
      </w:r>
      <w:bookmarkStart w:id="709" w:name="__Fieldmark__5539_2067855929"/>
      <w:r>
        <w:rPr>
          <w:lang w:val="en-US"/>
        </w:rPr>
      </w:r>
      <w:r>
        <w:rPr>
          <w:rFonts w:cs="Arial"/>
          <w:szCs w:val="24"/>
          <w:lang w:val="en-US"/>
        </w:rPr>
        <w:t>(</w:t>
      </w:r>
      <w:bookmarkStart w:id="710" w:name="__Fieldmark__4667_498839314"/>
      <w:r>
        <w:rPr>
          <w:rFonts w:cs="Arial"/>
          <w:szCs w:val="24"/>
          <w:lang w:val="en-US"/>
        </w:rPr>
        <w:t>K</w:t>
      </w:r>
      <w:bookmarkStart w:id="711" w:name="__Fieldmark__4060_998588997"/>
      <w:r>
        <w:rPr>
          <w:rFonts w:cs="Arial"/>
          <w:szCs w:val="24"/>
          <w:lang w:val="en-US"/>
        </w:rPr>
        <w:t>a</w:t>
      </w:r>
      <w:bookmarkStart w:id="712" w:name="__Fieldmark__6693_118561941"/>
      <w:r>
        <w:rPr>
          <w:rFonts w:cs="Arial"/>
          <w:szCs w:val="24"/>
          <w:lang w:val="en-US"/>
        </w:rPr>
        <w:t>czmarek-Majer et al. 2019)</w:t>
      </w:r>
      <w:r>
        <w:rPr>
          <w:lang w:val="en-US"/>
        </w:rPr>
      </w:r>
      <w:r>
        <w:fldChar w:fldCharType="end"/>
      </w:r>
      <w:bookmarkEnd w:id="709"/>
      <w:bookmarkEnd w:id="710"/>
      <w:bookmarkEnd w:id="711"/>
      <w:bookmarkEnd w:id="712"/>
      <w:r>
        <w:rPr>
          <w:lang w:val="en-US"/>
        </w:rPr>
        <w:t xml:space="preserve"> se aplica al análisis de llamadas telefónicas de pacientes para identificar cambios en el comportamiento de pacientes con trastorno bipolar.</w:t>
      </w:r>
    </w:p>
    <w:p>
      <w:pPr>
        <w:pStyle w:val="ListParagraph"/>
        <w:numPr>
          <w:ilvl w:val="0"/>
          <w:numId w:val="20"/>
        </w:numPr>
        <w:rPr/>
      </w:pPr>
      <w:r>
        <w:rPr>
          <w:lang w:val="es-ES"/>
        </w:rPr>
        <w:t xml:space="preserve">En la meteorología: en </w:t>
      </w:r>
      <w:r>
        <w:fldChar w:fldCharType="begin"/>
      </w:r>
      <w:r>
        <w:instrText>ADDIN ZOTERO_ITEM CSL_CITATION {"citationID":"yGR082tz","properties":{"formattedCitation":"(Khedidja, Allel y Mohand 2020)","plainCitation":"(Khedidja, Allel y Mohand 2020)","noteIndex":0},"citationItems":[{"id":"NJclqhNX/CLlQlJMn","uris":["http://zotero.org/users/local/rsuvzjK6/items/94JGYQQP"],"uri":["http://zotero.org/users/local/rsuvzjK6/items/94JGYQQP"],"itemData":{"id":3319,"type":"article-journal","abstract":"The rapid and significant increase in the amount of sensor data to be processed requires the use of techniques to reduce the size of data in order to efficiently extract the relevant knowledge. In this paper, we present two approaches used to derive data summaries. The first one relies on linguistic quantifiers in the sense of Yager. The second one leverages the notion of the typical value of a data set. Then, we show our implementation of these two methods with some experiments conducted on different databases (real-flight data collected from the ADSB project and real data for smart city collected from neOCampus project). The comparative studies show the best approach w.r.t. execution time.","container-title":"International Journal of Computing and Digital Systems","DOI":"10.12785/ijcds/090505","ISSN":"2210-142X","issue":"5","page":"825–833","title":"Data Summarization for Sensor Data Management: Towards Computational-Intelligence-Based Approaches","volume":"9","author":[{"family":"Khedidja","given":"Boulanouar"},{"family":"Allel","given":"Hadjali"},{"family":"Mohand","given":"Lagha"}],"issued":{"date-parts":[["2020"]]}}}],"schema":"https://github.com/citation-style-language/schema/raw/master/csl-citation.json"}</w:instrText>
      </w:r>
      <w:r>
        <w:fldChar w:fldCharType="separate"/>
      </w:r>
      <w:bookmarkStart w:id="713" w:name="__Fieldmark__5556_2067855929"/>
      <w:r>
        <w:rPr>
          <w:lang w:val="es-ES"/>
        </w:rPr>
      </w:r>
      <w:r>
        <w:rPr>
          <w:rFonts w:cs="Arial"/>
          <w:lang w:val="es-ES"/>
        </w:rPr>
        <w:t>(</w:t>
      </w:r>
      <w:bookmarkStart w:id="714" w:name="__Fieldmark__4680_498839314"/>
      <w:r>
        <w:rPr>
          <w:rFonts w:cs="Arial"/>
          <w:lang w:val="es-ES"/>
        </w:rPr>
        <w:t>K</w:t>
      </w:r>
      <w:bookmarkStart w:id="715" w:name="__Fieldmark__4069_998588997"/>
      <w:r>
        <w:rPr>
          <w:rFonts w:cs="Arial"/>
          <w:lang w:val="es-ES"/>
        </w:rPr>
        <w:t>h</w:t>
      </w:r>
      <w:bookmarkStart w:id="716" w:name="__Fieldmark__6702_118561941"/>
      <w:r>
        <w:rPr>
          <w:rFonts w:cs="Arial"/>
          <w:lang w:val="es-ES"/>
        </w:rPr>
        <w:t>edidja, Allel y Mohand 2020)</w:t>
      </w:r>
      <w:r>
        <w:rPr>
          <w:lang w:val="es-ES"/>
        </w:rPr>
      </w:r>
      <w:r>
        <w:fldChar w:fldCharType="end"/>
      </w:r>
      <w:bookmarkEnd w:id="713"/>
      <w:bookmarkEnd w:id="714"/>
      <w:bookmarkEnd w:id="715"/>
      <w:bookmarkEnd w:id="716"/>
      <w:r>
        <w:rPr>
          <w:lang w:val="es-ES"/>
        </w:rPr>
        <w:t xml:space="preserve"> es aplicado a colecciones de temperaturas de una ciudad inteligente; en </w:t>
      </w:r>
      <w:r>
        <w:fldChar w:fldCharType="begin"/>
      </w:r>
      <w:r>
        <w:instrText>ADDIN ZOTERO_ITEM CSL_CITATION {"citationID":"WZgxruV0","properties":{"formattedCitation":"(Ramos-Soto y Martin-Rodillab 2019)","plainCitation":"(Ramos-Soto y Martin-Rodillab 2019)","noteIndex":0},"citationItems":[{"id":"NJclqhNX/pcBT0Go8","uris":["http://zotero.org/users/local/rsuvzjK6/items/2C5NWUAX"],"uri":["http://zotero.org/users/local/rsuvzjK6/items/2C5NWUAX"],"itemData":{"id":3288,"type":"article-journal","abstract":"One of the current limitations of fuzzy linguistic descriptions of data is the lack of diversity of protoforms that can be used to linguistically summarize data. Despite an important effort in providing protoforms with improved semantics that are applicable to time series data or specific application domains, type-I and type-II fuzzy quantified sentences are still predominant in the literature. In this context, we propose a different approach for defining new types of protoforms. Instead of understanding protoforms as individual primitives, our proposal draws inspiration from Rhetorical Structure Theory to provide a framework that allows to define new types of complex protoforms based on semantic relations among simpler protoforms. Based on this framework, we propose an initial taxonomy of relations among protoforms and provide an illustrative use case based on real data and evaluated by human users.","container-title":"Fuzzy Sets and Systems","DOI":"10.1016/j.fss.2019.11.013","page":"26","title":"Enriching linguistic descriptions of data: A framework for composite protoforms","author":[{"family":"Ramos-Soto","given":"A."},{"family":"Martin-Rodillab","given":"P."}],"issued":{"date-parts":[["2019"]]}}}],"schema":"https://github.com/citation-style-language/schema/raw/master/csl-citation.json"}</w:instrText>
      </w:r>
      <w:r>
        <w:fldChar w:fldCharType="separate"/>
      </w:r>
      <w:bookmarkStart w:id="717" w:name="__Fieldmark__5571_2067855929"/>
      <w:r>
        <w:rPr>
          <w:lang w:val="es-ES"/>
        </w:rPr>
      </w:r>
      <w:r>
        <w:rPr>
          <w:rFonts w:cs="Arial"/>
          <w:lang w:val="es-ES"/>
        </w:rPr>
        <w:t>(</w:t>
      </w:r>
      <w:bookmarkStart w:id="718" w:name="__Fieldmark__4691_498839314"/>
      <w:r>
        <w:rPr>
          <w:rFonts w:cs="Arial"/>
          <w:lang w:val="es-ES"/>
        </w:rPr>
        <w:t>R</w:t>
      </w:r>
      <w:bookmarkStart w:id="719" w:name="__Fieldmark__4076_998588997"/>
      <w:r>
        <w:rPr>
          <w:rFonts w:cs="Arial"/>
          <w:lang w:val="es-ES"/>
        </w:rPr>
        <w:t>a</w:t>
      </w:r>
      <w:bookmarkStart w:id="720" w:name="__Fieldmark__6709_118561941"/>
      <w:r>
        <w:rPr>
          <w:rFonts w:cs="Arial"/>
          <w:lang w:val="es-ES"/>
        </w:rPr>
        <w:t>mos-Soto y Martin-Rodillab 2019)</w:t>
      </w:r>
      <w:r>
        <w:rPr>
          <w:lang w:val="es-ES"/>
        </w:rPr>
      </w:r>
      <w:r>
        <w:fldChar w:fldCharType="end"/>
      </w:r>
      <w:bookmarkEnd w:id="717"/>
      <w:bookmarkEnd w:id="718"/>
      <w:bookmarkEnd w:id="719"/>
      <w:bookmarkEnd w:id="720"/>
      <w:r>
        <w:rPr>
          <w:lang w:val="es-ES"/>
        </w:rPr>
        <w:t xml:space="preserve"> es aplicado a datos sobre observaciones del tiempo (temperatura) de 15 estaciones meteorológicas de Galicia; en </w:t>
      </w:r>
      <w:r>
        <w:fldChar w:fldCharType="begin"/>
      </w:r>
      <w:r>
        <w:instrText>ADDIN ZOTERO_ITEM CSL_CITATION {"citationID":"QU3LMx56","properties":{"formattedCitation":"(Heble-Lahera et\\uc0\\u160{}al. 2020)","plainCitation":"(Heble-Lahera et al. 2020)","noteIndex":0},"citationItems":[{"id":"NJclqhNX/KhWUi7gR","uris":["http://zotero.org/users/local/rsuvzjK6/items/F6ABM5BP"],"uri":["http://zotero.org/users/local/rsuvzjK6/items/F6ABM5BP"],"itemData":{"id":3324,"type":"paper-conference","abstract":"In this work we present an experimental comparison of six widely used quantification methods (Zadeh's scalar and fuzzy cardinality, Yager's OWA, Delgado's GD, Sugeno integral and Vila's VQ) when evaluating Type-1 and Type-2 linguistic descriptions of data generated from meteorological data provided by the Galician Meteorological Agency MeteoGalicia. The objective of this study is to evaluate if there are significant differences among these models for the data considered. We ranked the generated descriptions based on their degree of truth for each quantification model and we analyzed those results calculating the Pearson correlation coefficient. Results show that there are not significant differences in the models when evaluating Type-1 descriptions. However, in Type-2 evaluation the methods can be grouped in three clusters with a significantly different behavior among them: i) Zadeh's scalar cardinality, Delgado's GD and Zadeh's fuzzy cardinality, ii) Yager's method and iii) Vila's VQ.","container-title":"2020 IEEE International Conference on Fuzzy Systems (FUZZ-IEEE)","DOI":"10.1109/FUZZ48607.2020.9177716","ISBN":"978-1-72816-933-0","page":"1–7","publisher":"IEEE","title":"Empirical study of fuzzy quantification models for linguistic descriptions of meteorological data","author":[{"family":"Heble-Lahera","given":"Carlos"},{"family":"Cascallar-Fuentes","given":"Andrea"},{"family":"Ramos-Soto","given":"Alejandro"},{"family":"Diz","given":"Alberto Bugarín"}],"issued":{"date-parts":[["2020"]]}}}],"schema":"https://github.com/citation-style-language/schema/raw/master/csl-citation.json"}</w:instrText>
      </w:r>
      <w:r>
        <w:fldChar w:fldCharType="separate"/>
      </w:r>
      <w:bookmarkStart w:id="721" w:name="__Fieldmark__5587_2067855929"/>
      <w:r>
        <w:rPr>
          <w:lang w:val="es-ES"/>
        </w:rPr>
      </w:r>
      <w:r>
        <w:rPr>
          <w:rFonts w:cs="Arial"/>
          <w:szCs w:val="24"/>
          <w:lang w:val="es-ES"/>
        </w:rPr>
        <w:t>(</w:t>
      </w:r>
      <w:bookmarkStart w:id="722" w:name="__Fieldmark__4702_498839314"/>
      <w:r>
        <w:rPr>
          <w:rFonts w:cs="Arial"/>
          <w:szCs w:val="24"/>
          <w:lang w:val="es-ES"/>
        </w:rPr>
        <w:t>H</w:t>
      </w:r>
      <w:bookmarkStart w:id="723" w:name="__Fieldmark__4083_998588997"/>
      <w:r>
        <w:rPr>
          <w:rFonts w:cs="Arial"/>
          <w:szCs w:val="24"/>
          <w:lang w:val="es-ES"/>
        </w:rPr>
        <w:t>e</w:t>
      </w:r>
      <w:bookmarkStart w:id="724" w:name="__Fieldmark__6720_118561941"/>
      <w:r>
        <w:rPr>
          <w:rFonts w:cs="Arial"/>
          <w:szCs w:val="24"/>
          <w:lang w:val="es-ES"/>
        </w:rPr>
        <w:t>ble-Lahera et al. 2020)</w:t>
      </w:r>
      <w:r>
        <w:rPr>
          <w:lang w:val="es-ES"/>
        </w:rPr>
      </w:r>
      <w:r>
        <w:fldChar w:fldCharType="end"/>
      </w:r>
      <w:bookmarkEnd w:id="721"/>
      <w:bookmarkEnd w:id="722"/>
      <w:bookmarkEnd w:id="723"/>
      <w:bookmarkEnd w:id="724"/>
      <w:r>
        <w:rPr>
          <w:lang w:val="es-ES"/>
        </w:rPr>
        <w:t xml:space="preserve"> son datos de observaciones del tiempo (estado del cielo, viento y temperatura) de la Agencia Meteorológica de Galicia MeteoGalicia.</w:t>
      </w:r>
    </w:p>
    <w:p>
      <w:pPr>
        <w:pStyle w:val="ListParagraph"/>
        <w:numPr>
          <w:ilvl w:val="0"/>
          <w:numId w:val="20"/>
        </w:numPr>
        <w:spacing w:lineRule="auto" w:line="360" w:before="0" w:after="0"/>
        <w:rPr/>
      </w:pPr>
      <w:r>
        <w:rPr>
          <w:rFonts w:cs="Arial"/>
          <w:szCs w:val="24"/>
          <w:lang w:val="es-ES"/>
        </w:rPr>
        <w:t xml:space="preserve">En la agricultura como </w:t>
      </w:r>
      <w:r>
        <w:fldChar w:fldCharType="begin"/>
      </w:r>
      <w:r>
        <w:instrText>ADDIN ZOTERO_ITEM CSL_CITATION {"citationID":"GoOcAYED","properties":{"formattedCitation":"(Rojas Valenzuela 2018)","plainCitation":"(Rojas Valenzuela 2018)","noteIndex":0},"citationItems":[{"id":"NJclqhNX/aF0BzUAd","uris":["http://zotero.org/users/local/rsuvzjK6/items/PIE6SYYJ"],"uri":["http://zotero.org/users/local/rsuvzjK6/items/PIE6SYYJ"],"itemData":{"id":2117,"type":"thesis","event-place":"Santiago, Chile","genre":"Tesis","number-of-pages":"83","publisher":"Universidad Técnica Federico Santa María, Departamento de Informática","publisher-place":"Santiago, Chile","title":"Resúmenes lingüísticos para riego de cultivos","URL":"https://repositorio.usm.cl","author":[{"family":"Rojas Valenzuela","given":"Álvaro Rodrigo"}],"issued":{"date-parts":[["2018"]]}}}],"schema":"https://github.com/citation-style-language/schema/raw/master/csl-citation.json"}</w:instrText>
      </w:r>
      <w:r>
        <w:fldChar w:fldCharType="separate"/>
      </w:r>
      <w:bookmarkStart w:id="725" w:name="__Fieldmark__5606_2067855929"/>
      <w:r>
        <w:rPr>
          <w:rFonts w:cs="Arial"/>
          <w:szCs w:val="24"/>
          <w:lang w:val="es-ES"/>
        </w:rPr>
        <w:t>(</w:t>
      </w:r>
      <w:bookmarkStart w:id="726" w:name="__Fieldmark__4715_498839314"/>
      <w:r>
        <w:rPr>
          <w:rFonts w:cs="Arial"/>
          <w:szCs w:val="24"/>
          <w:lang w:val="es-ES"/>
        </w:rPr>
        <w:t>R</w:t>
      </w:r>
      <w:bookmarkStart w:id="727" w:name="__Fieldmark__4092_998588997"/>
      <w:r>
        <w:rPr>
          <w:rFonts w:cs="Arial"/>
          <w:szCs w:val="24"/>
          <w:lang w:val="es-ES"/>
        </w:rPr>
        <w:t>o</w:t>
      </w:r>
      <w:bookmarkStart w:id="728" w:name="__Fieldmark__6730_118561941"/>
      <w:r>
        <w:rPr>
          <w:rFonts w:cs="Arial"/>
          <w:szCs w:val="24"/>
          <w:lang w:val="es-ES"/>
        </w:rPr>
        <w:t>jas Valenzuela 2018)</w:t>
      </w:r>
      <w:r>
        <w:rPr>
          <w:rFonts w:cs="Arial"/>
          <w:szCs w:val="24"/>
          <w:lang w:val="es-ES"/>
        </w:rPr>
      </w:r>
      <w:r>
        <w:fldChar w:fldCharType="end"/>
      </w:r>
      <w:bookmarkEnd w:id="725"/>
      <w:bookmarkEnd w:id="726"/>
      <w:bookmarkEnd w:id="727"/>
      <w:bookmarkEnd w:id="728"/>
      <w:r>
        <w:rPr>
          <w:rFonts w:cs="Arial"/>
          <w:szCs w:val="24"/>
          <w:lang w:val="es-ES"/>
        </w:rPr>
        <w:t>, donde se plantea desarrollar un algoritmo generador de resúmenes lingüísticos para desplegar información relevante de cultivos de paltos, proporcionada por los sensores de humedad instalados en la zona cultivada.</w:t>
      </w:r>
    </w:p>
    <w:p>
      <w:pPr>
        <w:pStyle w:val="ListParagraph"/>
        <w:numPr>
          <w:ilvl w:val="0"/>
          <w:numId w:val="20"/>
        </w:numPr>
        <w:spacing w:lineRule="auto" w:line="360" w:before="0" w:after="0"/>
        <w:rPr/>
      </w:pPr>
      <w:r>
        <w:rPr>
          <w:rFonts w:cs="Arial"/>
          <w:szCs w:val="24"/>
          <w:lang w:val="es-ES"/>
        </w:rPr>
        <w:t>En la industria: e</w:t>
      </w:r>
      <w:r>
        <w:rPr>
          <w:lang w:val="es-ES"/>
        </w:rPr>
        <w:t xml:space="preserve">n </w:t>
      </w:r>
      <w:r>
        <w:fldChar w:fldCharType="begin"/>
      </w:r>
      <w:r>
        <w:instrText>ADDIN ZOTERO_ITEM CSL_CITATION {"citationID":"a16gqcn6mau","properties":{"formattedCitation":"(Donis-D\\uc0\\u237{}az, Muro, et\\uc0\\u160{}al. 2014)","plainCitation":"(Donis-Díaz, Muro, et al. 2014)","noteIndex":0},"citationItems":[{"id":3152,"uris":["http://zotero.org/users/local/EJ15hJE2/items/AV3MBLF8"],"uri":["http://zotero.org/users/local/EJ15hJE2/items/AV3MBLF8"],"itemData":{"id":3152,"type":"article-journal","abstract":"A hybrid model of Genetic Algorithm (GA) with local search to discover linguistic summaries and its application into the creep data analysis is proposed in this paper. Two specifics operator and a called Diversity term in the fitness function are introduced by the model to guarantees summaries with high quality and a wide range of information respectively. The experiments show that the hybrid model improves the results compared to those obtained using the classical model of GA. The quality of the summaries was verified by the interpretation of some of them from the theoretical point of view.","container-title":"Expert Systems with Applications","DOI":"10.1016/j.eswa.2013.09.002","ISSN":"0957-4174","issue":"4, Part 2","language":"en","page":"2035–2042","title":"A hybrid model of genetic algorithm with local search to discover linguistic data summaries from creep data","volume":"41","author":[{"family":"Donis-Díaz","given":"C. A."},{"family":"Muro","given":"A. G."},{"family":"Bello-Pérez","given":"R."},{"family":"Morales","given":"E. V."}],"issued":{"date-parts":[["2014",3]]}}}],"schema":"https://github.com/citation-style-language/schema/raw/master/csl-citation.json"}</w:instrText>
      </w:r>
      <w:r>
        <w:fldChar w:fldCharType="separate"/>
      </w:r>
      <w:bookmarkStart w:id="729" w:name="__Fieldmark__5625_2067855929"/>
      <w:r>
        <w:rPr>
          <w:lang w:val="es-ES"/>
        </w:rPr>
      </w:r>
      <w:r>
        <w:rPr>
          <w:rFonts w:cs="Arial"/>
          <w:szCs w:val="24"/>
          <w:lang w:val="es-ES"/>
        </w:rPr>
        <w:t>(</w:t>
      </w:r>
      <w:bookmarkStart w:id="730" w:name="__Fieldmark__4729_498839314"/>
      <w:r>
        <w:rPr>
          <w:rFonts w:cs="Arial"/>
          <w:szCs w:val="24"/>
          <w:lang w:val="es-ES"/>
        </w:rPr>
        <w:t>D</w:t>
      </w:r>
      <w:bookmarkStart w:id="731" w:name="__Fieldmark__4102_998588997"/>
      <w:r>
        <w:rPr>
          <w:rFonts w:cs="Arial"/>
          <w:szCs w:val="24"/>
          <w:lang w:val="es-ES"/>
        </w:rPr>
        <w:t>o</w:t>
      </w:r>
      <w:bookmarkStart w:id="732" w:name="__Fieldmark__6744_118561941"/>
      <w:r>
        <w:rPr>
          <w:rFonts w:cs="Arial"/>
          <w:szCs w:val="24"/>
          <w:lang w:val="es-ES"/>
        </w:rPr>
        <w:t>nis-Díaz, Muro, et al. 2014)</w:t>
      </w:r>
      <w:r>
        <w:rPr>
          <w:lang w:val="es-ES"/>
        </w:rPr>
      </w:r>
      <w:r>
        <w:fldChar w:fldCharType="end"/>
      </w:r>
      <w:bookmarkEnd w:id="729"/>
      <w:bookmarkEnd w:id="730"/>
      <w:bookmarkEnd w:id="731"/>
      <w:bookmarkEnd w:id="732"/>
      <w:r>
        <w:rPr>
          <w:lang w:val="es-ES"/>
        </w:rPr>
        <w:t xml:space="preserve"> Donis-Díaz, Bello y Morales lo aplican a datos de tensión de rotura por fluencia. Esta es una de las propiedades mecánicas más importantes consideradas en el diseño de nuevos aceros utilizados en las industrias aeronáutica, energética y petroquímica. Mide el nivel de estrés en el que falla la estructura de acero cuando se expone a condiciones bastante agresivas (como altas temperaturas del vapor) durante períodos de tiempo de hasta 30 años. Por otra parte, en </w:t>
      </w:r>
      <w:r>
        <w:fldChar w:fldCharType="begin"/>
      </w:r>
      <w:r>
        <w:instrText>ADDIN ZOTERO_ITEM CSL_CITATION {"citationID":"IJAMdig3","properties":{"formattedCitation":"(Hudec, Bedn\\uc0\\u225{}rov\\uc0\\u225{} y Holzinger 2018)","plainCitation":"(Hudec, Bednárová y Holzinger 2018)","noteIndex":0},"citationItems":[{"id":"NJclqhNX/f3P2xcAA","uris":["http://zotero.org/users/local/rsuvzjK6/items/JNUL8JAG"],"uri":["http://zotero.org/users/local/rsuvzjK6/items/JNUL8JAG"],"itemData":{"id":3255,"type":"article-journal","container-title":"Journal of Official Statistics","DOI":"10.2478/jos-2018-0048","issue":"4","language":"en","page":"981–1010","title":"Augmenting Statistical Data Dissemination by Short Quantified Sentences of Natural Language","volume":"34","author":[{"family":"Hudec","given":"Miroslav"},{"family":"Bednárová","given":"Erika"},{"family":"Holzinger","given":"Andreas"}],"issued":{"date-parts":[["2018",12]]}}}],"schema":"https://github.com/citation-style-language/schema/raw/master/csl-citation.json"}</w:instrText>
      </w:r>
      <w:r>
        <w:fldChar w:fldCharType="separate"/>
      </w:r>
      <w:bookmarkStart w:id="733" w:name="__Fieldmark__5643_2067855929"/>
      <w:r>
        <w:rPr>
          <w:lang w:val="es-ES"/>
        </w:rPr>
      </w:r>
      <w:r>
        <w:rPr>
          <w:rFonts w:cs="Arial"/>
          <w:szCs w:val="24"/>
          <w:lang w:val="es-ES"/>
        </w:rPr>
        <w:t>(</w:t>
      </w:r>
      <w:bookmarkStart w:id="734" w:name="__Fieldmark__4740_498839314"/>
      <w:r>
        <w:rPr>
          <w:rFonts w:cs="Arial"/>
          <w:szCs w:val="24"/>
          <w:lang w:val="es-ES"/>
        </w:rPr>
        <w:t>H</w:t>
      </w:r>
      <w:bookmarkStart w:id="735" w:name="__Fieldmark__4109_998588997"/>
      <w:r>
        <w:rPr>
          <w:rFonts w:cs="Arial"/>
          <w:szCs w:val="24"/>
          <w:lang w:val="es-ES"/>
        </w:rPr>
        <w:t>u</w:t>
      </w:r>
      <w:bookmarkStart w:id="736" w:name="__Fieldmark__6753_118561941"/>
      <w:r>
        <w:rPr>
          <w:rFonts w:cs="Arial"/>
          <w:szCs w:val="24"/>
          <w:lang w:val="es-ES"/>
        </w:rPr>
        <w:t>dec, Bednárová y Holzinger 2018)</w:t>
      </w:r>
      <w:r>
        <w:rPr>
          <w:lang w:val="es-ES"/>
        </w:rPr>
      </w:r>
      <w:r>
        <w:fldChar w:fldCharType="end"/>
      </w:r>
      <w:bookmarkEnd w:id="733"/>
      <w:bookmarkEnd w:id="734"/>
      <w:bookmarkEnd w:id="735"/>
      <w:bookmarkEnd w:id="736"/>
      <w:r>
        <w:rPr>
          <w:rFonts w:cs="Arial"/>
          <w:szCs w:val="24"/>
          <w:lang w:val="es-ES"/>
        </w:rPr>
        <w:t xml:space="preserve"> se generan resúmenes a datos sobre contaminación por 30 días en dos distritos.</w:t>
      </w:r>
    </w:p>
    <w:p>
      <w:pPr>
        <w:pStyle w:val="ListParagraph"/>
        <w:numPr>
          <w:ilvl w:val="0"/>
          <w:numId w:val="20"/>
        </w:numPr>
        <w:rPr>
          <w:lang w:val="es-ES"/>
        </w:rPr>
      </w:pPr>
      <w:r>
        <w:rPr>
          <w:rFonts w:cs="Arial"/>
          <w:szCs w:val="24"/>
          <w:lang w:val="es-ES"/>
        </w:rPr>
        <w:t xml:space="preserve">En gestión de patentes: </w:t>
      </w:r>
      <w:r>
        <w:rPr>
          <w:lang w:val="es-ES"/>
        </w:rPr>
        <w:t xml:space="preserve">en </w:t>
      </w:r>
      <w:r>
        <w:fldChar w:fldCharType="begin"/>
      </w:r>
      <w:r>
        <w:instrText>ADDIN ZOTERO_ITEM CSL_CITATION {"citationID":"jPL8D65a","properties":{"formattedCitation":"(Igde et\\uc0\\u160{}al. 2017)","plainCitation":"(Igde et al. 2017)","noteIndex":0},"citationItems":[{"id":"NJclqhNX/1g9Mba5C","uris":["http://zotero.org/users/local/rsuvzjK6/items/896F7NIB"],"uri":["http://zotero.org/users/local/rsuvzjK6/items/896F7NIB"],"itemData":{"id":3296,"type":"paper-conference","abstract":"Abstract—Patent data have an increasingly important role in economic growth, innovation, technical advantages and business strategies and even in countries competitions. Analyzing of patent data is crucial since patents cover large part of all technological information of the world. In this paper, we have used the linguistic summarization technique to prove the validity of the hypotheses related to patent data stated in the literature.","collection-title":"9","container-title":"International Scholarly and Scientific Research &amp; Innovation","page":"1062-1065","title":"Linguistic Summarization of Structured Patent Data","volume":"11","author":[{"family":"Igde","given":"E. Y."},{"family":"Aydoğan","given":"Sami"},{"family":"Boran","given":"Fatih Emre"},{"family":"Akay","given":"Diyar"}],"issued":{"date-parts":[["2017"]]}}}],"schema":"https://github.com/citation-style-language/schema/raw/master/csl-citation.json"}</w:instrText>
      </w:r>
      <w:r>
        <w:fldChar w:fldCharType="separate"/>
      </w:r>
      <w:bookmarkStart w:id="737" w:name="__Fieldmark__5661_2067855929"/>
      <w:r>
        <w:rPr>
          <w:lang w:val="es-ES"/>
        </w:rPr>
      </w:r>
      <w:r>
        <w:rPr>
          <w:rFonts w:cs="Arial"/>
          <w:szCs w:val="24"/>
          <w:lang w:val="es-ES"/>
        </w:rPr>
        <w:t>(</w:t>
      </w:r>
      <w:bookmarkStart w:id="738" w:name="__Fieldmark__4754_498839314"/>
      <w:r>
        <w:rPr>
          <w:rFonts w:cs="Arial"/>
          <w:szCs w:val="24"/>
          <w:lang w:val="es-ES"/>
        </w:rPr>
        <w:t>I</w:t>
      </w:r>
      <w:bookmarkStart w:id="739" w:name="__Fieldmark__4119_998588997"/>
      <w:r>
        <w:rPr>
          <w:rFonts w:cs="Arial"/>
          <w:szCs w:val="24"/>
          <w:lang w:val="es-ES"/>
        </w:rPr>
        <w:t>g</w:t>
      </w:r>
      <w:bookmarkStart w:id="740" w:name="__Fieldmark__6764_118561941"/>
      <w:r>
        <w:rPr>
          <w:rFonts w:cs="Arial"/>
          <w:szCs w:val="24"/>
          <w:lang w:val="es-ES"/>
        </w:rPr>
        <w:t>de et al. 2017)</w:t>
      </w:r>
      <w:r>
        <w:rPr>
          <w:lang w:val="es-ES"/>
        </w:rPr>
      </w:r>
      <w:r>
        <w:fldChar w:fldCharType="end"/>
      </w:r>
      <w:bookmarkEnd w:id="737"/>
      <w:bookmarkEnd w:id="738"/>
      <w:bookmarkEnd w:id="739"/>
      <w:bookmarkEnd w:id="740"/>
      <w:r>
        <w:rPr>
          <w:lang w:val="es-ES"/>
        </w:rPr>
        <w:t xml:space="preserve"> los autores generan resúmenes lingüísticos a datos relacionados con registros de patentes europeas, incluidos los códigos de Clasificación Internacional de Patentes (</w:t>
      </w:r>
      <w:r>
        <w:rPr>
          <w:i/>
          <w:lang w:val="es-ES"/>
        </w:rPr>
        <w:t>IPC: International Patent Classification</w:t>
      </w:r>
      <w:r>
        <w:rPr>
          <w:lang w:val="es-ES"/>
        </w:rPr>
        <w:t>) del sector de Tecnología de la Información y las Comunicaciones (</w:t>
      </w:r>
      <w:r>
        <w:rPr>
          <w:i/>
          <w:lang w:val="es-ES"/>
        </w:rPr>
        <w:t>TIC: Information and Communications Technology</w:t>
      </w:r>
      <w:r>
        <w:rPr>
          <w:lang w:val="es-ES"/>
        </w:rPr>
        <w:t>), publicados por la OCDE</w:t>
      </w:r>
      <w:r>
        <w:rPr>
          <w:rStyle w:val="FootnoteAnchor"/>
          <w:lang w:val="es-ES"/>
        </w:rPr>
        <w:footnoteReference w:id="6"/>
      </w:r>
      <w:r>
        <w:rPr>
          <w:lang w:val="es-ES"/>
        </w:rPr>
        <w:t xml:space="preserve"> y estructurados a partir de la base de datos en línea PATSTAT</w:t>
      </w:r>
      <w:r>
        <w:rPr>
          <w:rStyle w:val="FootnoteAnchor"/>
          <w:lang w:val="es-ES"/>
        </w:rPr>
        <w:footnoteReference w:id="7"/>
      </w:r>
      <w:r>
        <w:rPr>
          <w:lang w:val="es-ES"/>
        </w:rPr>
        <w:t>.</w:t>
      </w:r>
    </w:p>
    <w:p>
      <w:pPr>
        <w:pStyle w:val="ListParagraph"/>
        <w:numPr>
          <w:ilvl w:val="0"/>
          <w:numId w:val="20"/>
        </w:numPr>
        <w:rPr/>
      </w:pPr>
      <w:r>
        <w:rPr>
          <w:rFonts w:cs="Arial"/>
          <w:szCs w:val="24"/>
          <w:lang w:val="es-ES"/>
        </w:rPr>
        <w:t xml:space="preserve">Gestión del consenso o </w:t>
      </w:r>
      <w:r>
        <w:rPr>
          <w:lang w:val="es-ES"/>
        </w:rPr>
        <w:t xml:space="preserve">análisis de grupos: se usan para brindar a los moderadores informaciones relevantes acerca de los participantes y de los factores que influyen en el acuerdo o desacuerdo del grupo </w:t>
      </w:r>
      <w:r>
        <w:fldChar w:fldCharType="begin"/>
      </w:r>
      <w:r>
        <w:instrText>ADDIN ZOTERO_ITEM CSL_CITATION {"citationID":"9jkjdqcF","properties":{"formattedCitation":"(Kacprzyk y Zadro\\uc0\\u380{}ny 2018)","plainCitation":"(Kacprzyk y Zadrożny 2018)","noteIndex":0},"citationItems":[{"id":"NJclqhNX/pHv1R5BO","uris":["http://zotero.org/users/local/X7i2mGyy/items/HATFFJC5"],"uri":["http://zotero.org/users/local/X7i2mGyy/items/HATFFJC5"],"itemData":{"id":"ZpxC8qaD/YdKuZNX4","type":"chapter","container-title":"Soft Computing Applications for Group Decision-making and Consensus Modeling","page":"465–485","publisher":"Springer","title":"Reaching Consensus in a Group of Agents: Supporting a Moderator Run Process via Linguistic Summaries","author":[{"family":"Kacprzyk","given":"Janusz"},{"family":"Zadrożny","given":"S\\lawomir"}],"issued":{"date-parts":[["2018"]]}}}],"schema":"https://github.com/citation-style-language/schema/raw/master/csl-citation.json"}</w:instrText>
      </w:r>
      <w:r>
        <w:fldChar w:fldCharType="separate"/>
      </w:r>
      <w:bookmarkStart w:id="741" w:name="__Fieldmark__5702_2067855929"/>
      <w:r>
        <w:rPr>
          <w:lang w:val="es-ES"/>
        </w:rPr>
      </w:r>
      <w:r>
        <w:rPr>
          <w:rFonts w:cs="Arial"/>
          <w:szCs w:val="24"/>
          <w:lang w:val="es-ES"/>
        </w:rPr>
        <w:t>(</w:t>
      </w:r>
      <w:bookmarkStart w:id="742" w:name="__Fieldmark__4789_498839314"/>
      <w:r>
        <w:rPr>
          <w:rFonts w:cs="Arial"/>
          <w:szCs w:val="24"/>
          <w:lang w:val="es-ES"/>
        </w:rPr>
        <w:t>K</w:t>
      </w:r>
      <w:bookmarkStart w:id="743" w:name="__Fieldmark__4150_998588997"/>
      <w:r>
        <w:rPr>
          <w:rFonts w:cs="Arial"/>
          <w:szCs w:val="24"/>
          <w:lang w:val="es-ES"/>
        </w:rPr>
        <w:t>a</w:t>
      </w:r>
      <w:bookmarkStart w:id="744" w:name="__Fieldmark__6805_118561941"/>
      <w:r>
        <w:rPr>
          <w:rFonts w:cs="Arial"/>
          <w:szCs w:val="24"/>
          <w:lang w:val="es-ES"/>
        </w:rPr>
        <w:t>cprzyk y Zadrożny 2018)</w:t>
      </w:r>
      <w:r>
        <w:rPr>
          <w:lang w:val="es-ES"/>
        </w:rPr>
      </w:r>
      <w:r>
        <w:fldChar w:fldCharType="end"/>
      </w:r>
      <w:bookmarkEnd w:id="741"/>
      <w:bookmarkEnd w:id="742"/>
      <w:bookmarkEnd w:id="743"/>
      <w:bookmarkEnd w:id="744"/>
      <w:r>
        <w:rPr>
          <w:lang w:val="es-ES"/>
        </w:rPr>
        <w:t xml:space="preserve">, </w:t>
      </w:r>
      <w:r>
        <w:fldChar w:fldCharType="begin"/>
      </w:r>
      <w:r>
        <w:instrText>ADDIN ZOTERO_ITEM CSL_CITATION {"citationID":"a149ag46gh3","properties":{"formattedCitation":"(Kacprzyk y Zadro\\uc0\\u380{}ny 2016c)","plainCitation":"(Kacprzyk y Zadrożny 2016c)","noteIndex":0},"citationItems":[{"id":69,"uris":["http://zotero.org/users/local/EJ15hJE2/items/TSAHEMZM"],"uri":["http://zotero.org/users/local/EJ15hJE2/items/TSAHEMZM"],"itemData":{"id":69,"type":"paper-conference","abstract":"We propose a novel approach to the moderator supported consensus reaching process in a group of agents. We assume the agents' testimonies to be fuzzy preference relations, a fuzzy majority, and the concept of a degree of consensus meant as the degree to which, e.g., most of important agents agree as to almost all of relevant options. We use to handle fuzzy majorities Zadeh's calculus of linguistically quantified propositions. We propose a new concept of a (fuzzy sets of) consensory and dissensory agents, and use our approach of using linguistic data summaries for a comprehensive summarization of how the agents' testimonies look like, separately for the consensory and dissensory agents to obtain a deeper view that can be useful for the moderator to suggest the agents changes of specific preferences that could lead to a higher degree of consensus. An explicit inclusion of opinions of the consensory and dissensory agents is a reflection of a fairness type attitude of the moderator as opinions of all agents are accounted for.","container-title":"2016 IEEE International Conference on Fuzzy Systems (FUZZ-IEEE)","DOI":"10.1109/FUZZ-IEEE.2016.7737937","page":"1999–2006","title":"On a fairness type approach to consensus reaching support under fuzziness via linguistic summaries","author":[{"family":"Kacprzyk","given":"Janusz"},{"family":"Zadrożny","given":"Sławomir"}],"issued":{"date-parts":[["2016",7]]}}}],"schema":"https://github.com/citation-style-language/schema/raw/master/csl-citation.json"}</w:instrText>
      </w:r>
      <w:r>
        <w:fldChar w:fldCharType="separate"/>
      </w:r>
      <w:bookmarkStart w:id="745" w:name="__Fieldmark__5717_2067855929"/>
      <w:r>
        <w:rPr>
          <w:lang w:val="es-ES"/>
        </w:rPr>
      </w:r>
      <w:r>
        <w:rPr>
          <w:rFonts w:cs="Arial"/>
          <w:szCs w:val="24"/>
          <w:lang w:val="es-ES"/>
        </w:rPr>
        <w:t>(</w:t>
      </w:r>
      <w:bookmarkStart w:id="746" w:name="__Fieldmark__4800_498839314"/>
      <w:r>
        <w:rPr>
          <w:rFonts w:cs="Arial"/>
          <w:szCs w:val="24"/>
          <w:lang w:val="es-ES"/>
        </w:rPr>
        <w:t>K</w:t>
      </w:r>
      <w:bookmarkStart w:id="747" w:name="__Fieldmark__4157_998588997"/>
      <w:r>
        <w:rPr>
          <w:rFonts w:cs="Arial"/>
          <w:szCs w:val="24"/>
          <w:lang w:val="es-ES"/>
        </w:rPr>
        <w:t>a</w:t>
      </w:r>
      <w:bookmarkStart w:id="748" w:name="__Fieldmark__6811_118561941"/>
      <w:r>
        <w:rPr>
          <w:rFonts w:cs="Arial"/>
          <w:szCs w:val="24"/>
          <w:lang w:val="es-ES"/>
        </w:rPr>
        <w:t>cprzyk y Zadrożny 2016c)</w:t>
      </w:r>
      <w:r>
        <w:rPr>
          <w:lang w:val="es-ES"/>
        </w:rPr>
      </w:r>
      <w:r>
        <w:fldChar w:fldCharType="end"/>
      </w:r>
      <w:bookmarkEnd w:id="745"/>
      <w:bookmarkEnd w:id="746"/>
      <w:bookmarkEnd w:id="747"/>
      <w:bookmarkEnd w:id="748"/>
      <w:r>
        <w:rPr>
          <w:lang w:val="es-ES"/>
        </w:rPr>
        <w:t xml:space="preserve">. Otro trabajo también dedicado a intensiones de personas se presenta en </w:t>
      </w:r>
      <w:r>
        <w:fldChar w:fldCharType="begin"/>
      </w:r>
      <w:r>
        <w:instrText>ADDIN ZOTERO_ITEM CSL_CITATION {"citationID":"xcXJeywm","properties":{"formattedCitation":"(Kacprzyk, Yager y Merigo 2019)","plainCitation":"(Kacprzyk, Yager y Merigo 2019)","noteIndex":0},"citationItems":[{"id":"NJclqhNX/QQTJiM2N","uris":["http://zotero.org/users/local/X7i2mGyy/items/5D73ZLJG"],"uri":["http://zotero.org/users/local/X7i2mGyy/items/5D73ZLJG"],"itemData":{"id":"ZpxC8qaD/61jnKdZW","type":"article-journal","abstract":"This work presents a new perspective on how Zadeh's ideas related to fuzzy logic and computing with words have influenced the crucial issue of information aggregation and have led to what may be called a human-centric aggregation. We indicate a need to develop tools and techniques to reflect some fine shades of meaning regarding what can be considered the very purpose of human-centric aggregation, notably stated by various modalities in natural language specifications, in particular the usuality. We advocate the use of the ordered weighted average (OWA) operator, which is a formidable tool that can easily be tailored to a user?s intention as to the purpose and method of aggregation, generalizing many simple and natural aggregation types, such as the arithmetic mean, maximum and minimum, and probability. We show some of the most representative extensions and generalizations, including the induced OWA, the generalized OWA, the probabilistic OWA, and the OWA distance. We show their use in the basic case of the aggregation of numerical values and in social choice (voting) results. Then, we claim that linguistic data summaries in Yager?s sense can be considered an \"ultimately human consistent\" form of human-centric aggregation and show how the OWA operators can be used therein.","container-title":"IEEE Computational Intelligence Magazine","DOI":"10.1109/MCI.2018.2881641","ISSN":"1556-603X","issue":"1","page":"16-30","source":"IEEE Xplore","title":"Towards Human-Centric Aggregation via Ordered Weighted Aggregation Operators and Linguistic Data Summaries: A New Perspective on Zadeh's Inspirations","title-short":"Towards Human-Centric Aggregation via Ordered Weighted Aggregation Operators and Linguistic Data Summaries","volume":"14","author":[{"family":"Kacprzyk","given":"J."},{"family":"Yager","given":"R. R."},{"family":"Merigo","given":"J. M."}],"issued":{"date-parts":[["2019",2]]}}}],"schema":"https://github.com/citation-style-language/schema/raw/master/csl-citation.json"}</w:instrText>
      </w:r>
      <w:r>
        <w:fldChar w:fldCharType="separate"/>
      </w:r>
      <w:bookmarkStart w:id="749" w:name="__Fieldmark__5732_2067855929"/>
      <w:r>
        <w:rPr>
          <w:lang w:val="es-ES"/>
        </w:rPr>
      </w:r>
      <w:r>
        <w:rPr>
          <w:rFonts w:cs="Arial"/>
          <w:lang w:val="es-ES"/>
        </w:rPr>
        <w:t>(</w:t>
      </w:r>
      <w:bookmarkStart w:id="750" w:name="__Fieldmark__4811_498839314"/>
      <w:r>
        <w:rPr>
          <w:rFonts w:cs="Arial"/>
          <w:lang w:val="es-ES"/>
        </w:rPr>
        <w:t>K</w:t>
      </w:r>
      <w:bookmarkStart w:id="751" w:name="__Fieldmark__4164_998588997"/>
      <w:r>
        <w:rPr>
          <w:rFonts w:cs="Arial"/>
          <w:lang w:val="es-ES"/>
        </w:rPr>
        <w:t>a</w:t>
      </w:r>
      <w:bookmarkStart w:id="752" w:name="__Fieldmark__6816_118561941"/>
      <w:r>
        <w:rPr>
          <w:rFonts w:cs="Arial"/>
          <w:lang w:val="es-ES"/>
        </w:rPr>
        <w:t>cprzyk, Yager y Merigo 2019)</w:t>
      </w:r>
      <w:r>
        <w:rPr>
          <w:lang w:val="es-ES"/>
        </w:rPr>
      </w:r>
      <w:r>
        <w:fldChar w:fldCharType="end"/>
      </w:r>
      <w:bookmarkEnd w:id="749"/>
      <w:bookmarkEnd w:id="750"/>
      <w:bookmarkEnd w:id="751"/>
      <w:bookmarkEnd w:id="752"/>
      <w:r>
        <w:rPr>
          <w:lang w:val="es-ES"/>
        </w:rPr>
        <w:t>.</w:t>
      </w:r>
    </w:p>
    <w:p>
      <w:pPr>
        <w:pStyle w:val="ListParagraph"/>
        <w:numPr>
          <w:ilvl w:val="0"/>
          <w:numId w:val="20"/>
        </w:numPr>
        <w:spacing w:lineRule="auto" w:line="360" w:before="0" w:after="0"/>
        <w:rPr/>
      </w:pPr>
      <w:r>
        <w:rPr>
          <w:rFonts w:cs="Arial"/>
          <w:szCs w:val="24"/>
          <w:lang w:val="es-ES"/>
        </w:rPr>
        <w:t xml:space="preserve">Temas legales: Wilbik y colaboradores generan resúmenes relacionados con procesos de apelación de la municipalidad de Dutch </w:t>
      </w:r>
      <w:r>
        <w:fldChar w:fldCharType="begin"/>
      </w:r>
      <w:r>
        <w:instrText>ADDIN ZOTERO_ITEM CSL_CITATION {"citationID":"4wZkmtii","properties":{"formattedCitation":"(Wilbik, Kaymak y Dijkman 2017)","plainCitation":"(Wilbik, Kaymak y Dijkman 2017)","noteIndex":0},"citationItems":[{"id":"NJclqhNX/oxiUFrrO","uris":["http://zotero.org/users/local/rsuvzjK6/items/IMZ9T5H2"],"uri":["http://zotero.org/users/local/rsuvzjK6/items/IMZ9T5H2"],"itemData":{"id":3258,"type":"paper-conference","abstract":"Generation of linguistic summaries that are compact, short and relevant to the user remains an open challenge. In this paper, we propose a novel method for improving the generation of linguistic summaries inspired by the a-priori algorithm and the degree of appropriateness. The method generates all true summaries with related predicates in the summarizer, resulting in a small set of linguistic summaries, whose presentation to the user is compact. We tested our method on three real world data sets. The results indicate that our proposed approach is a good alternative to previous methods suggested for generating linguistic summaries.","container-title":"2017 IEEE International Conference on Fuzzy Systems (FUZZ-IEEE)","DOI":"10.1109/FUZZ-IEEE.2017.8015752","page":"1–6","title":"A method for improving the generation of linguistic summaries","author":[{"family":"Wilbik","given":"Anna"},{"family":"Kaymak","given":"Uzay"},{"family":"Dijkman","given":"Remco M."}],"issued":{"date-parts":[["2017",7]]}}}],"schema":"https://github.com/citation-style-language/schema/raw/master/csl-citation.json"}</w:instrText>
      </w:r>
      <w:r>
        <w:fldChar w:fldCharType="separate"/>
      </w:r>
      <w:bookmarkStart w:id="753" w:name="__Fieldmark__5750_2067855929"/>
      <w:r>
        <w:rPr>
          <w:rFonts w:cs="Arial"/>
          <w:szCs w:val="24"/>
          <w:lang w:val="es-ES"/>
        </w:rPr>
        <w:t>(</w:t>
      </w:r>
      <w:bookmarkStart w:id="754" w:name="__Fieldmark__4824_498839314"/>
      <w:r>
        <w:rPr>
          <w:rFonts w:cs="Arial"/>
          <w:szCs w:val="24"/>
          <w:lang w:val="es-ES"/>
        </w:rPr>
        <w:t>W</w:t>
      </w:r>
      <w:bookmarkStart w:id="755" w:name="__Fieldmark__4173_998588997"/>
      <w:r>
        <w:rPr>
          <w:rFonts w:cs="Arial"/>
          <w:szCs w:val="24"/>
          <w:lang w:val="es-ES"/>
        </w:rPr>
        <w:t>i</w:t>
      </w:r>
      <w:bookmarkStart w:id="756" w:name="__Fieldmark__6826_118561941"/>
      <w:r>
        <w:rPr>
          <w:rFonts w:cs="Arial"/>
          <w:szCs w:val="24"/>
          <w:lang w:val="es-ES"/>
        </w:rPr>
        <w:t>lbik, Kaymak y Dijkman 2017)</w:t>
      </w:r>
      <w:r>
        <w:rPr>
          <w:rFonts w:cs="Arial"/>
          <w:szCs w:val="24"/>
          <w:lang w:val="es-ES"/>
        </w:rPr>
      </w:r>
      <w:r>
        <w:fldChar w:fldCharType="end"/>
      </w:r>
      <w:bookmarkEnd w:id="753"/>
      <w:bookmarkEnd w:id="754"/>
      <w:bookmarkEnd w:id="755"/>
      <w:bookmarkEnd w:id="756"/>
      <w:r>
        <w:rPr>
          <w:rFonts w:cs="Arial"/>
          <w:szCs w:val="24"/>
          <w:lang w:val="es-ES"/>
        </w:rPr>
        <w:t xml:space="preserve">, </w:t>
      </w:r>
      <w:r>
        <w:fldChar w:fldCharType="begin"/>
      </w:r>
      <w:r>
        <w:instrText>ADDIN ZOTERO_ITEM CSL_CITATION {"citationID":"aenMCMDl","properties":{"formattedCitation":"(Dijkman y Wilbik 2017)","plainCitation":"(Dijkman y Wilbik 2017)","noteIndex":0},"citationItems":[{"id":"NJclqhNX/tUNDshry","uris":["http://zotero.org/users/local/rsuvzjK6/items/8GWFVIKD"],"uri":["http://zotero.org/users/local/rsuvzjK6/items/8GWFVIKD"],"itemData":{"id":3297,"type":"article-journal","abstract":"The amount of data that is generated during the execution of a business process is growing. As a consequence it is increasingly hard to extract useful information from the large amount of data that is produced. Linguistic summarization helps to point business analysts in the direction of useful information, by verbalizing interesting patterns that exist in the data. In previous work we showed how linguistic summarization can be used to automatically generate diagnostic statements about event logs, such as ‘for most cases that contained the sequence ABC, the throughput time was long’. However, we also showed that our technique produced too many of these statements to be useful in a practical setting. Therefore this paper presents a novel technique for linguistic summarization of event logs, which generates linguistic summaries that are concise enough to be used in a practical setting, while at the same time enriching the summaries that are produced by also enabling conjunctive statements. The improved technique is based on pruning and clustering of linguistic summaries. We show that it can be used to reduce the number of summary statements 80–100% compared to previous work. In a survey among 51 practitioners, we found that practitioners consider linguistic summarization useful and easy to use and intend to use it if it were commercially available.","container-title":"Information Systems","DOI":"10.1016/j.is.2017.03.009","ISSN":"0306-4379","language":"en","page":"114–125","title":"Linguistic summarization of event logs – A practical approach","volume":"67","author":[{"family":"Dijkman","given":"Remco"},{"family":"Wilbik","given":"Anna"}],"issued":{"date-parts":[["2017",7]]}}}],"schema":"https://github.com/citation-style-language/schema/raw/master/csl-citation.json"}</w:instrText>
      </w:r>
      <w:r>
        <w:fldChar w:fldCharType="separate"/>
      </w:r>
      <w:bookmarkStart w:id="757" w:name="__Fieldmark__5765_2067855929"/>
      <w:r>
        <w:rPr>
          <w:rFonts w:cs="Arial"/>
          <w:szCs w:val="24"/>
          <w:lang w:val="es-ES"/>
        </w:rPr>
        <w:t>(</w:t>
      </w:r>
      <w:bookmarkStart w:id="758" w:name="__Fieldmark__4835_498839314"/>
      <w:r>
        <w:rPr>
          <w:rFonts w:cs="Arial"/>
          <w:szCs w:val="24"/>
          <w:lang w:val="es-ES"/>
        </w:rPr>
        <w:t>D</w:t>
      </w:r>
      <w:bookmarkStart w:id="759" w:name="__Fieldmark__4180_998588997"/>
      <w:r>
        <w:rPr>
          <w:rFonts w:cs="Arial"/>
          <w:szCs w:val="24"/>
          <w:lang w:val="es-ES"/>
        </w:rPr>
        <w:t>i</w:t>
      </w:r>
      <w:bookmarkStart w:id="760" w:name="__Fieldmark__6832_118561941"/>
      <w:r>
        <w:rPr>
          <w:rFonts w:cs="Arial"/>
          <w:szCs w:val="24"/>
          <w:lang w:val="es-ES"/>
        </w:rPr>
        <w:t>jkman y Wilbik 2017)</w:t>
      </w:r>
      <w:r>
        <w:rPr>
          <w:rFonts w:cs="Arial"/>
          <w:szCs w:val="24"/>
          <w:lang w:val="es-ES"/>
        </w:rPr>
      </w:r>
      <w:r>
        <w:fldChar w:fldCharType="end"/>
      </w:r>
      <w:bookmarkEnd w:id="757"/>
      <w:bookmarkEnd w:id="758"/>
      <w:bookmarkEnd w:id="759"/>
      <w:bookmarkEnd w:id="760"/>
      <w:r>
        <w:rPr>
          <w:rFonts w:cs="Arial"/>
          <w:szCs w:val="24"/>
          <w:lang w:val="es-ES"/>
        </w:rPr>
        <w:t>.</w:t>
      </w:r>
    </w:p>
    <w:p>
      <w:pPr>
        <w:pStyle w:val="ListParagraph"/>
        <w:numPr>
          <w:ilvl w:val="0"/>
          <w:numId w:val="20"/>
        </w:numPr>
        <w:spacing w:lineRule="auto" w:line="360" w:before="0" w:after="0"/>
        <w:rPr/>
      </w:pPr>
      <w:r>
        <w:rPr>
          <w:rFonts w:cs="Arial"/>
          <w:szCs w:val="24"/>
          <w:lang w:val="es-ES"/>
        </w:rPr>
        <w:t xml:space="preserve">En gestión de tráfico y movilidad urbana: donde </w:t>
      </w:r>
      <w:r>
        <w:rPr>
          <w:lang w:val="es-ES"/>
        </w:rPr>
        <w:t xml:space="preserve">en </w:t>
      </w:r>
      <w:r>
        <w:fldChar w:fldCharType="begin"/>
      </w:r>
      <w:r>
        <w:instrText>ADDIN ZOTERO_ITEM CSL_CITATION {"citationID":"FS6R6AuH","properties":{"formattedCitation":"(Degtiarev y Remnev 2016)","plainCitation":"(Degtiarev y Remnev 2016)","noteIndex":0},"citationItems":[{"id":"NJclqhNX/dfl5htIr","uris":["http://zotero.org/users/local/rsuvzjK6/items/4LVEB6ZS"],"uri":["http://zotero.org/users/local/rsuvzjK6/items/4LVEB6ZS"],"itemData":{"id":3206,"type":"article-journal","container-title":"Procedia Computer Science","DOI":"210.1016/j.procs.2016.09.378","page":"121–128","title":"Linguistic resumes in software engineering: the case of trend summarization in mobile crash reporting systems","volume":"102","author":[{"family":"Degtiarev","given":"Konstantin Y"},{"family":"Remnev","given":"Nikita V"}],"issued":{"date-parts":[["2016"]]}}}],"schema":"https://github.com/citation-style-language/schema/raw/master/csl-citation.json"}</w:instrText>
      </w:r>
      <w:r>
        <w:fldChar w:fldCharType="separate"/>
      </w:r>
      <w:bookmarkStart w:id="761" w:name="__Fieldmark__5784_2067855929"/>
      <w:r>
        <w:rPr>
          <w:lang w:val="es-ES"/>
        </w:rPr>
      </w:r>
      <w:r>
        <w:rPr>
          <w:rFonts w:cs="Arial"/>
          <w:lang w:val="es-ES"/>
        </w:rPr>
        <w:t>(</w:t>
      </w:r>
      <w:bookmarkStart w:id="762" w:name="__Fieldmark__4849_498839314"/>
      <w:r>
        <w:rPr>
          <w:rFonts w:cs="Arial"/>
          <w:lang w:val="es-ES"/>
        </w:rPr>
        <w:t>D</w:t>
      </w:r>
      <w:bookmarkStart w:id="763" w:name="__Fieldmark__4190_998588997"/>
      <w:r>
        <w:rPr>
          <w:rFonts w:cs="Arial"/>
          <w:lang w:val="es-ES"/>
        </w:rPr>
        <w:t>e</w:t>
      </w:r>
      <w:bookmarkStart w:id="764" w:name="__Fieldmark__6840_118561941"/>
      <w:r>
        <w:rPr>
          <w:rFonts w:cs="Arial"/>
          <w:lang w:val="es-ES"/>
        </w:rPr>
        <w:t>gtiarev y Remnev 2016)</w:t>
      </w:r>
      <w:r>
        <w:rPr>
          <w:lang w:val="es-ES"/>
        </w:rPr>
      </w:r>
      <w:r>
        <w:fldChar w:fldCharType="end"/>
      </w:r>
      <w:bookmarkEnd w:id="761"/>
      <w:bookmarkEnd w:id="762"/>
      <w:bookmarkEnd w:id="763"/>
      <w:bookmarkEnd w:id="764"/>
      <w:r>
        <w:rPr>
          <w:lang w:val="es-ES"/>
        </w:rPr>
        <w:t xml:space="preserve"> y </w:t>
      </w:r>
      <w:r>
        <w:fldChar w:fldCharType="begin"/>
      </w:r>
      <w:r>
        <w:instrText>ADDIN ZOTERO_ITEM CSL_CITATION {"citationID":"N3AK12K8","properties":{"formattedCitation":"(Gilsing et\\uc0\\u160{}al. 2020)","plainCitation":"(Gilsing et al. 2020)","noteIndex":0},"citationItems":[{"id":"NJclqhNX/OG1BrR7P","uris":["http://zotero.org/users/local/rsuvzjK6/items/73UU6LE3"],"uri":["http://zotero.org/users/local/rsuvzjK6/items/73UU6LE3"],"itemData":{"id":3318,"type":"chapter","abstract":"Given its essential role in understanding, explaining and structuring digital innovation, we see the increased prevalence of the business model concept as a unit of analysis in IS research. In contemporary, fast-paced markets, business models are volatile in nature and should be continuously innovated to accommodate new customer needs and technology developments. Business model innovation can be considered as an iterative process to guide business models from ideation towards implementation, in which the proper evaluation of business model prototypes is essential. For this evaluation, we need normative guidance, tools and rules to understand the relative performance of a new business model design. In the early design phases, this implies dealing with high levels of uncertainty. A few techniques and methods have been proposed for this purpose, but these lack the formal basis required for systematical application and development of automated evaluation tools. As a novel approach, we have earlier proposed the application of linguistic summarization to support early-phase, soft-quantitative business model evaluation. In this paper, we focus on a structural formalization of this approach as the basis for the development of well-defined user guidelines and automated evaluation tools. In doing so, we bridge the existing gap between qualitative and quantitative business model evaluation. We demonstrate the formalization by means of a running case inspired by a real-world project in the highly dynamic urban mobility domain.","container-title":"Enterprise, Business-Process and Information Systems Modeling","ISBN":"978-3-030-49417-9","note":"DOI: 10.1007/978-3-030-49418-6_29","page":"428–442","publisher":"Springer","title":"A Formal Basis for Business Model Evaluation with Linguistic Summaries","author":[{"family":"Gilsing","given":"Rick"},{"family":"Wilbik","given":"Anna"},{"family":"Grefen","given":"Paul"},{"family":"Turetken","given":"Oktay"},{"family":"Ozkan","given":"Baris"}],"issued":{"date-parts":[["2020"]]}}}],"schema":"https://github.com/citation-style-language/schema/raw/master/csl-citation.json"}</w:instrText>
      </w:r>
      <w:r>
        <w:fldChar w:fldCharType="separate"/>
      </w:r>
      <w:bookmarkStart w:id="765" w:name="__Fieldmark__5799_2067855929"/>
      <w:r>
        <w:rPr>
          <w:lang w:val="es-ES"/>
        </w:rPr>
      </w:r>
      <w:r>
        <w:rPr>
          <w:rFonts w:cs="Arial"/>
          <w:szCs w:val="24"/>
          <w:lang w:val="es-ES"/>
        </w:rPr>
        <w:t>(</w:t>
      </w:r>
      <w:bookmarkStart w:id="766" w:name="__Fieldmark__4860_498839314"/>
      <w:r>
        <w:rPr>
          <w:rFonts w:cs="Arial"/>
          <w:szCs w:val="24"/>
          <w:lang w:val="es-ES"/>
        </w:rPr>
        <w:t>G</w:t>
      </w:r>
      <w:bookmarkStart w:id="767" w:name="__Fieldmark__4197_998588997"/>
      <w:r>
        <w:rPr>
          <w:rFonts w:cs="Arial"/>
          <w:szCs w:val="24"/>
          <w:lang w:val="es-ES"/>
        </w:rPr>
        <w:t>i</w:t>
      </w:r>
      <w:bookmarkStart w:id="768" w:name="__Fieldmark__6846_118561941"/>
      <w:r>
        <w:rPr>
          <w:rFonts w:cs="Arial"/>
          <w:szCs w:val="24"/>
          <w:lang w:val="es-ES"/>
        </w:rPr>
        <w:t>lsing et al. 2020)</w:t>
      </w:r>
      <w:r>
        <w:rPr>
          <w:lang w:val="es-ES"/>
        </w:rPr>
      </w:r>
      <w:r>
        <w:fldChar w:fldCharType="end"/>
      </w:r>
      <w:bookmarkEnd w:id="765"/>
      <w:bookmarkEnd w:id="766"/>
      <w:bookmarkEnd w:id="767"/>
      <w:bookmarkEnd w:id="768"/>
      <w:r>
        <w:rPr>
          <w:rFonts w:cs="Arial"/>
          <w:szCs w:val="24"/>
          <w:lang w:val="es-ES"/>
        </w:rPr>
        <w:t xml:space="preserve"> </w:t>
      </w:r>
      <w:r>
        <w:rPr>
          <w:lang w:val="es-ES"/>
        </w:rPr>
        <w:t>se proponen un</w:t>
      </w:r>
      <w:r>
        <w:rPr>
          <w:rFonts w:cs="Arial"/>
          <w:szCs w:val="24"/>
          <w:lang w:val="es-ES"/>
        </w:rPr>
        <w:t xml:space="preserve"> </w:t>
      </w:r>
      <w:r>
        <w:rPr>
          <w:lang w:val="es-ES"/>
        </w:rPr>
        <w:t>sistema de reportes de accidentes de carros</w:t>
      </w:r>
      <w:r>
        <w:rPr>
          <w:rFonts w:cs="Arial"/>
          <w:szCs w:val="24"/>
          <w:lang w:val="es-ES"/>
        </w:rPr>
        <w:t xml:space="preserve"> y </w:t>
      </w:r>
      <w:r>
        <w:rPr>
          <w:lang w:val="es-ES"/>
        </w:rPr>
        <w:t>de movilidad urbana.</w:t>
      </w:r>
    </w:p>
    <w:p>
      <w:pPr>
        <w:pStyle w:val="Normal"/>
        <w:rPr/>
      </w:pPr>
      <w:r>
        <w:rPr>
          <w:szCs w:val="24"/>
        </w:rPr>
        <w:t xml:space="preserve">Existen ejemplos de uso de los resúmenes donde se fusionan varios entornos de aplicación, como en </w:t>
      </w:r>
      <w:r>
        <w:fldChar w:fldCharType="begin"/>
      </w:r>
      <w:r>
        <w:instrText>ADDIN ZOTERO_ITEM CSL_CITATION {"citationID":"qqxQfUnL","properties":{"formattedCitation":"(Jain et\\uc0\\u160{}al. 2019)","plainCitation":"(Jain et al. 2019)","noteIndex":0},"citationItems":[{"id":"NJclqhNX/V1FI96b2","uris":["http://zotero.org/users/local/X7i2mGyy/items/55G9624T"],"uri":["http://zotero.org/users/local/X7i2mGyy/items/55G9624T"],"itemData":{"id":2331,"type":"article-journal","abstract":"Introduction\nWith the increase in the population of older adults around the world, a significant amount of work has been done on in-home sensor technology to aid the elderly age independently. However, due to the large amounts of data generated by the sensors, it takes a lot of effort and time for the clinicians to makes sense of this data. In this work, we develop a system to help make this data more useful by presenting it in the form of natural language.\nMethods\nWe start by identifying important attributes in the sensor data that are relevant to the health of the elderly. We then develop algorithms to extract these important health related features from the sensor parameters and summarize them in natural language. We focus on making the natural language summaries to be informative, accurate and concise.\nResults\nWe designed multiple surveys using real and synthetic data to validate the summaries produced by our algorithms. We show that the algorithms produce meaningful results comparable to human subjects. We also implemented our linguistic summarization system to produce summaries of data leading to health alerts derived from the sensor data. The system is running live in 110 apartments currently. By the means of retrospective case studies, we illustrate that the linguistic summaries are able to make the connection between changes in the sensor data and the health of the elderly.\nConclusions\nWe present a system that extracts important clinically relevant features from in-home sensor data generated in the apartments of the elderly and summarize those features in natural language. The preliminary testing of our summarization system shows that it has the potential to help the clinicians utilize this data effectively.","container-title":"Journal of Biomedical Informatics","DOI":"10.1016/j.jbi.2019.103240","ISSN":"1532-0464","journalAbbreviation":"Journal of Biomedical Informatics","language":"en","page":"103240","source":"ScienceDirect","title":"Linguistic summarization of in-home sensor data","volume":"96","author":[{"family":"Jain","given":"Akshay"},{"family":"Popescu","given":"Mihail"},{"family":"Keller","given":"James"},{"family":"Rantz","given":"Marilyn"},{"family":"Markway","given":"Brianna"}],"issued":{"date-parts":[["2019",8,1]]}}}],"schema":"https://github.com/citation-style-language/schema/raw/master/csl-citation.json"}</w:instrText>
      </w:r>
      <w:r>
        <w:fldChar w:fldCharType="separate"/>
      </w:r>
      <w:bookmarkStart w:id="769" w:name="__Fieldmark__5822_2067855929"/>
      <w:r>
        <w:rPr>
          <w:szCs w:val="24"/>
        </w:rPr>
        <w:t>(</w:t>
      </w:r>
      <w:bookmarkStart w:id="770" w:name="__Fieldmark__4878_498839314"/>
      <w:r>
        <w:rPr>
          <w:szCs w:val="24"/>
        </w:rPr>
        <w:t>J</w:t>
      </w:r>
      <w:bookmarkStart w:id="771" w:name="__Fieldmark__4211_998588997"/>
      <w:r>
        <w:rPr>
          <w:szCs w:val="24"/>
        </w:rPr>
        <w:t>a</w:t>
      </w:r>
      <w:bookmarkStart w:id="772" w:name="__Fieldmark__6860_118561941"/>
      <w:r>
        <w:rPr>
          <w:szCs w:val="24"/>
        </w:rPr>
        <w:t>in et al. 2019)</w:t>
      </w:r>
      <w:r>
        <w:rPr>
          <w:szCs w:val="24"/>
        </w:rPr>
      </w:r>
      <w:r>
        <w:fldChar w:fldCharType="end"/>
      </w:r>
      <w:bookmarkEnd w:id="769"/>
      <w:bookmarkEnd w:id="770"/>
      <w:bookmarkEnd w:id="771"/>
      <w:bookmarkEnd w:id="772"/>
      <w:r>
        <w:rPr/>
        <w:t>, donde se realizan análisis de datos provenientes de sensores instalados en los apartamentos de ancianos para ayudar a médicos a entender los datos provenientes de diferentes equipos, y tomar decisiones que beneficien a sus pacientes. En este caso los resúmenes lingüísticos conducen a alertas de salud derivadas de los datos del sensor en tiempo real, y ayudan a establecer una conexión entre los cambios en los datos del sensor y la salud de los pacientes ancianos.</w:t>
      </w:r>
    </w:p>
    <w:p>
      <w:pPr>
        <w:pStyle w:val="Normal"/>
        <w:rPr/>
      </w:pPr>
      <w:r>
        <w:rPr>
          <w:szCs w:val="24"/>
        </w:rPr>
        <w:t xml:space="preserve">En menor medida se han empleado resúmenes en problemas de predicción o clasificación. </w:t>
      </w:r>
      <w:r>
        <w:rPr/>
        <w:t xml:space="preserve">Un ejemplo de aplicación de los resúmenes lingüísticos para la predicción es </w:t>
      </w:r>
      <w:r>
        <w:fldChar w:fldCharType="begin"/>
      </w:r>
      <w:r>
        <w:instrText>ADDIN ZOTERO_ITEM CSL_CITATION {"citationID":"wtmV4ap9","properties":{"formattedCitation":"(Chiang, Chow y Wang 2000)","plainCitation":"(Chiang, Chow y Wang 2000)","noteIndex":0},"citationItems":[{"id":"NJclqhNX/2ioHl44X","uris":["http://zotero.org/users/local/rsuvzjK6/items/MS92YHRI"],"uri":["http://zotero.org/users/local/rsuvzjK6/items/MS92YHRI"],"itemData":{"id":3363,"type":"article-journal","abstract":"In this paper, we are interested in mining the data with natural ordering according to some attributes, and the time series data is one of this kind of data. The problem of mining the time series data is that the quantity at different time may be very close or even equal to each other. To solve this problem, we propose a fuzzy linguistic summary as one of the data mining functions in our KDD (Knowledge Discovery in Databases) system to discover useful knowledge from the database. To help users to premine a database, our system also provides a graphic display tool so that the users can predetermine what knowledge could be discovered from the database. To demonstrate that our system works correctly, we use our system to analyze a time series data problem, the resources usage analysis problem, to predict the utilization ranks of different resources at a specific time.","container-title":"Fuzzy sets and Systems","DOI":"10.1016/S0165-0114(98)00003-7","issue":"3","page":"419–432","title":"Mining time series data by a fuzzy linguistic summary system","volume":"112","author":[{"family":"Chiang","given":"Ding-An"},{"family":"Chow","given":"Louis R"},{"family":"Wang","given":"Yi-Fan"}],"issued":{"date-parts":[["2000"]]}}}],"schema":"https://github.com/citation-style-language/schema/raw/master/csl-citation.json"}</w:instrText>
      </w:r>
      <w:r>
        <w:fldChar w:fldCharType="separate"/>
      </w:r>
      <w:bookmarkStart w:id="773" w:name="__Fieldmark__5842_2067855929"/>
      <w:r>
        <w:rPr/>
        <w:t>(</w:t>
      </w:r>
      <w:bookmarkStart w:id="774" w:name="__Fieldmark__4892_498839314"/>
      <w:r>
        <w:rPr/>
        <w:t>C</w:t>
      </w:r>
      <w:bookmarkStart w:id="775" w:name="__Fieldmark__4221_998588997"/>
      <w:r>
        <w:rPr/>
        <w:t>h</w:t>
      </w:r>
      <w:bookmarkStart w:id="776" w:name="__Fieldmark__6879_118561941"/>
      <w:r>
        <w:rPr/>
        <w:t>iang, Chow y Wang 2000)</w:t>
      </w:r>
      <w:r>
        <w:rPr/>
      </w:r>
      <w:r>
        <w:fldChar w:fldCharType="end"/>
      </w:r>
      <w:bookmarkEnd w:id="773"/>
      <w:bookmarkEnd w:id="774"/>
      <w:bookmarkEnd w:id="775"/>
      <w:bookmarkEnd w:id="776"/>
      <w:r>
        <w:rPr/>
        <w:t xml:space="preserve">, donde a partir de datos sobre uso de recursos (uso del CPU de una sede de IBM), se generan resúmenes para predecir los rangos de utilización de diferentes recursos en un momento específico. En </w:t>
      </w:r>
      <w:r>
        <w:fldChar w:fldCharType="begin"/>
      </w:r>
      <w:r>
        <w:instrText>ADDIN ZOTERO_ITEM CSL_CITATION {"citationID":"aI8kAyHx","properties":{"formattedCitation":"(Wilbik, Barreto y Backus 2020)","plainCitation":"(Wilbik, Barreto y Backus 2020)","noteIndex":0},"citationItems":[{"id":3253,"uris":["http://zotero.org/users/local/EJ15hJE2/items/5AUJ9J8Q"],"uri":["http://zotero.org/users/local/EJ15hJE2/items/5AUJ9J8Q"],"itemData":{"id":3253,"type":"paper-conference","abstract":"We present an application of linguistic summaries in the agro-food domain. We focus on the relevance aspect. Using the interviews we determine which linguistic summaries are useful and appropriate for target users (farmers). The user evaluation with a TAM survey indicates that linguistic summaries allow farmers to understand quickly the past performance of their pig barns.","container-title":"International Conference on Information Processing and Management of Uncertainty in Knowledge-Based Systems","DOI":"10.1007/978-3-030-50146-4_22","ISBN":"978-3-030-50146-4","page":"289–300","publisher":"Springer","title":"On Relevance of Linguistic Summaries–A Case Study from the Agro-Food Domain","author":[{"family":"Wilbik","given":"Anna"},{"family":"Barreto","given":"Diego"},{"family":"Backus","given":"Ge"}],"issued":{"date-parts":[["2020"]]}}}],"schema":"https://github.com/citation-style-language/schema/raw/master/csl-citation.json"}</w:instrText>
      </w:r>
      <w:r>
        <w:fldChar w:fldCharType="separate"/>
      </w:r>
      <w:bookmarkStart w:id="777" w:name="__Fieldmark__5860_2067855929"/>
      <w:r>
        <w:rPr/>
      </w:r>
      <w:r>
        <w:rPr>
          <w:szCs w:val="24"/>
        </w:rPr>
        <w:t>(</w:t>
      </w:r>
      <w:bookmarkStart w:id="778" w:name="__Fieldmark__4903_498839314"/>
      <w:r>
        <w:rPr>
          <w:szCs w:val="24"/>
        </w:rPr>
        <w:t>W</w:t>
      </w:r>
      <w:bookmarkStart w:id="779" w:name="__Fieldmark__4228_998588997"/>
      <w:r>
        <w:rPr>
          <w:szCs w:val="24"/>
        </w:rPr>
        <w:t>i</w:t>
      </w:r>
      <w:bookmarkStart w:id="780" w:name="__Fieldmark__6885_118561941"/>
      <w:r>
        <w:rPr>
          <w:szCs w:val="24"/>
        </w:rPr>
        <w:t>lbik, Barreto y Backus 2020)</w:t>
      </w:r>
      <w:r>
        <w:rPr/>
      </w:r>
      <w:r>
        <w:fldChar w:fldCharType="end"/>
      </w:r>
      <w:bookmarkEnd w:id="777"/>
      <w:bookmarkEnd w:id="778"/>
      <w:bookmarkEnd w:id="779"/>
      <w:bookmarkEnd w:id="780"/>
      <w:r>
        <w:rPr/>
        <w:t xml:space="preserve"> se identifica la necesidad de aplicar los resúmenes lingüísticos para la predicción.</w:t>
      </w:r>
    </w:p>
    <w:p>
      <w:pPr>
        <w:pStyle w:val="Normal"/>
        <w:rPr/>
      </w:pPr>
      <w:r>
        <w:rPr/>
        <w:t>Se identifica como una línea abierta a la investigación el uso, en mayor medida, de las técnicas de sumarización lingüística de datos en la solución de problemas de predicción como parte de procesos de ayuda a la toma de decisiones.</w:t>
      </w:r>
    </w:p>
    <w:p>
      <w:pPr>
        <w:pStyle w:val="Normal"/>
        <w:rPr/>
      </w:pPr>
      <w:r>
        <w:rPr/>
        <w:t xml:space="preserve">Por otra parte, el uso de los resúmenes en la solución de problemas de clasificación resulta ser un enfoque interesante, debido al aprovechamiento de la alta capacidad de interpretabilidad de los mismos. Ejemplo, en </w:t>
      </w:r>
      <w:r>
        <w:fldChar w:fldCharType="begin"/>
      </w:r>
      <w:r>
        <w:instrText>ADDIN ZOTERO_ITEM CSL_CITATION {"citationID":"uHVDhca7","properties":{"formattedCitation":"(Amghar y Chikh 2018)","plainCitation":"(Amghar y Chikh 2018)","noteIndex":0},"citationItems":[{"id":"NJclqhNX/6Z03zroz","uris":["http://zotero.org/users/local/rsuvzjK6/items/2ED8USB4"],"uri":["http://zotero.org/users/local/rsuvzjK6/items/2ED8USB4"],"itemData":{"id":3339,"type":"article-journal","abstract":"In general, medical clustering concerns a big database. The present paper aims at extracting a fuzzy linguistic summary from a large medical database. A linguistic summary is used to reduce large volumes of data to simple sentences. It is worth noting that with the increase of the amount of medical data, different techniques of machine learning have been developed recently.","container-title":"International Journal of Intelligent Systems and Applications","DOI":"10.5815/ijisa.2018.12.02","ISSN":"2074904X, 20749058","issue":"12","language":"en","page":"16–26","title":"Extracting a Linguistic Summary from a Medical Database","volume":"10","author":[{"family":"Amghar","given":"Djazia"},{"family":"Chikh","given":"Amine.M."}],"issued":{"date-parts":[["2018",12]]}}}],"schema":"https://github.com/citation-style-language/schema/raw/master/csl-citation.json"}</w:instrText>
      </w:r>
      <w:r>
        <w:fldChar w:fldCharType="separate"/>
      </w:r>
      <w:bookmarkStart w:id="781" w:name="__Fieldmark__5879_2067855929"/>
      <w:r>
        <w:rPr/>
        <w:t>(</w:t>
      </w:r>
      <w:bookmarkStart w:id="782" w:name="__Fieldmark__4917_498839314"/>
      <w:r>
        <w:rPr/>
        <w:t>A</w:t>
      </w:r>
      <w:bookmarkStart w:id="783" w:name="__Fieldmark__4238_998588997"/>
      <w:r>
        <w:rPr/>
        <w:t>m</w:t>
      </w:r>
      <w:bookmarkStart w:id="784" w:name="__Fieldmark__6906_118561941"/>
      <w:r>
        <w:rPr/>
        <w:t>ghar y Chikh 2018)</w:t>
      </w:r>
      <w:r>
        <w:rPr/>
      </w:r>
      <w:r>
        <w:fldChar w:fldCharType="end"/>
      </w:r>
      <w:bookmarkEnd w:id="781"/>
      <w:bookmarkEnd w:id="782"/>
      <w:bookmarkEnd w:id="783"/>
      <w:bookmarkEnd w:id="784"/>
      <w:r>
        <w:rPr/>
        <w:t xml:space="preserve"> se aplica esta técnica para resolver problemas de diagnóstico médico clasificando al paciente como enfermo o no enfermo, y se comparan los resúmenes con los métodos KNN y SVM. En este caso las bases de datos médicas están relacionadas a diabetes (</w:t>
      </w:r>
      <w:r>
        <w:rPr>
          <w:i/>
        </w:rPr>
        <w:t>Pima Indian Diabetes Dataset</w:t>
      </w:r>
      <w:r>
        <w:rPr/>
        <w:t>) y cáncer (</w:t>
      </w:r>
      <w:r>
        <w:rPr>
          <w:i/>
        </w:rPr>
        <w:t>Wisconsin Breast Cancer Dataset WBCD</w:t>
      </w:r>
      <w:r>
        <w:rPr/>
        <w:t xml:space="preserve">). En </w:t>
      </w:r>
      <w:r>
        <w:fldChar w:fldCharType="begin"/>
      </w:r>
      <w:r>
        <w:instrText>ADDIN ZOTERO_ITEM CSL_CITATION {"citationID":"kzsvqxNt","properties":{"formattedCitation":"(Chiang, Chow y Wang 2000)","plainCitation":"(Chiang, Chow y Wang 2000)","noteIndex":0},"citationItems":[{"id":"NJclqhNX/2ioHl44X","uris":["http://zotero.org/users/local/rsuvzjK6/items/MS92YHRI"],"uri":["http://zotero.org/users/local/rsuvzjK6/items/MS92YHRI"],"itemData":{"id":3363,"type":"article-journal","abstract":"In this paper, we are interested in mining the data with natural ordering according to some attributes, and the time series data is one of this kind of data. The problem of mining the time series data is that the quantity at different time may be very close or even equal to each other. To solve this problem, we propose a fuzzy linguistic summary as one of the data mining functions in our KDD (Knowledge Discovery in Databases) system to discover useful knowledge from the database. To help users to premine a database, our system also provides a graphic display tool so that the users can predetermine what knowledge could be discovered from the database. To demonstrate that our system works correctly, we use our system to analyze a time series data problem, the resources usage analysis problem, to predict the utilization ranks of different resources at a specific time.","container-title":"Fuzzy sets and Systems","DOI":"10.1016/S0165-0114(98)00003-7","issue":"3","page":"419–432","title":"Mining time series data by a fuzzy linguistic summary system","volume":"112","author":[{"family":"Chiang","given":"Ding-An"},{"family":"Chow","given":"Louis R"},{"family":"Wang","given":"Yi-Fan"}],"issued":{"date-parts":[["2000"]]}}}],"schema":"https://github.com/citation-style-language/schema/raw/master/csl-citation.json"}</w:instrText>
      </w:r>
      <w:r>
        <w:fldChar w:fldCharType="separate"/>
      </w:r>
      <w:bookmarkStart w:id="785" w:name="__Fieldmark__5899_2067855929"/>
      <w:r>
        <w:rPr/>
        <w:t>(</w:t>
      </w:r>
      <w:bookmarkStart w:id="786" w:name="__Fieldmark__4932_498839314"/>
      <w:r>
        <w:rPr/>
        <w:t>C</w:t>
      </w:r>
      <w:bookmarkStart w:id="787" w:name="__Fieldmark__4249_998588997"/>
      <w:r>
        <w:rPr/>
        <w:t>h</w:t>
      </w:r>
      <w:bookmarkStart w:id="788" w:name="__Fieldmark__6923_118561941"/>
      <w:r>
        <w:rPr/>
        <w:t>iang, Chow y Wang 2000)</w:t>
      </w:r>
      <w:r>
        <w:rPr/>
      </w:r>
      <w:r>
        <w:fldChar w:fldCharType="end"/>
      </w:r>
      <w:bookmarkEnd w:id="785"/>
      <w:bookmarkEnd w:id="786"/>
      <w:bookmarkEnd w:id="787"/>
      <w:bookmarkEnd w:id="788"/>
      <w:r>
        <w:rPr/>
        <w:t>, además de la predicción también se realiza clasificación porque según los resultados, los usuarios pueden clasificar los objetos en diferentes grupos.</w:t>
      </w:r>
    </w:p>
    <w:p>
      <w:pPr>
        <w:pStyle w:val="Normal"/>
        <w:rPr/>
      </w:pPr>
      <w:r>
        <w:rPr/>
        <w:t xml:space="preserve">En la </w:t>
      </w:r>
      <w:r>
        <w:rPr/>
        <w:fldChar w:fldCharType="begin"/>
      </w:r>
      <w:r>
        <w:instrText> REF _Ref58509942 \h </w:instrText>
      </w:r>
      <w:r>
        <w:fldChar w:fldCharType="separate"/>
      </w:r>
      <w:r>
        <w:t>Figura 33</w:t>
      </w:r>
      <w:r>
        <w:fldChar w:fldCharType="end"/>
      </w:r>
      <w:r>
        <w:rPr/>
        <w:t xml:space="preserve"> del </w:t>
      </w:r>
      <w:r>
        <w:rPr/>
        <w:fldChar w:fldCharType="begin"/>
      </w:r>
      <w:r>
        <w:instrText> REF _Ref79256146 \h </w:instrText>
      </w:r>
      <w:r>
        <w:fldChar w:fldCharType="separate"/>
      </w:r>
      <w:r>
        <w:t>Anexo 3</w:t>
      </w:r>
      <w:r>
        <w:fldChar w:fldCharType="end"/>
      </w:r>
      <w:r>
        <w:rPr/>
        <w:t xml:space="preserve"> se evidencia que la sumarización lingüística de datos es ampliamente utilizada en el sector financiero y económico, sobre todo en el primer quindenio</w:t>
      </w:r>
      <w:r>
        <w:rPr>
          <w:rStyle w:val="FootnoteAnchor"/>
        </w:rPr>
        <w:footnoteReference w:id="8"/>
      </w:r>
      <w:r>
        <w:rPr/>
        <w:t xml:space="preserve"> del presente siglo; sin embargo, tienen aplicación creciente en las redes de sensores, en el análisis de logs y en el sector de la salud.</w:t>
      </w:r>
    </w:p>
    <w:p>
      <w:pPr>
        <w:pStyle w:val="Normal"/>
        <w:rPr/>
      </w:pPr>
      <w:bookmarkStart w:id="789" w:name="_Hlk76719564"/>
      <w:bookmarkEnd w:id="789"/>
      <w:r>
        <w:rPr/>
        <w:t>Es importante resaltar que, en las investigaciones reportadas en la bibliografía, no se utilizan datos provenientes de una colección estándar que facilite la comparación de métodos y la validación. Generalmente se emplean datos provenientes de cada escenario en cuestión. Además, con frecuencia se diseñan protoformas para cada escenario de aplicación basadas en idioma inglés.</w:t>
      </w:r>
    </w:p>
    <w:p>
      <w:pPr>
        <w:pStyle w:val="Normal"/>
        <w:rPr/>
      </w:pPr>
      <w:r>
        <w:rPr/>
        <w:t xml:space="preserve">A partir de la metodología aplicada como parte del diseño de experimentos y el análisis detallado de las diferentes fuentes bibliográficas, se establece en esta investigación que la sumarización lingüística de datos es: un área de conocimiento interdisciplinar, que forma parte del </w:t>
      </w:r>
      <w:r>
        <w:rPr>
          <w:i/>
        </w:rPr>
        <w:t>soft computing</w:t>
      </w:r>
      <w:r>
        <w:rPr/>
        <w:t>, e involucra un conjunto de áreas de conocimiento entre las que se destacan la lógica borrosa, el aprendizaje automático, la estadística, las bases de datos y otras; tiene como objetivo la ayuda a la toma de decisiones a partir de la construcción automática de resúmenes en lenguaje natural, que reflejen el conocimiento implícito y las relaciones intrínsecas que existen entre las variables en bases de datos heterogéneas.</w:t>
      </w:r>
    </w:p>
    <w:p>
      <w:pPr>
        <w:pStyle w:val="Heading2"/>
        <w:numPr>
          <w:ilvl w:val="1"/>
          <w:numId w:val="80"/>
        </w:numPr>
        <w:rPr/>
      </w:pPr>
      <w:bookmarkStart w:id="790" w:name="_Toc84598926"/>
      <w:bookmarkStart w:id="791" w:name="_Toc476476132"/>
      <w:bookmarkStart w:id="792" w:name="_Toc484293882"/>
      <w:bookmarkEnd w:id="790"/>
      <w:bookmarkEnd w:id="791"/>
      <w:bookmarkEnd w:id="792"/>
      <w:r>
        <w:rPr/>
        <w:t>Conclusiones del capítulo</w:t>
      </w:r>
    </w:p>
    <w:p>
      <w:pPr>
        <w:pStyle w:val="Normal"/>
        <w:rPr/>
      </w:pPr>
      <w:r>
        <w:rPr/>
        <w:t>En el capítulo se construye un marco teórico referencial enfocado en las siguientes perspectivas: la notación y la estructura de los resúmenes, las técnicas de generación, las estrategias de validación de las investigaciones y las áreas de aplicación. Se arriba a las siguientes conclusiones:</w:t>
      </w:r>
    </w:p>
    <w:p>
      <w:pPr>
        <w:pStyle w:val="ListParagraph"/>
        <w:numPr>
          <w:ilvl w:val="0"/>
          <w:numId w:val="56"/>
        </w:numPr>
        <w:rPr/>
      </w:pPr>
      <w:r>
        <w:rPr>
          <w:lang w:val="es-ES"/>
        </w:rPr>
        <w:t xml:space="preserve">En la bibliografía consultada se identifican diferentes </w:t>
      </w:r>
      <w:r>
        <w:rPr/>
        <w:t>protoformas</w:t>
      </w:r>
      <w:r>
        <w:rPr>
          <w:lang w:val="es-ES"/>
        </w:rPr>
        <w:t xml:space="preserve">, generalmente la variabilidad en estas se debe a particularidades de los escenarios de aplicación. La mayoría de las protoformas están diseñadas para el trabajo en el idioma inglés y las más </w:t>
      </w:r>
      <w:r>
        <w:rPr/>
        <w:t xml:space="preserve">generalizadas son las propuestas por J. Kacprzyk y S. Zadrożny. </w:t>
      </w:r>
      <w:r>
        <w:rPr>
          <w:lang w:val="es-ES"/>
        </w:rPr>
        <w:t>Se identifica en este sentido la oportunidad de construir nuevos algoritmos para la generación de resúmenes lingüísticos bajo un enfoque multilingüe.</w:t>
      </w:r>
    </w:p>
    <w:p>
      <w:pPr>
        <w:pStyle w:val="ListParagraph"/>
        <w:numPr>
          <w:ilvl w:val="0"/>
          <w:numId w:val="56"/>
        </w:numPr>
        <w:rPr/>
      </w:pPr>
      <w:r>
        <w:rPr/>
        <w:t>Las técnicas de generación de resúmenes son diversas, se destacan antes del 2015 el uso de métodos basados en consultas</w:t>
      </w:r>
      <w:r>
        <w:rPr>
          <w:lang w:val="es-ES"/>
        </w:rPr>
        <w:t xml:space="preserve">. </w:t>
      </w:r>
      <w:r>
        <w:rPr/>
        <w:t xml:space="preserve">En </w:t>
      </w:r>
      <w:r>
        <w:rPr>
          <w:lang w:val="es-ES"/>
        </w:rPr>
        <w:t xml:space="preserve">los </w:t>
      </w:r>
      <w:r>
        <w:rPr/>
        <w:t>últimos años hay mayor variedad en los métodos de generación de resúmenes lingüísticos</w:t>
      </w:r>
      <w:r>
        <w:rPr>
          <w:lang w:val="es-ES"/>
        </w:rPr>
        <w:t>,</w:t>
      </w:r>
      <w:r>
        <w:rPr/>
        <w:t xml:space="preserve"> se ha incrementado el uso de técnicas asociadas al aprendizaje automático y la minería de datos. Estas nuevas tendencias incorporan a los algoritmos mayor robustez</w:t>
      </w:r>
      <w:r>
        <w:rPr>
          <w:lang w:val="es-ES"/>
        </w:rPr>
        <w:t>;</w:t>
      </w:r>
      <w:r>
        <w:rPr/>
        <w:t xml:space="preserve"> pero se identifica que quedan líneas abiertas a la investigación a partir de la posibilidad de hibridación de diferentes técnicas</w:t>
      </w:r>
      <w:r>
        <w:rPr>
          <w:lang w:val="es-ES"/>
        </w:rPr>
        <w:t>,</w:t>
      </w:r>
      <w:r>
        <w:rPr/>
        <w:t xml:space="preserve"> y una mejor explotación de</w:t>
      </w:r>
      <w:r>
        <w:rPr>
          <w:lang w:val="es-ES"/>
        </w:rPr>
        <w:t xml:space="preserve"> la</w:t>
      </w:r>
      <w:r>
        <w:rPr/>
        <w:t xml:space="preserve"> información asociada a los datos</w:t>
      </w:r>
      <w:r>
        <w:rPr>
          <w:lang w:val="es-ES"/>
        </w:rPr>
        <w:t>,</w:t>
      </w:r>
      <w:r>
        <w:rPr/>
        <w:t xml:space="preserve"> tales como la correlación entre las variables o aspectos específicos de los dominios de aplicación.</w:t>
      </w:r>
    </w:p>
    <w:p>
      <w:pPr>
        <w:pStyle w:val="ListParagraph"/>
        <w:numPr>
          <w:ilvl w:val="0"/>
          <w:numId w:val="56"/>
        </w:numPr>
        <w:rPr/>
      </w:pPr>
      <w:r>
        <w:rPr>
          <w:lang w:val="es-ES"/>
        </w:rPr>
        <w:t xml:space="preserve">Se identifican oportunidades de mejoras en los </w:t>
      </w:r>
      <w:r>
        <w:rPr/>
        <w:t>algoritmos reportados en la bibliografía</w:t>
      </w:r>
      <w:r>
        <w:rPr>
          <w:lang w:val="es-ES"/>
        </w:rPr>
        <w:t xml:space="preserve"> respeto a la eficacia, pues algunos como </w:t>
      </w:r>
      <w:r>
        <w:rPr/>
        <w:t>los basados en reglas y en metaheurísticas</w:t>
      </w:r>
      <w:r>
        <w:rPr>
          <w:lang w:val="es-ES"/>
        </w:rPr>
        <w:t>,</w:t>
      </w:r>
      <w:r>
        <w:rPr/>
        <w:t xml:space="preserve"> no explotan la información estadística asociada a la correlación entre las variables durante el proceso de búsqueda</w:t>
      </w:r>
      <w:r>
        <w:rPr>
          <w:lang w:val="es-ES"/>
        </w:rPr>
        <w:t xml:space="preserve">, y en ocasiones </w:t>
      </w:r>
      <w:r>
        <w:rPr/>
        <w:t>genera</w:t>
      </w:r>
      <w:r>
        <w:rPr>
          <w:lang w:val="es-ES"/>
        </w:rPr>
        <w:t>n</w:t>
      </w:r>
      <w:r>
        <w:rPr/>
        <w:t xml:space="preserve"> resúmenes candidatos que no tienen una representación real en los datos.</w:t>
      </w:r>
    </w:p>
    <w:p>
      <w:pPr>
        <w:pStyle w:val="ListParagraph"/>
        <w:numPr>
          <w:ilvl w:val="0"/>
          <w:numId w:val="56"/>
        </w:numPr>
        <w:rPr/>
      </w:pPr>
      <w:r>
        <w:rPr>
          <w:lang w:val="es-ES"/>
        </w:rPr>
        <w:t xml:space="preserve">Las investigaciones </w:t>
      </w:r>
      <w:r>
        <w:rPr/>
        <w:t xml:space="preserve">reportadas en la bibliografía </w:t>
      </w:r>
      <w:r>
        <w:rPr>
          <w:lang w:val="es-ES"/>
        </w:rPr>
        <w:t xml:space="preserve">que emplean </w:t>
      </w:r>
      <w:r>
        <w:rPr/>
        <w:t>metaheurísticas</w:t>
      </w:r>
      <w:r>
        <w:rPr>
          <w:lang w:val="es-ES"/>
        </w:rPr>
        <w:t>,</w:t>
      </w:r>
      <w:r>
        <w:rPr/>
        <w:t xml:space="preserve"> tienen alto costo computacional, elemento que influye negativamente en la aplicabilidad de estos algoritmos en entornos </w:t>
      </w:r>
      <w:r>
        <w:rPr>
          <w:lang w:val="es-ES"/>
        </w:rPr>
        <w:t>reales</w:t>
      </w:r>
      <w:r>
        <w:rPr/>
        <w:t xml:space="preserve"> de toma de decisiones.</w:t>
      </w:r>
    </w:p>
    <w:p>
      <w:pPr>
        <w:pStyle w:val="ListParagraph"/>
        <w:numPr>
          <w:ilvl w:val="0"/>
          <w:numId w:val="56"/>
        </w:numPr>
        <w:rPr/>
      </w:pPr>
      <w:r>
        <w:rPr/>
        <w:t>Respecto a la validación de las investigaciones publicadas</w:t>
      </w:r>
      <w:r>
        <w:rPr>
          <w:lang w:val="es-ES"/>
        </w:rPr>
        <w:t>,</w:t>
      </w:r>
      <w:r>
        <w:rPr/>
        <w:t xml:space="preserve"> se identifica que hay pocos trabajos que aplican las técnicas de triangulación de datos, triangulación de métodos u otras que ayuden a verificar la capacidad de generalización de las investigaciones. </w:t>
      </w:r>
      <w:r>
        <w:rPr>
          <w:lang w:val="es-ES"/>
        </w:rPr>
        <w:t xml:space="preserve">Esto </w:t>
      </w:r>
      <w:r>
        <w:rPr/>
        <w:t xml:space="preserve">constituye una oportunidad de mejora </w:t>
      </w:r>
      <w:r>
        <w:rPr>
          <w:lang w:val="es-ES"/>
        </w:rPr>
        <w:t xml:space="preserve">para </w:t>
      </w:r>
      <w:r>
        <w:rPr/>
        <w:t>el desarrollo de investigaciones que comparen con profundidad</w:t>
      </w:r>
      <w:r>
        <w:rPr>
          <w:lang w:val="es-ES"/>
        </w:rPr>
        <w:t>,</w:t>
      </w:r>
      <w:r>
        <w:rPr/>
        <w:t xml:space="preserve"> los diferentes métodos de generación de resúmenes</w:t>
      </w:r>
      <w:r>
        <w:rPr>
          <w:lang w:val="es-ES"/>
        </w:rPr>
        <w:t>,</w:t>
      </w:r>
      <w:r>
        <w:rPr/>
        <w:t xml:space="preserve"> y permitan identificar las potencialidades de los mismos para diferentes escenarios.</w:t>
      </w:r>
    </w:p>
    <w:p>
      <w:pPr>
        <w:pStyle w:val="ListParagraph"/>
        <w:numPr>
          <w:ilvl w:val="0"/>
          <w:numId w:val="56"/>
        </w:numPr>
        <w:rPr>
          <w:sz w:val="21"/>
        </w:rPr>
      </w:pPr>
      <w:r>
        <w:rPr/>
        <w:t>Los resúmenes lingüísticos de datos han sido empleados generalmente de forma descriptiva, siendo las áreas de aplicación más explotadas la toma de decisiones en la gestión económica y las ventas desde etapas tempranas del desarrollo de la teoría. No obstante, a partir del 2016</w:t>
      </w:r>
      <w:r>
        <w:rPr>
          <w:lang w:val="es-ES"/>
        </w:rPr>
        <w:t>,</w:t>
      </w:r>
      <w:r>
        <w:rPr/>
        <w:t xml:space="preserve"> hay un incremento significativo de aplicaciones en la medicina, </w:t>
      </w:r>
      <w:r>
        <w:rPr>
          <w:lang w:val="es-ES"/>
        </w:rPr>
        <w:t>en el</w:t>
      </w:r>
      <w:r>
        <w:rPr/>
        <w:t xml:space="preserve"> análisis de datos de dispositivos inteligentes y en el análisis de redes de sensores como parte de</w:t>
      </w:r>
      <w:r>
        <w:rPr>
          <w:lang w:val="es-ES"/>
        </w:rPr>
        <w:t xml:space="preserve"> </w:t>
      </w:r>
      <w:r>
        <w:rPr/>
        <w:t>l</w:t>
      </w:r>
      <w:r>
        <w:rPr>
          <w:lang w:val="es-ES"/>
        </w:rPr>
        <w:t>a</w:t>
      </w:r>
      <w:r>
        <w:rPr/>
        <w:t xml:space="preserve"> internet de las cosas. Se identifica como una línea abierta a la investigación el uso, en mayor medida, de las técnicas de sumarización lingüística de datos </w:t>
      </w:r>
      <w:r>
        <w:rPr>
          <w:lang w:val="es-ES"/>
        </w:rPr>
        <w:t xml:space="preserve">en combinación con otras técnicas en escenarios </w:t>
      </w:r>
      <w:r>
        <w:rPr/>
        <w:t>de toma de decisiones.</w:t>
      </w:r>
    </w:p>
    <w:p>
      <w:pPr>
        <w:pStyle w:val="Heading1"/>
        <w:numPr>
          <w:ilvl w:val="0"/>
          <w:numId w:val="80"/>
        </w:numPr>
        <w:rPr>
          <w:bCs/>
        </w:rPr>
      </w:pPr>
      <w:bookmarkStart w:id="793" w:name="_Toc58849548"/>
      <w:bookmarkStart w:id="794" w:name="_Toc84598927"/>
      <w:bookmarkStart w:id="795" w:name="__RefHeading__382_1220193368"/>
      <w:bookmarkStart w:id="796" w:name="_Toc476476133"/>
      <w:bookmarkStart w:id="797" w:name="_Toc484293883"/>
      <w:bookmarkEnd w:id="795"/>
      <w:bookmarkEnd w:id="796"/>
      <w:bookmarkEnd w:id="797"/>
      <w:r>
        <w:rPr/>
        <w:t>Capítulo 2: Algoritmos para la sumarización lingÜística de datos</w:t>
      </w:r>
      <w:bookmarkEnd w:id="793"/>
      <w:bookmarkEnd w:id="794"/>
      <w:r>
        <w:rPr/>
        <w:t xml:space="preserve"> </w:t>
      </w:r>
    </w:p>
    <w:p>
      <w:pPr>
        <w:pStyle w:val="Normal"/>
        <w:spacing w:before="120" w:after="120"/>
        <w:rPr/>
      </w:pPr>
      <w:r>
        <w:rPr/>
        <w:t xml:space="preserve">En este capítulo se proponen nuevos algoritmos para la generación de resúmenes lingüísticos a partir de datos que combinan diferentes técnicas de computación emergente. En las secciones </w:t>
      </w:r>
      <w:r>
        <w:rPr>
          <w:rFonts w:ascii="ArialMT" w:hAnsi="ArialMT"/>
          <w:color w:val="00000A"/>
          <w:lang w:val="es-CO"/>
        </w:rPr>
        <w:t xml:space="preserve">2.3, 2.4 y 2.5 se proponen los algoritmos </w:t>
      </w:r>
      <w:r>
        <w:rPr>
          <w:rFonts w:ascii="ArialMT" w:hAnsi="ArialMT"/>
          <w:i/>
          <w:color w:val="00000A"/>
          <w:lang w:val="es-CO"/>
        </w:rPr>
        <w:t xml:space="preserve">PCA_LDS, LPA_LDS y RST_LDS </w:t>
      </w:r>
      <w:r>
        <w:rPr>
          <w:rFonts w:ascii="ArialMT" w:hAnsi="ArialMT"/>
          <w:iCs/>
          <w:color w:val="00000A"/>
          <w:lang w:val="es-CO"/>
        </w:rPr>
        <w:t>respectivamente,</w:t>
      </w:r>
      <w:r>
        <w:rPr>
          <w:rFonts w:ascii="ArialMT" w:hAnsi="ArialMT"/>
          <w:i/>
          <w:color w:val="00000A"/>
          <w:lang w:val="es-CO"/>
        </w:rPr>
        <w:t xml:space="preserve"> </w:t>
      </w:r>
      <w:r>
        <w:rPr>
          <w:rFonts w:ascii="ArialMT" w:hAnsi="ArialMT"/>
          <w:iCs/>
          <w:color w:val="00000A"/>
          <w:lang w:val="es-CO"/>
        </w:rPr>
        <w:t>publicados en</w:t>
      </w:r>
      <w:r>
        <w:rPr>
          <w:rFonts w:ascii="ArialMT" w:hAnsi="ArialMT"/>
          <w:i/>
          <w:color w:val="00000A"/>
          <w:lang w:val="es-CO"/>
        </w:rPr>
        <w:t xml:space="preserve"> </w:t>
      </w:r>
      <w:r>
        <w:fldChar w:fldCharType="begin"/>
      </w:r>
      <w:r>
        <w:instrText>ADDIN ZOTERO_ITEM CSL_CITATION {"citationID":"a2cgjq7p2g2","properties":{"formattedCitation":"(P\\uc0\\u233{}rez Pupo, Pi\\uc0\\u241{}ero P\\uc0\\u233{}rez, Bello P\\uc0\\u233{}rez, et\\uc0\\u160{}al. 2020)","plainCitation":"(Pérez Pupo, Piñero Pérez, Bello Pérez, et al. 2020)","noteIndex":0},"citationItems":[{"id":"NJclqhNX/0yLiXkdJ","uris":["http://zotero.org/users/local/rsuvzjK6/items/ZJJ5BQ7R"],"uri":["http://zotero.org/users/local/rsuvzjK6/items/ZJJ5BQ7R"],"itemData":{"id":3333,"type":"paper-conference","abstract":"En el presente trabajo se realiza un análisis del comportamiento histórico de los proyectos de tecnologías de información a partir de reportes internacionales. Y se identifica que entre las principales dificultades se señalan los problemas de toma de decisiones asociadas a los procesos de control y seguimiento. Como parte de la solución a la problemática se proponen tres nuevos algoritmos para la sumarización lingüística de datos. El primer algoritmo se basa en el aprendizaje de reglas de asociación, el segundo combina reglas de asociación con el análisis de componente principales y el tercer algoritmo combina el uso el análisis de componentes principales con el algoritmo de estimación de distribución PADA. Se aplican los algoritmos en base de datos del Repositorio de Investigaciones en Gestión de Proyectos y en la Empresa BusinessRedmine. Se comparan los resultados de los algoritmos considerando aspectos cuantitativos y cualitativos y se demuestra que en general el algoritmo de mejores resultados son los que consideran las relaciones de dependencia entre las variables. Como trabajo futuro se identifica la necesidad de extender los métodos de cálculo de las T.","container-title":"V Conferencia Internacional en Ciencias Computacionales e Informáticas (CICCI’ 2020)","publisher":"Informática CICCI´2020","title":"Aplicaciones de la sumarización lingüística de datos en la toma de decisiones en gestión de proyectos","author":[{"family":"Pérez Pupo","given":"Iliana"},{"family":"Piñero Pérez","given":"Pedro Yobani"},{"family":"Bello Pérez","given":"Rafael Esteban"},{"family":"García Vacacela","given":"Roberto Carlos"},{"family":"Piñero Ramírez","given":"Pedro E."},{"family":"Piñero Ramírez","given":"Carlos M."}],"issued":{"date-parts":[["2020"]]}}}],"schema":"https://github.com/citation-style-language/schema/raw/master/csl-citation.json"}</w:instrText>
      </w:r>
      <w:r>
        <w:fldChar w:fldCharType="separate"/>
      </w:r>
      <w:bookmarkStart w:id="798" w:name="__Fieldmark__6049_2067855929"/>
      <w:r>
        <w:rPr>
          <w:rFonts w:ascii="ArialMT" w:hAnsi="ArialMT"/>
          <w:i/>
          <w:color w:val="00000A"/>
          <w:lang w:val="es-CO"/>
        </w:rPr>
      </w:r>
      <w:r>
        <w:rPr>
          <w:rFonts w:cs="Times New Roman" w:ascii="ArialMT" w:hAnsi="ArialMT"/>
          <w:i/>
          <w:color w:val="00000A"/>
          <w:szCs w:val="24"/>
          <w:lang w:val="es-CO"/>
        </w:rPr>
        <w:t>(</w:t>
      </w:r>
      <w:bookmarkStart w:id="799" w:name="__Fieldmark__5060_498839314"/>
      <w:r>
        <w:rPr>
          <w:rFonts w:cs="Times New Roman" w:ascii="ArialMT" w:hAnsi="ArialMT"/>
          <w:i/>
          <w:color w:val="00000A"/>
          <w:szCs w:val="24"/>
          <w:lang w:val="es-CO"/>
        </w:rPr>
        <w:t>P</w:t>
      </w:r>
      <w:bookmarkStart w:id="800" w:name="__Fieldmark__4373_998588997"/>
      <w:r>
        <w:rPr>
          <w:rFonts w:cs="Times New Roman" w:ascii="ArialMT" w:hAnsi="ArialMT"/>
          <w:i/>
          <w:color w:val="00000A"/>
          <w:szCs w:val="24"/>
          <w:lang w:val="es-CO"/>
        </w:rPr>
        <w:t>é</w:t>
      </w:r>
      <w:bookmarkStart w:id="801" w:name="__Fieldmark__7118_118561941"/>
      <w:r>
        <w:rPr>
          <w:rFonts w:cs="Times New Roman" w:ascii="ArialMT" w:hAnsi="ArialMT"/>
          <w:i/>
          <w:color w:val="00000A"/>
          <w:szCs w:val="24"/>
          <w:lang w:val="es-CO"/>
        </w:rPr>
        <w:t>rez Pupo, Piñero Pérez, Bello Pérez, et al. 2020)</w:t>
      </w:r>
      <w:r>
        <w:rPr>
          <w:rFonts w:ascii="ArialMT" w:hAnsi="ArialMT"/>
          <w:i/>
          <w:color w:val="00000A"/>
          <w:lang w:val="es-CO"/>
        </w:rPr>
      </w:r>
      <w:r>
        <w:fldChar w:fldCharType="end"/>
      </w:r>
      <w:bookmarkEnd w:id="798"/>
      <w:bookmarkEnd w:id="799"/>
      <w:bookmarkEnd w:id="800"/>
      <w:bookmarkEnd w:id="801"/>
      <w:r>
        <w:rPr>
          <w:rFonts w:ascii="ArialMT" w:hAnsi="ArialMT"/>
          <w:color w:val="00000A"/>
          <w:lang w:val="es-CO"/>
        </w:rPr>
        <w:t xml:space="preserve"> </w:t>
      </w:r>
      <w:r>
        <w:fldChar w:fldCharType="begin"/>
      </w:r>
      <w:r>
        <w:instrText>ADDIN ZOTERO_ITEM CSL_CITATION {"citationID":"aal2143ctg","properties":{"formattedCitation":"(P\\uc0\\u233{}rez Pupo et\\uc0\\u160{}al. 2019)","plainCitation":"(Pérez Pupo et al. 2019)","noteIndex":0},"citationItems":[{"id":"NJclqhNX/B03nIoTG","uris":["http://zotero.org/users/local/rsuvzjK6/items/F9ECER9X"],"uri":["http://zotero.org/users/local/rsuvzjK6/items/F9ECER9X"],"itemData":{"id":3534,"type":"paper-conference","container-title":"XXII Ibero-American Conference on Software Engineering, CIbSE 2019","page":"633–640","publisher":"Springer","title":"Algorithms for linguistic data summarization, help in decision-making in project-oriented organizations","author":[{"family":"Pérez Pupo","given":"Iliana"},{"family":"Santos Acosta","given":"Osvaldo"},{"family":"Bello Pérez","given":"Rafael Esteban"},{"family":"Piñero Pérez","given":"Pedro"}],"issued":{"date-parts":[["2019"]]}}}],"schema":"https://github.com/citation-style-language/schema/raw/master/csl-citation.json"}</w:instrText>
      </w:r>
      <w:r>
        <w:fldChar w:fldCharType="separate"/>
      </w:r>
      <w:bookmarkStart w:id="802" w:name="__Fieldmark__6064_2067855929"/>
      <w:r>
        <w:rPr>
          <w:rFonts w:ascii="ArialMT" w:hAnsi="ArialMT"/>
          <w:color w:val="00000A"/>
          <w:lang w:val="es-CO"/>
        </w:rPr>
      </w:r>
      <w:r>
        <w:rPr>
          <w:rFonts w:cs="Times New Roman" w:ascii="ArialMT" w:hAnsi="ArialMT"/>
          <w:color w:val="00000A"/>
          <w:szCs w:val="24"/>
          <w:lang w:val="es-CO"/>
        </w:rPr>
        <w:t>(</w:t>
      </w:r>
      <w:bookmarkStart w:id="803" w:name="__Fieldmark__5071_498839314"/>
      <w:r>
        <w:rPr>
          <w:rFonts w:cs="Times New Roman" w:ascii="ArialMT" w:hAnsi="ArialMT"/>
          <w:color w:val="00000A"/>
          <w:szCs w:val="24"/>
          <w:lang w:val="es-CO"/>
        </w:rPr>
        <w:t>P</w:t>
      </w:r>
      <w:bookmarkStart w:id="804" w:name="__Fieldmark__4380_998588997"/>
      <w:r>
        <w:rPr>
          <w:rFonts w:cs="Times New Roman" w:ascii="ArialMT" w:hAnsi="ArialMT"/>
          <w:color w:val="00000A"/>
          <w:szCs w:val="24"/>
          <w:lang w:val="es-CO"/>
        </w:rPr>
        <w:t>é</w:t>
      </w:r>
      <w:bookmarkStart w:id="805" w:name="__Fieldmark__7123_118561941"/>
      <w:r>
        <w:rPr>
          <w:rFonts w:cs="Times New Roman" w:ascii="ArialMT" w:hAnsi="ArialMT"/>
          <w:color w:val="00000A"/>
          <w:szCs w:val="24"/>
          <w:lang w:val="es-CO"/>
        </w:rPr>
        <w:t>rez Pupo et al. 2019)</w:t>
      </w:r>
      <w:r>
        <w:rPr>
          <w:rFonts w:ascii="ArialMT" w:hAnsi="ArialMT"/>
          <w:color w:val="00000A"/>
          <w:lang w:val="es-CO"/>
        </w:rPr>
      </w:r>
      <w:r>
        <w:fldChar w:fldCharType="end"/>
      </w:r>
      <w:bookmarkEnd w:id="802"/>
      <w:bookmarkEnd w:id="803"/>
      <w:bookmarkEnd w:id="804"/>
      <w:bookmarkEnd w:id="805"/>
      <w:r>
        <w:rPr/>
        <w:t xml:space="preserve">. En la </w:t>
      </w:r>
      <w:r>
        <w:rPr>
          <w:rFonts w:ascii="ArialMT" w:hAnsi="ArialMT"/>
          <w:color w:val="00000A"/>
          <w:lang w:val="es-CO"/>
        </w:rPr>
        <w:t xml:space="preserve">sección 2.6 se discuten diferentes enfoques que combinan la sumarización lingüística de datos con la minería de datos </w:t>
      </w:r>
      <w:r>
        <w:rPr/>
        <w:t xml:space="preserve">anómalos, donde se propone el </w:t>
      </w:r>
      <w:r>
        <w:rPr>
          <w:rFonts w:ascii="ArialMT" w:hAnsi="ArialMT"/>
          <w:color w:val="00000A"/>
          <w:lang w:val="es-CO"/>
        </w:rPr>
        <w:t xml:space="preserve">algoritmo </w:t>
      </w:r>
      <w:r>
        <w:rPr>
          <w:rFonts w:ascii="ArialMT" w:hAnsi="ArialMT"/>
          <w:i/>
          <w:color w:val="00000A"/>
          <w:lang w:val="es-CO"/>
        </w:rPr>
        <w:t xml:space="preserve">LDS_outliers </w:t>
      </w:r>
      <w:r>
        <w:fldChar w:fldCharType="begin"/>
      </w:r>
      <w:r>
        <w:instrText>ADDIN ZOTERO_ITEM CSL_CITATION {"citationID":"a2fq10jumts","properties":{"formattedCitation":"(P\\uc0\\u233{}rez Pupo, Pi\\uc0\\u241{}ero P\\uc0\\u233{}rez, Vacacela, et\\uc0\\u160{}al. 2020)","plainCitation":"(Pérez Pupo, Piñero Pérez, Vacacela, et al. 2020)","noteIndex":0},"citationItems":[{"id":"NJclqhNX/ApDoS2n4","uris":["http://zotero.org/users/local/rsuvzjK6/items/5UTLXIFQ"],"uri":["http://zotero.org/users/local/rsuvzjK6/items/5UTLXIFQ"],"itemData":{"id":3311,"type":"paper-conference","abstract":"Linguistic data summarization techniques help to discover complex relationships between variables and to present the information in natural language. There are some investigations associated to algorithms to build linguistic summaries. But the literature does no report investigations concerned with combination linguistic data summarization techniques and outliers’ mining applied to planning of software project. In particular, outliers’ mining is a datamining technique, useful in errors and fraud detection. In this work authors present new algorithms to build linguistic data summaries from outliers in software project planning context. Besides, authors compare different outliers’ detection algorithms in software project planning context. The main motivation of this work is to detect planning errors in projects, to avoid high cost and time delays. Authors consider that the combination of outliers’ mining and linguistic data summarization support project managers to decision-making process in the software project planning. Finally, authors present the interpretation of obtained summaries and comment about its impact..","collection-title":"12179 LNAI","container-title":"International Joint Conference on Rough Sets. Lecture Notes in Computer Science ISSN 0302-9743, Springer, 12179 LNAI, ISBN 978-3-030-52704-4","DOI":"10.1007/978-3-030-52705-1_27","page":"365–375","publisher":"Lecture Notes in Computer Science, Springer","title":"Discovering Fails in Software Projects Planning Based on Linguistic Summaries","URL":"https://link.springer.com/content/pdf/10.1007%2F978-3-030-52705-1_27.pdf","author":[{"family":"Pérez Pupo","given":"Iliana"},{"family":"Piñero Pérez","given":"Pedro Yobani"},{"family":"Vacacela","given":"Roberto García"},{"family":"Bello","given":"Rafael"},{"family":"Acuña","given":"Luis Alvarado"}],"issued":{"date-parts":[["2020"]]}}}],"schema":"https://github.com/citation-style-language/schema/raw/master/csl-citation.json"}</w:instrText>
      </w:r>
      <w:r>
        <w:fldChar w:fldCharType="separate"/>
      </w:r>
      <w:bookmarkStart w:id="806" w:name="__Fieldmark__6084_2067855929"/>
      <w:r>
        <w:rPr>
          <w:rFonts w:ascii="ArialMT" w:hAnsi="ArialMT"/>
          <w:i/>
          <w:color w:val="00000A"/>
          <w:lang w:val="es-CO"/>
        </w:rPr>
      </w:r>
      <w:r>
        <w:rPr>
          <w:rFonts w:cs="Times New Roman" w:ascii="ArialMT" w:hAnsi="ArialMT"/>
          <w:i/>
          <w:color w:val="00000A"/>
          <w:szCs w:val="24"/>
          <w:lang w:val="es-CO"/>
        </w:rPr>
        <w:t>(</w:t>
      </w:r>
      <w:bookmarkStart w:id="807" w:name="__Fieldmark__5086_498839314"/>
      <w:r>
        <w:rPr>
          <w:rFonts w:cs="Times New Roman" w:ascii="ArialMT" w:hAnsi="ArialMT"/>
          <w:i/>
          <w:color w:val="00000A"/>
          <w:szCs w:val="24"/>
          <w:lang w:val="es-CO"/>
        </w:rPr>
        <w:t>P</w:t>
      </w:r>
      <w:bookmarkStart w:id="808" w:name="__Fieldmark__4391_998588997"/>
      <w:r>
        <w:rPr>
          <w:rFonts w:cs="Times New Roman" w:ascii="ArialMT" w:hAnsi="ArialMT"/>
          <w:i/>
          <w:color w:val="00000A"/>
          <w:szCs w:val="24"/>
          <w:lang w:val="es-CO"/>
        </w:rPr>
        <w:t>é</w:t>
      </w:r>
      <w:bookmarkStart w:id="809" w:name="__Fieldmark__7139_118561941"/>
      <w:r>
        <w:rPr>
          <w:rFonts w:cs="Times New Roman" w:ascii="ArialMT" w:hAnsi="ArialMT"/>
          <w:i/>
          <w:color w:val="00000A"/>
          <w:szCs w:val="24"/>
          <w:lang w:val="es-CO"/>
        </w:rPr>
        <w:t>rez Pupo, Piñero Pérez, Vacacela, et al. 2020)</w:t>
      </w:r>
      <w:r>
        <w:rPr>
          <w:rFonts w:ascii="ArialMT" w:hAnsi="ArialMT"/>
          <w:i/>
          <w:color w:val="00000A"/>
          <w:lang w:val="es-CO"/>
        </w:rPr>
      </w:r>
      <w:r>
        <w:fldChar w:fldCharType="end"/>
      </w:r>
      <w:bookmarkEnd w:id="806"/>
      <w:bookmarkEnd w:id="807"/>
      <w:bookmarkEnd w:id="808"/>
      <w:bookmarkEnd w:id="809"/>
      <w:r>
        <w:rPr>
          <w:rFonts w:ascii="ArialMT" w:hAnsi="ArialMT"/>
          <w:color w:val="00000A"/>
          <w:lang w:val="es-CO"/>
        </w:rPr>
        <w:t xml:space="preserve">. Los algoritmos propuestos </w:t>
      </w:r>
      <w:r>
        <w:rPr/>
        <w:t>generan resúmenes que pueden ser expresados en múltiples idiomas haciendo uso de los lenguajes naturales controlados.</w:t>
      </w:r>
    </w:p>
    <w:p>
      <w:pPr>
        <w:pStyle w:val="Normal"/>
        <w:spacing w:before="120" w:after="120"/>
        <w:rPr>
          <w:rFonts w:eastAsia="MS Gothic"/>
          <w:b/>
          <w:b/>
          <w:bCs w:val="false"/>
          <w:vanish/>
        </w:rPr>
      </w:pPr>
      <w:r>
        <w:rPr>
          <w:rFonts w:eastAsia="MS Gothic"/>
          <w:b/>
          <w:bCs w:val="false"/>
          <w:vanish/>
        </w:rPr>
      </w:r>
    </w:p>
    <w:p>
      <w:pPr>
        <w:pStyle w:val="Heading2"/>
        <w:numPr>
          <w:ilvl w:val="1"/>
          <w:numId w:val="80"/>
        </w:numPr>
        <w:rPr/>
      </w:pPr>
      <w:bookmarkStart w:id="810" w:name="_Toc84598928"/>
      <w:bookmarkStart w:id="811" w:name="_Toc68722172"/>
      <w:bookmarkStart w:id="812" w:name="_Toc68722246"/>
      <w:bookmarkStart w:id="813" w:name="_Toc68932978"/>
      <w:bookmarkStart w:id="814" w:name="_Toc68946344"/>
      <w:bookmarkStart w:id="815" w:name="_Toc68972818"/>
      <w:bookmarkStart w:id="816" w:name="_Toc68974321"/>
      <w:bookmarkStart w:id="817" w:name="_Toc68975192"/>
      <w:bookmarkStart w:id="818" w:name="_Toc68978840"/>
      <w:bookmarkStart w:id="819" w:name="_Toc70273119"/>
      <w:bookmarkStart w:id="820" w:name="_Toc70274288"/>
      <w:bookmarkStart w:id="821" w:name="_Toc70274337"/>
      <w:bookmarkStart w:id="822" w:name="_Toc79055666"/>
      <w:bookmarkStart w:id="823" w:name="_Toc79055823"/>
      <w:bookmarkStart w:id="824" w:name="_Toc79078312"/>
      <w:bookmarkStart w:id="825" w:name="_Toc79055667"/>
      <w:bookmarkStart w:id="826" w:name="_Toc79055824"/>
      <w:bookmarkStart w:id="827" w:name="_Toc79078313"/>
      <w:bookmarkStart w:id="828" w:name="_Toc79055668"/>
      <w:bookmarkStart w:id="829" w:name="_Toc79055825"/>
      <w:bookmarkStart w:id="830" w:name="_Toc79078314"/>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r>
        <w:rPr/>
        <w:t>Notaciones y definiciones fundamentales empleadas en el capítulo.</w:t>
      </w:r>
    </w:p>
    <w:p>
      <w:pPr>
        <w:pStyle w:val="Normal"/>
        <w:spacing w:before="120" w:after="120"/>
        <w:rPr/>
      </w:pPr>
      <w:r>
        <w:rPr/>
        <w:t>Notación común de los algoritmos propuestos:</w:t>
      </w:r>
    </w:p>
    <w:p>
      <w:pPr>
        <w:pStyle w:val="Normal"/>
        <w:spacing w:lineRule="auto" w:line="360" w:before="0" w:after="0"/>
        <w:ind w:left="660" w:hanging="376"/>
        <w:rPr>
          <w:iCs/>
          <w:szCs w:val="20"/>
        </w:rPr>
      </w:pPr>
      <w:r>
        <w:rPr>
          <w:i/>
          <w:iCs/>
          <w:szCs w:val="20"/>
        </w:rPr>
        <w:t xml:space="preserve">U: </w:t>
      </w:r>
      <w:r>
        <w:rPr>
          <w:iCs/>
          <w:szCs w:val="20"/>
        </w:rPr>
        <w:t>conjunto de datos (</w:t>
      </w:r>
      <w:r>
        <w:rPr>
          <w:i/>
          <w:szCs w:val="20"/>
        </w:rPr>
        <w:t>dataset</w:t>
      </w:r>
      <w:r>
        <w:rPr>
          <w:iCs/>
          <w:szCs w:val="20"/>
        </w:rPr>
        <w:t xml:space="preserve">) formado por </w:t>
      </w:r>
      <w:r>
        <w:rPr>
          <w:i/>
          <w:szCs w:val="20"/>
        </w:rPr>
        <w:t>n</w:t>
      </w:r>
      <w:r>
        <w:rPr>
          <w:iCs/>
          <w:szCs w:val="20"/>
        </w:rPr>
        <w:t xml:space="preserve"> objetos, </w:t>
      </w:r>
      <w:r>
        <w:rPr>
          <w:iCs/>
        </w:rPr>
        <w:t xml:space="preserve">cada objeto representa una fila del </w:t>
      </w:r>
      <w:r>
        <w:rPr>
          <w:i/>
        </w:rPr>
        <w:t>dataset</w:t>
      </w:r>
      <w:r>
        <w:rPr>
          <w:iCs/>
        </w:rPr>
        <w:t xml:space="preserve"> </w:t>
      </w:r>
      <w:r>
        <w:rPr>
          <w:i/>
        </w:rPr>
        <w:t>U</w:t>
      </w:r>
      <w:r>
        <w:rPr>
          <w:iCs/>
        </w:rPr>
        <w:t xml:space="preserve"> tal que </w:t>
      </w:r>
      <w:r>
        <w:rPr>
          <w:i/>
          <w:szCs w:val="20"/>
        </w:rPr>
        <w:t>n</w:t>
      </w:r>
      <w:r>
        <w:rPr>
          <w:iCs/>
          <w:szCs w:val="20"/>
        </w:rPr>
        <w:t xml:space="preserve"> = </w:t>
      </w:r>
      <w:r>
        <w:rPr>
          <w:i/>
        </w:rPr>
        <w:t>|U|.</w:t>
      </w:r>
    </w:p>
    <w:p>
      <w:pPr>
        <w:pStyle w:val="Normal"/>
        <w:spacing w:lineRule="auto" w:line="360" w:before="0" w:after="0"/>
        <w:ind w:left="284" w:hanging="0"/>
        <w:rPr>
          <w:i/>
          <w:i/>
          <w:iCs/>
          <w:szCs w:val="20"/>
        </w:rPr>
      </w:pPr>
      <w:r>
        <w:rPr>
          <w:i/>
          <w:iCs/>
          <w:szCs w:val="20"/>
        </w:rPr>
        <w:t>H:</w:t>
      </w:r>
      <w:r>
        <w:rPr>
          <w:iCs/>
          <w:szCs w:val="20"/>
        </w:rPr>
        <w:t xml:space="preserve"> conjunto de atributos que describen a los objetos en </w:t>
      </w:r>
      <w:r>
        <w:rPr>
          <w:i/>
          <w:szCs w:val="20"/>
        </w:rPr>
        <w:t>U</w:t>
      </w:r>
      <w:r>
        <w:rPr>
          <w:iCs/>
          <w:szCs w:val="20"/>
        </w:rPr>
        <w:t xml:space="preserve"> tal que </w:t>
      </w:r>
      <w:r>
        <w:rPr>
          <w:i/>
        </w:rPr>
        <w:t>p = |H|</w:t>
      </w:r>
      <w:r>
        <w:rPr>
          <w:i/>
          <w:iCs/>
          <w:szCs w:val="20"/>
        </w:rPr>
        <w:t>.</w:t>
      </w:r>
    </w:p>
    <w:p>
      <w:pPr>
        <w:pStyle w:val="Normal"/>
        <w:spacing w:before="120" w:after="120"/>
        <w:ind w:left="709" w:hanging="360"/>
        <w:rPr/>
      </w:pPr>
      <w:r>
        <w:rPr>
          <w:i/>
        </w:rPr>
        <w:t>A</w:t>
      </w:r>
      <w:r>
        <w:rPr>
          <w:i/>
          <w:vertAlign w:val="subscript"/>
        </w:rPr>
        <w:t>LV</w:t>
      </w:r>
      <w:r>
        <w:rPr/>
        <w:t xml:space="preserve">: conjunto de variables lingüísticas (ver </w:t>
      </w:r>
      <w:r>
        <w:rPr/>
        <w:fldChar w:fldCharType="begin"/>
      </w:r>
      <w:r>
        <w:instrText> REF _Ref68945615 \h </w:instrText>
      </w:r>
      <w:r>
        <w:fldChar w:fldCharType="separate"/>
      </w:r>
      <w:r>
        <w:t>Definición 1</w:t>
      </w:r>
      <w:r>
        <w:fldChar w:fldCharType="end"/>
      </w:r>
      <w:r>
        <w:rPr/>
        <w:t xml:space="preserve">) que describen a los atributos </w:t>
      </w:r>
      <w:r>
        <w:rPr>
          <w:i/>
        </w:rPr>
        <w:t xml:space="preserve">H </w:t>
      </w:r>
      <w:r>
        <w:rPr>
          <w:iCs/>
        </w:rPr>
        <w:t xml:space="preserve">tal que existe una variable lingüística por cada atributo en </w:t>
      </w:r>
      <w:r>
        <w:rPr>
          <w:i/>
        </w:rPr>
        <w:t>H</w:t>
      </w:r>
      <w:r>
        <w:rPr/>
        <w:t>.</w:t>
      </w:r>
    </w:p>
    <w:p>
      <w:pPr>
        <w:pStyle w:val="Normal"/>
        <w:spacing w:before="120" w:after="120"/>
        <w:ind w:left="709" w:hanging="379"/>
        <w:rPr/>
      </w:pPr>
      <w:r>
        <w:rPr>
          <w:i/>
        </w:rPr>
        <w:t xml:space="preserve">m = </w:t>
      </w:r>
      <w:r>
        <w:rPr>
          <w:i/>
        </w:rPr>
      </w:r>
      <m:oMath xmlns:m="http://schemas.openxmlformats.org/officeDocument/2006/math">
        <m:limLow>
          <m:e>
            <m:r>
              <w:rPr>
                <w:rFonts w:ascii="Cambria Math" w:hAnsi="Cambria Math"/>
              </w:rPr>
              <m:t xml:space="preserve">max</m:t>
            </m:r>
          </m:e>
          <m:lim>
            <m:r>
              <w:rPr>
                <w:rFonts w:ascii="Cambria Math" w:hAnsi="Cambria Math"/>
              </w:rPr>
              <m:t xml:space="preserve">∀</m:t>
            </m:r>
            <m:sSub>
              <m:e>
                <m:r>
                  <w:rPr>
                    <w:rFonts w:ascii="Cambria Math" w:hAnsi="Cambria Math"/>
                  </w:rPr>
                  <m:t xml:space="preserve">A</m:t>
                </m:r>
              </m:e>
              <m:sub>
                <m:sSub>
                  <m:e>
                    <m:r>
                      <w:rPr>
                        <w:rFonts w:ascii="Cambria Math" w:hAnsi="Cambria Math"/>
                      </w:rPr>
                      <m:t xml:space="preserve">LV</m:t>
                    </m:r>
                  </m:e>
                  <m:sub>
                    <m:r>
                      <w:rPr>
                        <w:rFonts w:ascii="Cambria Math" w:hAnsi="Cambria Math"/>
                      </w:rPr>
                      <m:t xml:space="preserve">i</m:t>
                    </m:r>
                  </m:sub>
                </m:sSub>
              </m:sub>
            </m:sSub>
            <m:r>
              <w:rPr>
                <w:rFonts w:ascii="Cambria Math" w:hAnsi="Cambria Math"/>
              </w:rPr>
              <m:t xml:space="preserve">∈</m:t>
            </m:r>
            <m:sSub>
              <m:e>
                <m:r>
                  <w:rPr>
                    <w:rFonts w:ascii="Cambria Math" w:hAnsi="Cambria Math"/>
                  </w:rPr>
                  <m:t xml:space="preserve">A</m:t>
                </m:r>
              </m:e>
              <m:sub>
                <m:r>
                  <w:rPr>
                    <w:rFonts w:ascii="Cambria Math" w:hAnsi="Cambria Math"/>
                  </w:rPr>
                  <m:t xml:space="preserve">LV</m:t>
                </m:r>
              </m:sub>
            </m:sSub>
          </m:lim>
        </m:limLow>
        <m:d>
          <m:dPr>
            <m:begChr m:val="|"/>
            <m:endChr m:val="|"/>
          </m:dPr>
          <m:e>
            <m:sSub>
              <m:e>
                <m:r>
                  <w:rPr>
                    <w:rFonts w:ascii="Cambria Math" w:hAnsi="Cambria Math"/>
                  </w:rPr>
                  <m:t xml:space="preserve">A</m:t>
                </m:r>
              </m:e>
              <m:sub>
                <m:sSub>
                  <m:e>
                    <m:r>
                      <w:rPr>
                        <w:rFonts w:ascii="Cambria Math" w:hAnsi="Cambria Math"/>
                      </w:rPr>
                      <m:t xml:space="preserve">LV</m:t>
                    </m:r>
                  </m:e>
                  <m:sub>
                    <m:r>
                      <w:rPr>
                        <w:rFonts w:ascii="Cambria Math" w:hAnsi="Cambria Math"/>
                      </w:rPr>
                      <m:t xml:space="preserve">i</m:t>
                    </m:r>
                  </m:sub>
                </m:sSub>
              </m:sub>
            </m:sSub>
          </m:e>
        </m:d>
      </m:oMath>
      <w:r>
        <w:rPr>
          <w:iCs/>
        </w:rPr>
        <w:t>c</w:t>
      </w:r>
      <w:r>
        <w:rPr/>
        <w:t>antidad máxima de conjuntos borrosos de una variable lingüística.</w:t>
      </w:r>
    </w:p>
    <w:p>
      <w:pPr>
        <w:pStyle w:val="Normal"/>
        <w:spacing w:before="120" w:after="120"/>
        <w:ind w:left="284" w:hanging="0"/>
        <w:rPr/>
      </w:pPr>
      <w:r>
        <w:rPr>
          <w:i/>
        </w:rPr>
        <w:t>LV</w:t>
      </w:r>
      <w:r>
        <w:rPr>
          <w:i/>
          <w:vertAlign w:val="subscript"/>
        </w:rPr>
        <w:t>Q</w:t>
      </w:r>
      <w:r>
        <w:rPr>
          <w:i/>
        </w:rPr>
        <w:t xml:space="preserve">: </w:t>
      </w:r>
      <w:r>
        <w:rPr/>
        <w:t>variable lingüística para los cuantificadores de los resúmenes.</w:t>
      </w:r>
    </w:p>
    <w:p>
      <w:pPr>
        <w:pStyle w:val="Normal"/>
        <w:spacing w:before="120" w:after="120"/>
        <w:ind w:left="880" w:hanging="550"/>
        <w:rPr/>
      </w:pPr>
      <w:r>
        <w:rPr>
          <w:i/>
        </w:rPr>
        <w:t>LNC</w:t>
      </w:r>
      <w:r>
        <w:rPr/>
        <w:t xml:space="preserve">: lenguaje natural controlado (ver </w:t>
      </w:r>
      <w:r>
        <w:rPr/>
        <w:fldChar w:fldCharType="begin"/>
      </w:r>
      <w:r>
        <w:instrText> REF _Ref79226104 \h </w:instrText>
      </w:r>
      <w:r>
        <w:fldChar w:fldCharType="separate"/>
      </w:r>
      <w:r>
        <w:t>Definición 2</w:t>
      </w:r>
      <w:r>
        <w:fldChar w:fldCharType="end"/>
      </w:r>
      <w:r>
        <w:rPr/>
        <w:t xml:space="preserve">) empleado, que incluye </w:t>
      </w:r>
      <w:r>
        <w:rPr>
          <w:rFonts w:cs="Times New Roman"/>
          <w:szCs w:val="18"/>
        </w:rPr>
        <w:t>la</w:t>
      </w:r>
      <w:r>
        <w:rPr>
          <w:szCs w:val="18"/>
        </w:rPr>
        <w:t xml:space="preserve"> gramática</w:t>
      </w:r>
      <w:r>
        <w:rPr>
          <w:i/>
          <w:iCs/>
          <w:szCs w:val="18"/>
        </w:rPr>
        <w:t xml:space="preserve"> </w:t>
      </w:r>
      <w:r>
        <w:rPr>
          <w:rFonts w:cs="Times New Roman"/>
          <w:i/>
          <w:iCs/>
          <w:szCs w:val="18"/>
        </w:rPr>
        <w:t>LNC</w:t>
      </w:r>
      <w:r>
        <w:rPr>
          <w:rFonts w:cs="Times New Roman"/>
          <w:i/>
          <w:iCs/>
          <w:szCs w:val="18"/>
          <w:vertAlign w:val="subscript"/>
        </w:rPr>
        <w:t>Grammar</w:t>
      </w:r>
      <w:r>
        <w:rPr>
          <w:i/>
          <w:iCs/>
          <w:szCs w:val="18"/>
        </w:rPr>
        <w:t xml:space="preserve"> y </w:t>
      </w:r>
      <w:r>
        <w:rPr/>
        <w:t>el</w:t>
      </w:r>
      <w:r>
        <w:rPr>
          <w:i/>
        </w:rPr>
        <w:t xml:space="preserve"> </w:t>
      </w:r>
      <w:r>
        <w:rPr/>
        <w:t xml:space="preserve">diccionario </w:t>
      </w:r>
      <w:r>
        <w:rPr>
          <w:rFonts w:cs="Times New Roman"/>
          <w:i/>
          <w:iCs/>
          <w:szCs w:val="18"/>
        </w:rPr>
        <w:t>LNC</w:t>
      </w:r>
      <w:r>
        <w:rPr>
          <w:rFonts w:cs="Times New Roman"/>
          <w:i/>
          <w:iCs/>
          <w:szCs w:val="18"/>
          <w:vertAlign w:val="subscript"/>
        </w:rPr>
        <w:t xml:space="preserve">Dictionary </w:t>
      </w:r>
      <w:r>
        <w:rPr/>
        <w:t>con frases simples que describen a las variables y los atributos del problema en cuestión.</w:t>
      </w:r>
      <w:r>
        <w:rPr>
          <w:rFonts w:cs="Times New Roman"/>
          <w:i/>
          <w:iCs/>
          <w:szCs w:val="18"/>
        </w:rPr>
        <w:t xml:space="preserve"> </w:t>
      </w:r>
    </w:p>
    <w:p>
      <w:pPr>
        <w:pStyle w:val="Normal"/>
        <w:spacing w:before="120" w:after="120"/>
        <w:ind w:left="567" w:hanging="270"/>
        <w:rPr/>
      </w:pPr>
      <w:r>
        <w:rPr>
          <w:i/>
        </w:rPr>
        <w:t xml:space="preserve">T = </w:t>
      </w:r>
      <w:r>
        <w:rPr>
          <w:i/>
        </w:rPr>
      </w:r>
      <m:oMath xmlns:m="http://schemas.openxmlformats.org/officeDocument/2006/math">
        <m:sSub>
          <m:e>
            <m:r>
              <w:rPr>
                <w:rFonts w:ascii="Cambria Math" w:hAnsi="Cambria Math"/>
              </w:rPr>
              <m:t xml:space="preserve">T</m:t>
            </m:r>
          </m:e>
          <m:sub>
            <m:r>
              <w:rPr>
                <w:rFonts w:ascii="Cambria Math" w:hAnsi="Cambria Math"/>
              </w:rPr>
              <m:t xml:space="preserve">tradicional</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e</m:t>
            </m:r>
          </m:sub>
        </m:sSub>
      </m:oMath>
      <w:r>
        <w:rPr/>
        <w:t xml:space="preserve"> tal que </w:t>
      </w:r>
      <w:r>
        <w:rPr/>
      </w:r>
      <m:oMath xmlns:m="http://schemas.openxmlformats.org/officeDocument/2006/math">
        <m:sSub>
          <m:e>
            <m:r>
              <w:rPr>
                <w:rFonts w:ascii="Cambria Math" w:hAnsi="Cambria Math"/>
              </w:rPr>
              <m:t xml:space="preserve">T</m:t>
            </m:r>
          </m:e>
          <m:sub>
            <m:r>
              <w:rPr>
                <w:rFonts w:ascii="Cambria Math" w:hAnsi="Cambria Math"/>
              </w:rPr>
              <m:t xml:space="preserve">tradicional</m:t>
            </m:r>
          </m:sub>
        </m:sSub>
      </m:oMath>
      <w:r>
        <w:rPr/>
        <w:t xml:space="preserve"> son los indicadores tradicionales de evaluación de calidad de los resúmenes lingüísticos </w:t>
      </w:r>
      <w:r>
        <w:fldChar w:fldCharType="begin"/>
      </w:r>
      <w:r>
        <w:instrText>ADDIN ZOTERO_ITEM CSL_CITATION {"citationID":"n648rl6u","properties":{"formattedCitation":"(Zadeh 1983)","plainCitation":"(Zadeh 1983)","noteIndex":0},"citationItems":[{"id":"NJclqhNX/oiCPLXAg","uris":["http://zotero.org/users/local/rsuvzjK6/items/JNTI42JZ"],"uri":["http://zotero.org/users/local/rsuvzjK6/items/JNTI42JZ"],"itemData":{"id":16,"type":"article-journal","title":"A computational approach to fuzzy quantifiers in natural languages","container-title":"Computers &amp; Mathematics with applications","page":"149–184","volume":"9","issue":"1","author":[{"family":"Zadeh","given":"Lotfi A"}],"issued":{"date-parts":[["1983"]]}}}],"schema":"https://github.com/citation-style-language/schema/raw/master/csl-citation.json"}</w:instrText>
      </w:r>
      <w:r>
        <w:fldChar w:fldCharType="separate"/>
      </w:r>
      <w:bookmarkStart w:id="831" w:name="__Fieldmark__6230_2067855929"/>
      <w:r>
        <w:rPr/>
        <w:t>(</w:t>
      </w:r>
      <w:bookmarkStart w:id="832" w:name="__Fieldmark__5227_498839314"/>
      <w:r>
        <w:rPr/>
        <w:t>Z</w:t>
      </w:r>
      <w:bookmarkStart w:id="833" w:name="__Fieldmark__4528_998588997"/>
      <w:r>
        <w:rPr/>
        <w:t>a</w:t>
      </w:r>
      <w:bookmarkStart w:id="834" w:name="__Fieldmark__7400_118561941"/>
      <w:r>
        <w:rPr/>
        <w:t>deh 1983)</w:t>
      </w:r>
      <w:r>
        <w:rPr/>
      </w:r>
      <w:r>
        <w:fldChar w:fldCharType="end"/>
      </w:r>
      <w:bookmarkEnd w:id="831"/>
      <w:bookmarkEnd w:id="832"/>
      <w:bookmarkEnd w:id="833"/>
      <w:bookmarkEnd w:id="834"/>
      <w:r>
        <w:rPr/>
        <w:t xml:space="preserve">, y </w:t>
      </w:r>
      <w:r>
        <w:rPr>
          <w:i/>
        </w:rPr>
        <w:t>T</w:t>
      </w:r>
      <w:r>
        <w:rPr>
          <w:i/>
          <w:vertAlign w:val="subscript"/>
        </w:rPr>
        <w:t>e</w:t>
      </w:r>
      <w:r>
        <w:rPr/>
        <w:t xml:space="preserve"> son los nuevos indicadores que extienden a los tradicionales, ambos conjuntos presentados en el capítulo 3. </w:t>
      </w:r>
    </w:p>
    <w:p>
      <w:pPr>
        <w:pStyle w:val="Normal"/>
        <w:spacing w:before="0" w:after="0"/>
        <w:ind w:left="330" w:hanging="0"/>
        <w:rPr>
          <w:i/>
          <w:i/>
          <w:iCs/>
          <w:szCs w:val="20"/>
        </w:rPr>
      </w:pPr>
      <w:r>
        <w:rPr>
          <w:rFonts w:eastAsia="Symbol" w:cs="Symbol" w:ascii="Symbol" w:hAnsi="Symbol"/>
          <w:i/>
          <w:iCs/>
          <w:szCs w:val="20"/>
        </w:rPr>
        <w:t></w:t>
      </w:r>
      <w:r>
        <w:rPr>
          <w:i/>
          <w:iCs/>
          <w:szCs w:val="20"/>
        </w:rPr>
        <w:t xml:space="preserve"> </w:t>
      </w:r>
      <w:r>
        <w:rPr>
          <w:i/>
          <w:iCs/>
          <w:szCs w:val="20"/>
        </w:rPr>
        <w:t xml:space="preserve">: </w:t>
      </w:r>
      <w:r>
        <w:rPr/>
        <w:t>umbral para el cálculo de indicadores extendidos.</w:t>
      </w:r>
    </w:p>
    <w:p>
      <w:pPr>
        <w:pStyle w:val="Normal"/>
        <w:spacing w:before="120" w:after="120"/>
        <w:ind w:left="567" w:hanging="270"/>
        <w:rPr/>
      </w:pPr>
      <w:r>
        <w:rPr>
          <w:i/>
        </w:rPr>
        <w:t>tnorm y snorm</w:t>
      </w:r>
      <w:r>
        <w:rPr/>
        <w:t>: operadores de agregación t-norma y co-norma respectivamente.</w:t>
      </w:r>
    </w:p>
    <w:p>
      <w:pPr>
        <w:pStyle w:val="Normal"/>
        <w:spacing w:before="120" w:after="120"/>
        <w:rPr/>
      </w:pPr>
      <w:bookmarkStart w:id="835" w:name="_Ref68945615"/>
      <w:r>
        <w:rPr>
          <w:b/>
        </w:rPr>
        <w:t xml:space="preserve">Definición </w:t>
      </w:r>
      <w:r>
        <w:rPr>
          <w:b/>
        </w:rPr>
        <w:fldChar w:fldCharType="begin"/>
      </w:r>
      <w:r>
        <w:instrText> SEQ Definición \* ARABIC </w:instrText>
      </w:r>
      <w:r>
        <w:fldChar w:fldCharType="separate"/>
      </w:r>
      <w:r>
        <w:t>1</w:t>
      </w:r>
      <w:r>
        <w:fldChar w:fldCharType="end"/>
      </w:r>
      <w:bookmarkEnd w:id="835"/>
      <w:r>
        <w:rPr>
          <w:b/>
        </w:rPr>
        <w:t xml:space="preserve">: </w:t>
      </w:r>
      <w:r>
        <w:rPr/>
        <w:t xml:space="preserve">una variable lingüística, </w:t>
      </w:r>
      <w:r>
        <w:fldChar w:fldCharType="begin"/>
      </w:r>
      <w:r>
        <w:instrText>ADDIN ZOTERO_ITEM CSL_CITATION {"citationID":"C6f5AIfb","properties":{"formattedCitation":"(Zadeh 1976)","plainCitation":"(Zadeh 1976)","noteIndex":0},"citationItems":[{"id":"NJclqhNX/c0t4dfXh","uris":["http://zotero.org/users/local/rsuvzjK6/items/MHNCPF9H"],"uri":["http://zotero.org/users/local/rsuvzjK6/items/MHNCPF9H"],"itemData":{"id":2934,"type":"article-journal","page":"43-80","title":"The concept of a linguistic variable and its applications to approximate reasoning","author":[{"family":"Zadeh","given":"Lotfi A"}],"issued":{"date-parts":[["1976"]]}}}],"schema":"https://github.com/citation-style-language/schema/raw/master/csl-citation.json"}</w:instrText>
      </w:r>
      <w:r>
        <w:fldChar w:fldCharType="separate"/>
      </w:r>
      <w:bookmarkStart w:id="836" w:name="__Fieldmark__6262_2067855929"/>
      <w:r>
        <w:rPr/>
        <w:t>(</w:t>
      </w:r>
      <w:bookmarkStart w:id="837" w:name="__Fieldmark__5255_498839314"/>
      <w:r>
        <w:rPr/>
        <w:t>Z</w:t>
      </w:r>
      <w:bookmarkStart w:id="838" w:name="__Fieldmark__4552_998588997"/>
      <w:r>
        <w:rPr/>
        <w:t>a</w:t>
      </w:r>
      <w:bookmarkStart w:id="839" w:name="__Fieldmark__7436_118561941"/>
      <w:r>
        <w:rPr/>
        <w:t>deh 1976)</w:t>
      </w:r>
      <w:r>
        <w:rPr/>
      </w:r>
      <w:r>
        <w:fldChar w:fldCharType="end"/>
      </w:r>
      <w:bookmarkEnd w:id="836"/>
      <w:bookmarkEnd w:id="837"/>
      <w:bookmarkEnd w:id="838"/>
      <w:bookmarkEnd w:id="839"/>
      <w:r>
        <w:rPr/>
        <w:t xml:space="preserve">, es definida por un quíntuplo </w:t>
      </w:r>
      <w:r>
        <w:rPr>
          <w:i/>
        </w:rPr>
        <w:t>(x, T(x), X, G, M)</w:t>
      </w:r>
      <w:r>
        <w:rPr/>
        <w:t xml:space="preserve"> en el cual </w:t>
      </w:r>
      <w:r>
        <w:rPr>
          <w:i/>
        </w:rPr>
        <w:t>x</w:t>
      </w:r>
      <w:r>
        <w:rPr/>
        <w:t xml:space="preserve"> es el nombre de la variable, </w:t>
      </w:r>
      <w:r>
        <w:rPr>
          <w:i/>
        </w:rPr>
        <w:t>T(X)</w:t>
      </w:r>
      <w:r>
        <w:rPr/>
        <w:t xml:space="preserve"> es el conjunto de términos lingüísticos, </w:t>
      </w:r>
      <w:r>
        <w:rPr>
          <w:i/>
        </w:rPr>
        <w:t>X</w:t>
      </w:r>
      <w:r>
        <w:rPr/>
        <w:t xml:space="preserve"> es el universo de discurso, </w:t>
      </w:r>
      <w:r>
        <w:rPr>
          <w:i/>
        </w:rPr>
        <w:t>M</w:t>
      </w:r>
      <w:r>
        <w:rPr/>
        <w:t xml:space="preserve"> es una regla semántica que asocia a cada </w:t>
      </w:r>
      <w:r>
        <w:rPr>
          <w:iCs/>
        </w:rPr>
        <w:t>valor lingüístico</w:t>
      </w:r>
      <w:r>
        <w:rPr>
          <w:i/>
        </w:rPr>
        <w:t xml:space="preserve"> Z </w:t>
      </w:r>
      <w:r>
        <w:rPr/>
        <w:t xml:space="preserve">su significado </w:t>
      </w:r>
      <w:r>
        <w:rPr>
          <w:i/>
        </w:rPr>
        <w:t>M(Z)</w:t>
      </w:r>
      <w:r>
        <w:rPr/>
        <w:t xml:space="preserve">, donde </w:t>
      </w:r>
      <w:r>
        <w:rPr>
          <w:i/>
        </w:rPr>
        <w:t xml:space="preserve">M(Z) </w:t>
      </w:r>
      <w:r>
        <w:rPr/>
        <w:t xml:space="preserve">denota un conjunto borroso en </w:t>
      </w:r>
      <w:r>
        <w:rPr>
          <w:i/>
        </w:rPr>
        <w:t>X,</w:t>
      </w:r>
      <w:r>
        <w:rPr/>
        <w:t xml:space="preserve"> y </w:t>
      </w:r>
      <w:r>
        <w:rPr>
          <w:i/>
        </w:rPr>
        <w:t>G</w:t>
      </w:r>
      <w:r>
        <w:rPr/>
        <w:t xml:space="preserve"> es el conjunto de reglas sintácticas de generación de términos compuestos, a partir de los términos atómicos que configuran las sentencias que dan lugar a cada valor lingüístico.</w:t>
      </w:r>
    </w:p>
    <w:p>
      <w:pPr>
        <w:pStyle w:val="Normal"/>
        <w:spacing w:before="120" w:after="120"/>
        <w:textAlignment w:val="auto"/>
        <w:rPr/>
      </w:pPr>
      <w:bookmarkStart w:id="840" w:name="_Ref79226104"/>
      <w:r>
        <w:rPr>
          <w:b/>
        </w:rPr>
        <w:t xml:space="preserve">Definición </w:t>
      </w:r>
      <w:r>
        <w:rPr>
          <w:b/>
        </w:rPr>
        <w:fldChar w:fldCharType="begin"/>
      </w:r>
      <w:r>
        <w:instrText> SEQ Definición \* ARABIC </w:instrText>
      </w:r>
      <w:r>
        <w:fldChar w:fldCharType="separate"/>
      </w:r>
      <w:r>
        <w:t>2</w:t>
      </w:r>
      <w:r>
        <w:fldChar w:fldCharType="end"/>
      </w:r>
      <w:bookmarkEnd w:id="840"/>
      <w:r>
        <w:rPr>
          <w:b/>
        </w:rPr>
        <w:t xml:space="preserve"> </w:t>
      </w:r>
      <w:r>
        <w:fldChar w:fldCharType="begin"/>
      </w:r>
      <w:r>
        <w:instrText>ADDIN ZOTERO_ITEM CSL_CITATION {"citationID":"a5ubumoqp5","properties":{"formattedCitation":"(Kuhn 2014)","plainCitation":"(Kuhn 2014)","noteIndex":0},"citationItems":[{"id":"NJclqhNX/Dg5J7Bv0","uris":["http://zotero.org/users/local/rsuvzjK6/items/SPMTGCUS"],"uri":["http://zotero.org/users/local/rsuvzjK6/items/SPMTGCUS"],"itemData":{"id":3478,"type":"article-journal","container-title":"Computational Linguistics, ISSN: 0891-2017","DOI":"10.1162/COLI_a_00168","ISSN":"0891-2017","issue":"1","language":"en","page":"121–170","title":"A Survey and Classification of Controlled Natural Languages","volume":"40","author":[{"family":"Kuhn","given":"Tobias"}],"issued":{"date-parts":[["2014",3]]}}}],"schema":"https://github.com/citation-style-language/schema/raw/master/csl-citation.json"}</w:instrText>
      </w:r>
      <w:r>
        <w:fldChar w:fldCharType="separate"/>
      </w:r>
      <w:bookmarkStart w:id="841" w:name="__Fieldmark__6308_2067855929"/>
      <w:r>
        <w:rPr>
          <w:b/>
        </w:rPr>
        <w:t>(</w:t>
      </w:r>
      <w:bookmarkStart w:id="842" w:name="__Fieldmark__5294_498839314"/>
      <w:r>
        <w:rPr>
          <w:b/>
        </w:rPr>
        <w:t>K</w:t>
      </w:r>
      <w:bookmarkStart w:id="843" w:name="__Fieldmark__4587_998588997"/>
      <w:r>
        <w:rPr>
          <w:b/>
        </w:rPr>
        <w:t>u</w:t>
      </w:r>
      <w:bookmarkStart w:id="844" w:name="__Fieldmark__7476_118561941"/>
      <w:r>
        <w:rPr>
          <w:b/>
        </w:rPr>
        <w:t>hn 2014)</w:t>
      </w:r>
      <w:r>
        <w:rPr>
          <w:b/>
        </w:rPr>
      </w:r>
      <w:r>
        <w:fldChar w:fldCharType="end"/>
      </w:r>
      <w:bookmarkEnd w:id="841"/>
      <w:bookmarkEnd w:id="842"/>
      <w:bookmarkEnd w:id="843"/>
      <w:bookmarkEnd w:id="844"/>
      <w:r>
        <w:rPr>
          <w:lang w:eastAsia="en-US"/>
        </w:rPr>
        <w:t xml:space="preserve"> </w:t>
      </w:r>
      <w:r>
        <w:fldChar w:fldCharType="begin"/>
      </w:r>
      <w:r>
        <w:instrText>ADDIN ZOTERO_ITEM CSL_CITATION {"citationID":"a177f4cci7q","properties":{"formattedCitation":"(Kittredge 2003)","plainCitation":"(Kittredge 2003)","noteIndex":0},"citationItems":[{"id":"NJclqhNX/sy97QAyg","uris":["http://zotero.org/users/local/rsuvzjK6/items/D3EI2Q84"],"uri":["http://zotero.org/users/local/rsuvzjK6/items/D3EI2Q84"],"itemData":{"id":3641,"type":"article-journal","abstract":"\"Sublanguages and Controlled Languages\" published on  by Oxford University Press.","container-title":"The Oxford Handbook of Computational Linguistics 2nd edition, 2016, ISBN: 9780199573691","DOI":"10.1093/oxfordhb/9780199573691.013.015","language":"en","note":"ISBN: 9780199573691","page":"430-447","title":"Sublanguages and Controlled Languages","author":[{"family":"Kittredge","given":"Richard I."}],"issued":{"date-parts":[["2003"]]}}}],"schema":"https://github.com/citation-style-language/schema/raw/master/csl-citation.json"}</w:instrText>
      </w:r>
      <w:r>
        <w:fldChar w:fldCharType="separate"/>
      </w:r>
      <w:bookmarkStart w:id="845" w:name="__Fieldmark__6323_2067855929"/>
      <w:r>
        <w:rPr>
          <w:lang w:eastAsia="en-US"/>
        </w:rPr>
        <w:t>(</w:t>
      </w:r>
      <w:bookmarkStart w:id="846" w:name="__Fieldmark__5305_498839314"/>
      <w:r>
        <w:rPr>
          <w:lang w:eastAsia="en-US"/>
        </w:rPr>
        <w:t>K</w:t>
      </w:r>
      <w:bookmarkStart w:id="847" w:name="__Fieldmark__4594_998588997"/>
      <w:r>
        <w:rPr>
          <w:lang w:eastAsia="en-US"/>
        </w:rPr>
        <w:t>i</w:t>
      </w:r>
      <w:bookmarkStart w:id="848" w:name="__Fieldmark__7481_118561941"/>
      <w:r>
        <w:rPr>
          <w:lang w:eastAsia="en-US"/>
        </w:rPr>
        <w:t>ttredge 2003)</w:t>
      </w:r>
      <w:r>
        <w:rPr>
          <w:lang w:eastAsia="en-US"/>
        </w:rPr>
      </w:r>
      <w:r>
        <w:fldChar w:fldCharType="end"/>
      </w:r>
      <w:bookmarkEnd w:id="845"/>
      <w:bookmarkEnd w:id="846"/>
      <w:bookmarkEnd w:id="847"/>
      <w:bookmarkEnd w:id="848"/>
      <w:r>
        <w:rPr/>
        <w:t>: S</w:t>
      </w:r>
      <w:r>
        <w:rPr>
          <w:lang w:eastAsia="en-US"/>
        </w:rPr>
        <w:t xml:space="preserve">e define que un lenguaje natural controlado (LNC) es un lenguaje construido, basado en cierto lenguaje natural, más restrictivo en lo concerniente al léxico, sintaxis y/o semántica mientras se preserva la mayoría de sus propiedades naturales, de manera que los hablantes de la lengua base pueden de manera intuitiva y correcta, entender textos en el lenguaje natural controlado, al menos en un grado sustancial. Visto de forma práctica, un LNC está definido por una gramática que establece la sintaxis y un diccionario que describe el léxico y la semántica.  </w:t>
      </w:r>
    </w:p>
    <w:p>
      <w:pPr>
        <w:pStyle w:val="Heading2"/>
        <w:numPr>
          <w:ilvl w:val="1"/>
          <w:numId w:val="80"/>
        </w:numPr>
        <w:rPr/>
      </w:pPr>
      <w:bookmarkStart w:id="849" w:name="_Toc84598929"/>
      <w:bookmarkStart w:id="850" w:name="_Toc58849550"/>
      <w:bookmarkStart w:id="851" w:name="_Toc68721149"/>
      <w:bookmarkStart w:id="852" w:name="_Toc68721540"/>
      <w:bookmarkStart w:id="853" w:name="_Toc68721819"/>
      <w:bookmarkStart w:id="854" w:name="_Toc68722174"/>
      <w:bookmarkStart w:id="855" w:name="_Toc68722248"/>
      <w:bookmarkStart w:id="856" w:name="_Toc68932980"/>
      <w:bookmarkStart w:id="857" w:name="_Toc68946346"/>
      <w:bookmarkStart w:id="858" w:name="_Toc68972820"/>
      <w:bookmarkStart w:id="859" w:name="_Toc68974323"/>
      <w:bookmarkStart w:id="860" w:name="_Toc68975194"/>
      <w:bookmarkStart w:id="861" w:name="_Toc68978842"/>
      <w:bookmarkStart w:id="862" w:name="_Toc70273121"/>
      <w:bookmarkStart w:id="863" w:name="_Toc70274290"/>
      <w:bookmarkStart w:id="864" w:name="_Toc70274339"/>
      <w:bookmarkStart w:id="865" w:name="_Toc79055670"/>
      <w:bookmarkStart w:id="866" w:name="_Toc79055827"/>
      <w:bookmarkStart w:id="867" w:name="_Toc79078316"/>
      <w:bookmarkStart w:id="868" w:name="_Toc68721151"/>
      <w:bookmarkStart w:id="869" w:name="_Toc68721542"/>
      <w:bookmarkStart w:id="870" w:name="_Toc68721821"/>
      <w:bookmarkStart w:id="871" w:name="_Toc68722176"/>
      <w:bookmarkStart w:id="872" w:name="_Toc68722250"/>
      <w:bookmarkStart w:id="873" w:name="_Toc68932982"/>
      <w:bookmarkStart w:id="874" w:name="_Toc68946348"/>
      <w:bookmarkStart w:id="875" w:name="_Toc68972822"/>
      <w:bookmarkStart w:id="876" w:name="_Toc68974325"/>
      <w:bookmarkStart w:id="877" w:name="_Toc68975196"/>
      <w:bookmarkStart w:id="878" w:name="_Toc68978844"/>
      <w:bookmarkStart w:id="879" w:name="_Toc70273123"/>
      <w:bookmarkStart w:id="880" w:name="_Toc70274292"/>
      <w:bookmarkStart w:id="881" w:name="_Toc70274341"/>
      <w:bookmarkStart w:id="882" w:name="_Toc79055672"/>
      <w:bookmarkStart w:id="883" w:name="_Toc79055829"/>
      <w:bookmarkStart w:id="884" w:name="_Toc79078318"/>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r>
        <w:rPr/>
        <w:t>Estructura de los resúmenes que se construyen siguiendo enfoque multilingüe</w:t>
      </w:r>
      <w:bookmarkEnd w:id="849"/>
      <w:bookmarkEnd w:id="850"/>
      <w:r>
        <w:rPr/>
        <w:t>.</w:t>
      </w:r>
    </w:p>
    <w:p>
      <w:pPr>
        <w:pStyle w:val="Normal"/>
        <w:suppressAutoHyphens w:val="false"/>
        <w:overflowPunct w:val="true"/>
        <w:spacing w:lineRule="auto" w:line="360" w:before="0" w:after="0"/>
        <w:contextualSpacing/>
        <w:textAlignment w:val="auto"/>
        <w:rPr/>
      </w:pPr>
      <w:r>
        <w:rPr/>
        <w:t>En esta sección se define la estructura de las protoformas construidas por los algoritmos propuestos en la investigación, basadas en las protoformas “</w:t>
      </w:r>
      <w:r>
        <w:rPr>
          <w:i/>
        </w:rPr>
        <w:t xml:space="preserve">Qy’s are S” </w:t>
      </w:r>
      <w:r>
        <w:rPr>
          <w:iCs/>
        </w:rPr>
        <w:t>y</w:t>
      </w:r>
      <w:r>
        <w:rPr/>
        <w:t xml:space="preserve"> “</w:t>
      </w:r>
      <w:r>
        <w:rPr>
          <w:i/>
        </w:rPr>
        <w:t xml:space="preserve">QRy’s are S” </w:t>
      </w:r>
      <w:r>
        <w:rPr/>
        <w:t xml:space="preserve"> empleadas en </w:t>
      </w:r>
      <w:r>
        <w:fldChar w:fldCharType="begin"/>
      </w:r>
      <w:r>
        <w:instrText>ADDIN ZOTERO_ITEM CSL_CITATION {"citationID":"a2kktpkegiv","properties":{"formattedCitation":"(Kacprzyk, Janusz y Zadro\\uc0\\u380{}ny 2005)","plainCitation":"(Kacprzyk, Janusz y Zadrożny 2005)","noteIndex":0},"citationItems":[{"id":4,"uris":["http://zotero.org/users/local/EJ15hJE2/items/4K2AX2GP"],"uri":["http://zotero.org/users/local/EJ15hJE2/items/4K2AX2GP"],"itemData":{"id":4,"type":"article-journal","container-title":"Information Sciences","DOI":"10.1016/j.ins.2005.03.002","issue":"4","page":"281–304","title":"Linguistic database summaries and their protoforms: towards natural language based knowledge discovery tools","volume":"173","author":[{"family":"Kacprzyk","given":"Janusz"},{"family":"Zadrożny","given":"Sławomir"}],"issued":{"date-parts":[["2005"]]}}}],"schema":"https://github.com/citation-style-language/schema/raw/master/csl-citation.json"}</w:instrText>
      </w:r>
      <w:r>
        <w:fldChar w:fldCharType="separate"/>
      </w:r>
      <w:bookmarkStart w:id="885" w:name="__Fieldmark__6457_2067855929"/>
      <w:r>
        <w:rPr/>
      </w:r>
      <w:r>
        <w:rPr>
          <w:szCs w:val="24"/>
        </w:rPr>
        <w:t>(</w:t>
      </w:r>
      <w:bookmarkStart w:id="886" w:name="__Fieldmark__5432_498839314"/>
      <w:r>
        <w:rPr>
          <w:szCs w:val="24"/>
        </w:rPr>
        <w:t>K</w:t>
      </w:r>
      <w:bookmarkStart w:id="887" w:name="__Fieldmark__4717_998588997"/>
      <w:r>
        <w:rPr>
          <w:szCs w:val="24"/>
        </w:rPr>
        <w:t>a</w:t>
      </w:r>
      <w:bookmarkStart w:id="888" w:name="__Fieldmark__7623_118561941"/>
      <w:r>
        <w:rPr>
          <w:szCs w:val="24"/>
        </w:rPr>
        <w:t>cprzyk, Janusz y Zadrożny 2005)</w:t>
      </w:r>
      <w:r>
        <w:rPr/>
      </w:r>
      <w:r>
        <w:fldChar w:fldCharType="end"/>
      </w:r>
      <w:bookmarkEnd w:id="885"/>
      <w:bookmarkEnd w:id="886"/>
      <w:bookmarkEnd w:id="887"/>
      <w:bookmarkEnd w:id="888"/>
      <w:r>
        <w:rPr/>
        <w:t xml:space="preserve">, ver </w:t>
      </w:r>
      <w:r>
        <w:rPr/>
        <w:fldChar w:fldCharType="begin"/>
      </w:r>
      <w:r>
        <w:instrText> REF _Ref51676665 \h </w:instrText>
      </w:r>
      <w:r>
        <w:fldChar w:fldCharType="separate"/>
      </w:r>
      <w:r>
        <w:t>Tabla 3</w:t>
      </w:r>
      <w:r>
        <w:fldChar w:fldCharType="end"/>
      </w:r>
      <w:r>
        <w:rPr/>
        <w:t xml:space="preserve"> en el Capítulo 1. </w:t>
      </w:r>
    </w:p>
    <w:p>
      <w:pPr>
        <w:pStyle w:val="Normal"/>
        <w:spacing w:before="120" w:after="120"/>
        <w:rPr/>
      </w:pPr>
      <w:r>
        <w:rPr/>
        <w:t xml:space="preserve">A continuación, se describen las variables lingüísticas </w:t>
      </w:r>
      <w:r>
        <w:rPr>
          <w:i/>
        </w:rPr>
        <w:t>LV</w:t>
      </w:r>
      <w:r>
        <w:rPr>
          <w:i/>
          <w:vertAlign w:val="subscript"/>
        </w:rPr>
        <w:t>Q</w:t>
      </w:r>
      <w:r>
        <w:rPr/>
        <w:t xml:space="preserve"> que representan a los cuantificadores </w:t>
      </w:r>
      <w:r>
        <w:rPr>
          <w:i/>
          <w:iCs/>
        </w:rPr>
        <w:t xml:space="preserve">Q </w:t>
      </w:r>
      <w:r>
        <w:rPr>
          <w:iCs/>
        </w:rPr>
        <w:t xml:space="preserve">empleados </w:t>
      </w:r>
      <w:r>
        <w:rPr/>
        <w:t xml:space="preserve">en la investigación, a partir de la </w:t>
      </w:r>
      <w:r>
        <w:rPr/>
        <w:fldChar w:fldCharType="begin"/>
      </w:r>
      <w:r>
        <w:instrText> REF _Ref68945615 \h </w:instrText>
      </w:r>
      <w:r>
        <w:fldChar w:fldCharType="separate"/>
      </w:r>
      <w:r>
        <w:t>Definición 1</w:t>
      </w:r>
      <w:r>
        <w:fldChar w:fldCharType="end"/>
      </w:r>
      <w:r>
        <w:rPr/>
        <w:t xml:space="preserve">: </w:t>
      </w:r>
    </w:p>
    <w:p>
      <w:pPr>
        <w:pStyle w:val="Normal"/>
        <w:numPr>
          <w:ilvl w:val="0"/>
          <w:numId w:val="17"/>
        </w:numPr>
        <w:spacing w:before="120" w:after="85"/>
        <w:ind w:left="426" w:hanging="284"/>
        <w:rPr>
          <w:rFonts w:cs="Times New Roman"/>
          <w:lang w:val="x-none"/>
        </w:rPr>
      </w:pPr>
      <w:r>
        <w:rPr>
          <w:rFonts w:cs="Times New Roman"/>
          <w:i/>
          <w:lang w:val="x-none"/>
        </w:rPr>
        <w:t>T(</w:t>
      </w:r>
      <w:r>
        <w:rPr>
          <w:rFonts w:cs="Times New Roman"/>
          <w:i/>
        </w:rPr>
        <w:t>x</w:t>
      </w:r>
      <w:r>
        <w:rPr>
          <w:rFonts w:cs="Times New Roman"/>
          <w:i/>
          <w:lang w:val="x-none"/>
        </w:rPr>
        <w:t>)</w:t>
      </w:r>
      <w:r>
        <w:rPr>
          <w:rFonts w:cs="Times New Roman"/>
          <w:lang w:val="x-none"/>
        </w:rPr>
        <w:t xml:space="preserve"> </w:t>
      </w:r>
      <w:r>
        <w:rPr>
          <w:rFonts w:cs="Times New Roman"/>
        </w:rPr>
        <w:t xml:space="preserve">= </w:t>
      </w:r>
      <w:r>
        <w:rPr>
          <w:rFonts w:cs="Times New Roman"/>
          <w:i/>
          <w:lang w:val="x-none"/>
        </w:rPr>
        <w:t>{“Muy pocos (menos del 5%)”, “Pocos (alrededor del 15%)”,</w:t>
      </w:r>
      <w:r>
        <w:rPr>
          <w:rFonts w:cs="Times New Roman"/>
          <w:i/>
        </w:rPr>
        <w:t xml:space="preserve"> </w:t>
      </w:r>
      <w:r>
        <w:rPr>
          <w:rFonts w:cs="Times New Roman"/>
          <w:i/>
          <w:lang w:val="x-none"/>
        </w:rPr>
        <w:t>“Algunos (alrededor del 33%)”,</w:t>
      </w:r>
      <w:r>
        <w:rPr>
          <w:rFonts w:cs="Times New Roman"/>
          <w:i/>
        </w:rPr>
        <w:t xml:space="preserve"> </w:t>
      </w:r>
      <w:r>
        <w:rPr>
          <w:rFonts w:cs="Times New Roman"/>
          <w:i/>
          <w:lang w:val="x-none"/>
        </w:rPr>
        <w:t>“Aproximadamente la mitad”,</w:t>
      </w:r>
      <w:r>
        <w:rPr>
          <w:rFonts w:cs="Times New Roman"/>
          <w:i/>
        </w:rPr>
        <w:t xml:space="preserve"> </w:t>
      </w:r>
      <w:r>
        <w:rPr>
          <w:rFonts w:cs="Times New Roman"/>
          <w:i/>
          <w:lang w:val="x-none"/>
        </w:rPr>
        <w:t>“Muchos (cerca del 65%)”, “La mayoría (alrededor del 83%)”,</w:t>
      </w:r>
      <w:r>
        <w:rPr>
          <w:rFonts w:cs="Times New Roman"/>
          <w:i/>
        </w:rPr>
        <w:t xml:space="preserve"> </w:t>
      </w:r>
      <w:r>
        <w:rPr>
          <w:rFonts w:cs="Times New Roman"/>
          <w:i/>
          <w:lang w:val="x-none"/>
        </w:rPr>
        <w:t>“Casi la totalidad”}</w:t>
      </w:r>
    </w:p>
    <w:p>
      <w:pPr>
        <w:pStyle w:val="Normal"/>
        <w:numPr>
          <w:ilvl w:val="0"/>
          <w:numId w:val="17"/>
        </w:numPr>
        <w:spacing w:before="120" w:after="85"/>
        <w:ind w:left="426" w:hanging="284"/>
        <w:rPr>
          <w:rFonts w:cs="Times New Roman"/>
          <w:lang w:val="x-none"/>
        </w:rPr>
      </w:pPr>
      <w:r>
        <w:rPr>
          <w:rFonts w:cs="Times New Roman"/>
          <w:i/>
          <w:lang w:val="x-none"/>
        </w:rPr>
        <w:t>X</w:t>
      </w:r>
      <w:r>
        <w:rPr>
          <w:rFonts w:cs="Times New Roman"/>
          <w:lang w:val="x-none"/>
        </w:rPr>
        <w:t xml:space="preserve"> es el universo de discurso</w:t>
      </w:r>
      <w:r>
        <w:rPr>
          <w:rFonts w:cs="Times New Roman"/>
        </w:rPr>
        <w:t xml:space="preserve"> definido en el intervalo </w:t>
      </w:r>
      <w:r>
        <w:rPr>
          <w:rFonts w:cs="Times New Roman"/>
          <w:lang w:val="x-none"/>
        </w:rPr>
        <w:t>[0, 1]</w:t>
      </w:r>
      <w:r>
        <w:rPr>
          <w:rFonts w:cs="Times New Roman"/>
        </w:rPr>
        <w:t>.</w:t>
      </w:r>
    </w:p>
    <w:p>
      <w:pPr>
        <w:pStyle w:val="Normal"/>
        <w:numPr>
          <w:ilvl w:val="0"/>
          <w:numId w:val="17"/>
        </w:numPr>
        <w:spacing w:before="120" w:after="85"/>
        <w:ind w:left="426" w:hanging="284"/>
        <w:rPr/>
      </w:pPr>
      <w:r>
        <w:rPr>
          <w:rFonts w:cs="Times New Roman"/>
          <w:i/>
          <w:lang w:val="x-none"/>
        </w:rPr>
        <w:t>G</w:t>
      </w:r>
      <w:r>
        <w:rPr>
          <w:rFonts w:cs="Times New Roman"/>
          <w:lang w:val="x-none"/>
        </w:rPr>
        <w:t xml:space="preserve"> regla sintáctica que describe la relación entre los conjuntos borrosos</w:t>
      </w:r>
      <w:r>
        <w:rPr>
          <w:rFonts w:cs="Times New Roman"/>
        </w:rPr>
        <w:t xml:space="preserve">, que puede ser representada por funciones campana de Gauss o funciones triangulares, ver </w:t>
      </w:r>
      <w:r>
        <w:rPr>
          <w:rFonts w:cs="Times New Roman"/>
        </w:rPr>
        <w:fldChar w:fldCharType="begin"/>
      </w:r>
      <w:r>
        <w:instrText> REF _Ref68935582 \h </w:instrText>
      </w:r>
      <w:r>
        <w:fldChar w:fldCharType="separate"/>
      </w:r>
      <w:r>
        <w:t>Tabla 4</w:t>
      </w:r>
      <w:r>
        <w:fldChar w:fldCharType="end"/>
      </w:r>
      <w:r>
        <w:rPr>
          <w:rFonts w:cs="Times New Roman"/>
        </w:rPr>
        <w:t>.</w:t>
      </w:r>
    </w:p>
    <w:p>
      <w:pPr>
        <w:pStyle w:val="Normal"/>
        <w:keepNext/>
        <w:overflowPunct w:val="true"/>
        <w:spacing w:lineRule="auto" w:line="240" w:before="60" w:after="120"/>
        <w:ind w:left="850" w:hanging="170"/>
        <w:jc w:val="center"/>
        <w:textAlignment w:val="auto"/>
        <w:rPr/>
      </w:pPr>
      <w:bookmarkStart w:id="889" w:name="_Toc58849593"/>
      <w:bookmarkStart w:id="890" w:name="_Toc84598974"/>
      <w:bookmarkStart w:id="891" w:name="_Ref68935582"/>
      <w:r>
        <w:rPr>
          <w:rFonts w:cs="Verdana"/>
          <w:sz w:val="20"/>
        </w:rPr>
        <w:t xml:space="preserve">Tabla </w:t>
      </w:r>
      <w:r>
        <w:rPr>
          <w:rFonts w:cs="Verdana"/>
          <w:sz w:val="20"/>
        </w:rPr>
        <w:fldChar w:fldCharType="begin"/>
      </w:r>
      <w:r>
        <w:instrText> SEQ Tabla \* ARABIC </w:instrText>
      </w:r>
      <w:r>
        <w:fldChar w:fldCharType="separate"/>
      </w:r>
      <w:r>
        <w:t>4</w:t>
      </w:r>
      <w:r>
        <w:fldChar w:fldCharType="end"/>
      </w:r>
      <w:bookmarkEnd w:id="889"/>
      <w:bookmarkEnd w:id="890"/>
      <w:bookmarkEnd w:id="891"/>
      <w:r>
        <w:rPr>
          <w:rFonts w:cs="Verdana"/>
          <w:sz w:val="20"/>
        </w:rPr>
        <w:t>: Funciones de pertenencia que representan a los cuantificadores.</w:t>
      </w:r>
    </w:p>
    <w:tbl>
      <w:tblPr>
        <w:tblStyle w:val="Tablaconcuadrcula"/>
        <w:tblW w:w="5000" w:type="pct"/>
        <w:jc w:val="center"/>
        <w:tblInd w:w="0" w:type="dxa"/>
        <w:tblCellMar>
          <w:top w:w="0" w:type="dxa"/>
          <w:left w:w="93" w:type="dxa"/>
          <w:bottom w:w="0" w:type="dxa"/>
          <w:right w:w="108" w:type="dxa"/>
        </w:tblCellMar>
        <w:tblLook w:val="04a0" w:noVBand="1" w:noHBand="0" w:lastColumn="0" w:firstColumn="1" w:lastRow="0" w:firstRow="1"/>
      </w:tblPr>
      <w:tblGrid>
        <w:gridCol w:w="1557"/>
        <w:gridCol w:w="449"/>
        <w:gridCol w:w="2104"/>
        <w:gridCol w:w="285"/>
        <w:gridCol w:w="2551"/>
        <w:gridCol w:w="413"/>
        <w:gridCol w:w="1619"/>
      </w:tblGrid>
      <w:tr>
        <w:trPr/>
        <w:tc>
          <w:tcPr>
            <w:tcW w:w="1557" w:type="dxa"/>
            <w:tcBorders>
              <w:right w:val="nil"/>
              <w:insideV w:val="nil"/>
            </w:tcBorders>
            <w:shd w:color="auto" w:fill="auto" w:val="clear"/>
            <w:tcMar>
              <w:left w:w="93" w:type="dxa"/>
            </w:tcMar>
            <w:vAlign w:val="center"/>
          </w:tcPr>
          <w:p>
            <w:pPr>
              <w:pStyle w:val="Normal"/>
              <w:spacing w:lineRule="auto" w:line="247" w:before="60" w:after="60"/>
              <w:jc w:val="center"/>
              <w:rPr/>
            </w:pPr>
            <w:r>
              <w:rPr/>
              <w:t>Término lingüístico</w:t>
            </w:r>
          </w:p>
        </w:tc>
        <w:tc>
          <w:tcPr>
            <w:tcW w:w="2838" w:type="dxa"/>
            <w:gridSpan w:val="3"/>
            <w:tcBorders>
              <w:left w:val="nil"/>
              <w:right w:val="nil"/>
              <w:insideV w:val="nil"/>
            </w:tcBorders>
            <w:shd w:color="auto" w:fill="auto" w:val="clear"/>
            <w:tcMar>
              <w:left w:w="113" w:type="dxa"/>
            </w:tcMar>
            <w:vAlign w:val="center"/>
          </w:tcPr>
          <w:p>
            <w:pPr>
              <w:pStyle w:val="Normal"/>
              <w:spacing w:lineRule="auto" w:line="247" w:before="60" w:after="60"/>
              <w:jc w:val="center"/>
              <w:rPr/>
            </w:pPr>
            <w:r>
              <w:rPr/>
              <w:t>Funciones de pertenencia campana Gauss (a, b, c)</w:t>
            </w:r>
          </w:p>
        </w:tc>
        <w:tc>
          <w:tcPr>
            <w:tcW w:w="2964" w:type="dxa"/>
            <w:gridSpan w:val="2"/>
            <w:tcBorders>
              <w:left w:val="nil"/>
              <w:right w:val="nil"/>
              <w:insideV w:val="nil"/>
            </w:tcBorders>
            <w:shd w:color="auto" w:fill="auto" w:val="clear"/>
            <w:tcMar>
              <w:left w:w="113" w:type="dxa"/>
            </w:tcMar>
            <w:vAlign w:val="center"/>
          </w:tcPr>
          <w:p>
            <w:pPr>
              <w:pStyle w:val="Normal"/>
              <w:spacing w:lineRule="auto" w:line="247" w:before="60" w:after="60"/>
              <w:jc w:val="center"/>
              <w:rPr/>
            </w:pPr>
            <w:r>
              <w:rPr/>
              <w:t>Funciones de pertenencias triangulares (a,b,c)</w:t>
            </w:r>
          </w:p>
        </w:tc>
        <w:tc>
          <w:tcPr>
            <w:tcW w:w="1619" w:type="dxa"/>
            <w:tcBorders>
              <w:left w:val="nil"/>
            </w:tcBorders>
            <w:shd w:color="auto" w:fill="auto" w:val="clear"/>
            <w:tcMar>
              <w:left w:w="113" w:type="dxa"/>
            </w:tcMar>
            <w:vAlign w:val="center"/>
          </w:tcPr>
          <w:p>
            <w:pPr>
              <w:pStyle w:val="Normal"/>
              <w:spacing w:lineRule="auto" w:line="247" w:before="60" w:after="60"/>
              <w:jc w:val="center"/>
              <w:rPr/>
            </w:pPr>
            <w:r>
              <w:rPr/>
              <w:t>Interpretación</w:t>
            </w:r>
          </w:p>
        </w:tc>
      </w:tr>
      <w:tr>
        <w:trPr/>
        <w:tc>
          <w:tcPr>
            <w:tcW w:w="2006" w:type="dxa"/>
            <w:gridSpan w:val="2"/>
            <w:tcBorders>
              <w:top w:val="nil"/>
              <w:bottom w:val="nil"/>
              <w:right w:val="nil"/>
              <w:insideH w:val="nil"/>
              <w:insideV w:val="nil"/>
            </w:tcBorders>
            <w:shd w:color="auto" w:fill="auto" w:val="clear"/>
            <w:tcMar>
              <w:left w:w="93" w:type="dxa"/>
            </w:tcMar>
            <w:vAlign w:val="center"/>
          </w:tcPr>
          <w:p>
            <w:pPr>
              <w:pStyle w:val="Normal"/>
              <w:spacing w:lineRule="auto" w:line="247" w:before="60" w:after="60"/>
              <w:jc w:val="center"/>
              <w:rPr/>
            </w:pPr>
            <w:r>
              <w:rPr>
                <w:bCs w:val="false"/>
                <w:lang w:val="en-US" w:eastAsia="ja-JP"/>
              </w:rPr>
              <w:t>Muy pocos</w:t>
            </w:r>
          </w:p>
        </w:tc>
        <w:tc>
          <w:tcPr>
            <w:tcW w:w="2104" w:type="dxa"/>
            <w:tcBorders>
              <w:top w:val="nil"/>
              <w:left w:val="nil"/>
              <w:bottom w:val="nil"/>
              <w:right w:val="nil"/>
              <w:insideH w:val="nil"/>
              <w:insideV w:val="nil"/>
            </w:tcBorders>
            <w:shd w:color="auto" w:fill="auto" w:val="clear"/>
            <w:tcMar>
              <w:left w:w="113" w:type="dxa"/>
            </w:tcMar>
            <w:vAlign w:val="center"/>
          </w:tcPr>
          <w:p>
            <w:pPr>
              <w:pStyle w:val="Normal"/>
              <w:spacing w:lineRule="auto" w:line="247" w:before="60" w:after="60"/>
              <w:jc w:val="center"/>
              <w:rPr/>
            </w:pPr>
            <w:r>
              <w:rPr/>
              <w:t>(1, 0, 0.05)</w:t>
            </w:r>
          </w:p>
        </w:tc>
        <w:tc>
          <w:tcPr>
            <w:tcW w:w="2836" w:type="dxa"/>
            <w:gridSpan w:val="2"/>
            <w:tcBorders>
              <w:top w:val="nil"/>
              <w:left w:val="nil"/>
              <w:bottom w:val="nil"/>
              <w:right w:val="nil"/>
              <w:insideH w:val="nil"/>
              <w:insideV w:val="nil"/>
            </w:tcBorders>
            <w:shd w:color="auto" w:fill="auto" w:val="clear"/>
            <w:tcMar>
              <w:left w:w="113" w:type="dxa"/>
            </w:tcMar>
            <w:vAlign w:val="center"/>
          </w:tcPr>
          <w:p>
            <w:pPr>
              <w:pStyle w:val="Normal"/>
              <w:spacing w:lineRule="auto" w:line="247" w:before="60" w:after="60"/>
              <w:jc w:val="center"/>
              <w:rPr/>
            </w:pPr>
            <w:r>
              <w:rPr/>
              <w:t>(0.0,0.0,0.17)</w:t>
            </w:r>
          </w:p>
        </w:tc>
        <w:tc>
          <w:tcPr>
            <w:tcW w:w="2032" w:type="dxa"/>
            <w:gridSpan w:val="2"/>
            <w:tcBorders>
              <w:top w:val="nil"/>
              <w:left w:val="nil"/>
              <w:bottom w:val="nil"/>
              <w:insideH w:val="nil"/>
            </w:tcBorders>
            <w:shd w:color="auto" w:fill="auto" w:val="clear"/>
            <w:tcMar>
              <w:left w:w="113" w:type="dxa"/>
            </w:tcMar>
            <w:vAlign w:val="center"/>
          </w:tcPr>
          <w:p>
            <w:pPr>
              <w:pStyle w:val="Normal"/>
              <w:spacing w:lineRule="auto" w:line="247" w:before="60" w:after="60"/>
              <w:jc w:val="center"/>
              <w:rPr/>
            </w:pPr>
            <w:r>
              <w:rPr>
                <w:bCs w:val="false"/>
                <w:lang w:val="en-US" w:eastAsia="ja-JP"/>
              </w:rPr>
              <w:t>menos del 5%</w:t>
            </w:r>
          </w:p>
        </w:tc>
      </w:tr>
      <w:tr>
        <w:trPr/>
        <w:tc>
          <w:tcPr>
            <w:tcW w:w="2006" w:type="dxa"/>
            <w:gridSpan w:val="2"/>
            <w:tcBorders>
              <w:top w:val="nil"/>
              <w:bottom w:val="nil"/>
              <w:right w:val="nil"/>
              <w:insideH w:val="nil"/>
              <w:insideV w:val="nil"/>
            </w:tcBorders>
            <w:shd w:color="auto" w:fill="auto" w:val="clear"/>
            <w:tcMar>
              <w:left w:w="93" w:type="dxa"/>
            </w:tcMar>
            <w:vAlign w:val="center"/>
          </w:tcPr>
          <w:p>
            <w:pPr>
              <w:pStyle w:val="Normal"/>
              <w:spacing w:lineRule="auto" w:line="247" w:before="60" w:after="60"/>
              <w:jc w:val="center"/>
              <w:rPr/>
            </w:pPr>
            <w:r>
              <w:rPr/>
              <w:t>Pocos</w:t>
            </w:r>
          </w:p>
        </w:tc>
        <w:tc>
          <w:tcPr>
            <w:tcW w:w="2104" w:type="dxa"/>
            <w:tcBorders>
              <w:top w:val="nil"/>
              <w:left w:val="nil"/>
              <w:bottom w:val="nil"/>
              <w:right w:val="nil"/>
              <w:insideH w:val="nil"/>
              <w:insideV w:val="nil"/>
            </w:tcBorders>
            <w:shd w:color="auto" w:fill="auto" w:val="clear"/>
            <w:tcMar>
              <w:left w:w="113" w:type="dxa"/>
            </w:tcMar>
            <w:vAlign w:val="center"/>
          </w:tcPr>
          <w:p>
            <w:pPr>
              <w:pStyle w:val="Normal"/>
              <w:spacing w:lineRule="auto" w:line="247" w:before="60" w:after="60"/>
              <w:jc w:val="center"/>
              <w:rPr/>
            </w:pPr>
            <w:r>
              <w:rPr/>
              <w:t>(1, 0.17, 0.05)</w:t>
            </w:r>
          </w:p>
        </w:tc>
        <w:tc>
          <w:tcPr>
            <w:tcW w:w="2836" w:type="dxa"/>
            <w:gridSpan w:val="2"/>
            <w:tcBorders>
              <w:top w:val="nil"/>
              <w:left w:val="nil"/>
              <w:bottom w:val="nil"/>
              <w:right w:val="nil"/>
              <w:insideH w:val="nil"/>
              <w:insideV w:val="nil"/>
            </w:tcBorders>
            <w:shd w:color="auto" w:fill="auto" w:val="clear"/>
            <w:tcMar>
              <w:left w:w="113" w:type="dxa"/>
            </w:tcMar>
            <w:vAlign w:val="center"/>
          </w:tcPr>
          <w:p>
            <w:pPr>
              <w:pStyle w:val="Normal"/>
              <w:spacing w:lineRule="auto" w:line="247" w:before="60" w:after="60"/>
              <w:jc w:val="center"/>
              <w:rPr/>
            </w:pPr>
            <w:r>
              <w:rPr/>
              <w:t>(0.0,0.17,0.33)</w:t>
            </w:r>
          </w:p>
        </w:tc>
        <w:tc>
          <w:tcPr>
            <w:tcW w:w="2032" w:type="dxa"/>
            <w:gridSpan w:val="2"/>
            <w:tcBorders>
              <w:top w:val="nil"/>
              <w:left w:val="nil"/>
              <w:bottom w:val="nil"/>
              <w:insideH w:val="nil"/>
            </w:tcBorders>
            <w:shd w:color="auto" w:fill="auto" w:val="clear"/>
            <w:tcMar>
              <w:left w:w="113" w:type="dxa"/>
            </w:tcMar>
            <w:vAlign w:val="center"/>
          </w:tcPr>
          <w:p>
            <w:pPr>
              <w:pStyle w:val="Normal"/>
              <w:spacing w:lineRule="auto" w:line="247" w:before="60" w:after="60"/>
              <w:jc w:val="center"/>
              <w:rPr/>
            </w:pPr>
            <w:r>
              <w:rPr/>
              <w:t>alrededor del 15%</w:t>
            </w:r>
          </w:p>
        </w:tc>
      </w:tr>
      <w:tr>
        <w:trPr/>
        <w:tc>
          <w:tcPr>
            <w:tcW w:w="2006" w:type="dxa"/>
            <w:gridSpan w:val="2"/>
            <w:tcBorders>
              <w:top w:val="nil"/>
              <w:bottom w:val="nil"/>
              <w:right w:val="nil"/>
              <w:insideH w:val="nil"/>
              <w:insideV w:val="nil"/>
            </w:tcBorders>
            <w:shd w:color="auto" w:fill="auto" w:val="clear"/>
            <w:tcMar>
              <w:left w:w="93" w:type="dxa"/>
            </w:tcMar>
            <w:vAlign w:val="center"/>
          </w:tcPr>
          <w:p>
            <w:pPr>
              <w:pStyle w:val="Normal"/>
              <w:spacing w:lineRule="auto" w:line="247" w:before="60" w:after="60"/>
              <w:jc w:val="center"/>
              <w:rPr/>
            </w:pPr>
            <w:r>
              <w:rPr/>
              <w:t>Algunos</w:t>
            </w:r>
          </w:p>
        </w:tc>
        <w:tc>
          <w:tcPr>
            <w:tcW w:w="2104" w:type="dxa"/>
            <w:tcBorders>
              <w:top w:val="nil"/>
              <w:left w:val="nil"/>
              <w:bottom w:val="nil"/>
              <w:right w:val="nil"/>
              <w:insideH w:val="nil"/>
              <w:insideV w:val="nil"/>
            </w:tcBorders>
            <w:shd w:color="auto" w:fill="auto" w:val="clear"/>
            <w:tcMar>
              <w:left w:w="113" w:type="dxa"/>
            </w:tcMar>
            <w:vAlign w:val="center"/>
          </w:tcPr>
          <w:p>
            <w:pPr>
              <w:pStyle w:val="Normal"/>
              <w:spacing w:lineRule="auto" w:line="247" w:before="60" w:after="60"/>
              <w:jc w:val="center"/>
              <w:rPr/>
            </w:pPr>
            <w:r>
              <w:rPr/>
              <w:t>(1, 0.33, 0.05)</w:t>
            </w:r>
          </w:p>
        </w:tc>
        <w:tc>
          <w:tcPr>
            <w:tcW w:w="2836" w:type="dxa"/>
            <w:gridSpan w:val="2"/>
            <w:tcBorders>
              <w:top w:val="nil"/>
              <w:left w:val="nil"/>
              <w:bottom w:val="nil"/>
              <w:right w:val="nil"/>
              <w:insideH w:val="nil"/>
              <w:insideV w:val="nil"/>
            </w:tcBorders>
            <w:shd w:color="auto" w:fill="auto" w:val="clear"/>
            <w:tcMar>
              <w:left w:w="113" w:type="dxa"/>
            </w:tcMar>
            <w:vAlign w:val="center"/>
          </w:tcPr>
          <w:p>
            <w:pPr>
              <w:pStyle w:val="Normal"/>
              <w:spacing w:lineRule="auto" w:line="247" w:before="60" w:after="60"/>
              <w:jc w:val="center"/>
              <w:rPr/>
            </w:pPr>
            <w:r>
              <w:rPr/>
              <w:t>(0.17,0.33,0.5)</w:t>
            </w:r>
          </w:p>
        </w:tc>
        <w:tc>
          <w:tcPr>
            <w:tcW w:w="2032" w:type="dxa"/>
            <w:gridSpan w:val="2"/>
            <w:tcBorders>
              <w:top w:val="nil"/>
              <w:left w:val="nil"/>
              <w:bottom w:val="nil"/>
              <w:insideH w:val="nil"/>
            </w:tcBorders>
            <w:shd w:color="auto" w:fill="auto" w:val="clear"/>
            <w:tcMar>
              <w:left w:w="113" w:type="dxa"/>
            </w:tcMar>
            <w:vAlign w:val="center"/>
          </w:tcPr>
          <w:p>
            <w:pPr>
              <w:pStyle w:val="Normal"/>
              <w:spacing w:lineRule="auto" w:line="247" w:before="60" w:after="60"/>
              <w:jc w:val="center"/>
              <w:rPr/>
            </w:pPr>
            <w:r>
              <w:rPr/>
              <w:t>alrededor del 33%</w:t>
            </w:r>
          </w:p>
        </w:tc>
      </w:tr>
      <w:tr>
        <w:trPr/>
        <w:tc>
          <w:tcPr>
            <w:tcW w:w="2006" w:type="dxa"/>
            <w:gridSpan w:val="2"/>
            <w:tcBorders>
              <w:top w:val="nil"/>
              <w:bottom w:val="nil"/>
              <w:right w:val="nil"/>
              <w:insideH w:val="nil"/>
              <w:insideV w:val="nil"/>
            </w:tcBorders>
            <w:shd w:color="auto" w:fill="auto" w:val="clear"/>
            <w:tcMar>
              <w:left w:w="93" w:type="dxa"/>
            </w:tcMar>
            <w:vAlign w:val="center"/>
          </w:tcPr>
          <w:p>
            <w:pPr>
              <w:pStyle w:val="Normal"/>
              <w:spacing w:lineRule="auto" w:line="247" w:before="60" w:after="60"/>
              <w:jc w:val="center"/>
              <w:rPr/>
            </w:pPr>
            <w:r>
              <w:rPr/>
              <w:t>Aproximadamente la mitad</w:t>
            </w:r>
          </w:p>
        </w:tc>
        <w:tc>
          <w:tcPr>
            <w:tcW w:w="2104" w:type="dxa"/>
            <w:tcBorders>
              <w:top w:val="nil"/>
              <w:left w:val="nil"/>
              <w:bottom w:val="nil"/>
              <w:right w:val="nil"/>
              <w:insideH w:val="nil"/>
              <w:insideV w:val="nil"/>
            </w:tcBorders>
            <w:shd w:color="auto" w:fill="auto" w:val="clear"/>
            <w:tcMar>
              <w:left w:w="113" w:type="dxa"/>
            </w:tcMar>
            <w:vAlign w:val="center"/>
          </w:tcPr>
          <w:p>
            <w:pPr>
              <w:pStyle w:val="Normal"/>
              <w:spacing w:lineRule="auto" w:line="247" w:before="60" w:after="60"/>
              <w:jc w:val="center"/>
              <w:rPr/>
            </w:pPr>
            <w:r>
              <w:rPr/>
              <w:t>(1, 0.5, 0.05)</w:t>
            </w:r>
          </w:p>
        </w:tc>
        <w:tc>
          <w:tcPr>
            <w:tcW w:w="2836" w:type="dxa"/>
            <w:gridSpan w:val="2"/>
            <w:tcBorders>
              <w:top w:val="nil"/>
              <w:left w:val="nil"/>
              <w:bottom w:val="nil"/>
              <w:right w:val="nil"/>
              <w:insideH w:val="nil"/>
              <w:insideV w:val="nil"/>
            </w:tcBorders>
            <w:shd w:color="auto" w:fill="auto" w:val="clear"/>
            <w:tcMar>
              <w:left w:w="113" w:type="dxa"/>
            </w:tcMar>
            <w:vAlign w:val="center"/>
          </w:tcPr>
          <w:p>
            <w:pPr>
              <w:pStyle w:val="Normal"/>
              <w:spacing w:lineRule="auto" w:line="247" w:before="60" w:after="60"/>
              <w:jc w:val="center"/>
              <w:rPr/>
            </w:pPr>
            <w:r>
              <w:rPr/>
              <w:t>(0.33,0.5,0.67)</w:t>
            </w:r>
          </w:p>
        </w:tc>
        <w:tc>
          <w:tcPr>
            <w:tcW w:w="2032" w:type="dxa"/>
            <w:gridSpan w:val="2"/>
            <w:tcBorders>
              <w:top w:val="nil"/>
              <w:left w:val="nil"/>
              <w:bottom w:val="nil"/>
              <w:insideH w:val="nil"/>
            </w:tcBorders>
            <w:shd w:color="auto" w:fill="auto" w:val="clear"/>
            <w:tcMar>
              <w:left w:w="113" w:type="dxa"/>
            </w:tcMar>
            <w:vAlign w:val="center"/>
          </w:tcPr>
          <w:p>
            <w:pPr>
              <w:pStyle w:val="Normal"/>
              <w:spacing w:lineRule="auto" w:line="247" w:before="60" w:after="60"/>
              <w:jc w:val="center"/>
              <w:rPr/>
            </w:pPr>
            <w:r>
              <w:rPr/>
              <w:t>alrededor del 50%</w:t>
            </w:r>
          </w:p>
        </w:tc>
      </w:tr>
      <w:tr>
        <w:trPr/>
        <w:tc>
          <w:tcPr>
            <w:tcW w:w="2006" w:type="dxa"/>
            <w:gridSpan w:val="2"/>
            <w:tcBorders>
              <w:top w:val="nil"/>
              <w:bottom w:val="nil"/>
              <w:right w:val="nil"/>
              <w:insideH w:val="nil"/>
              <w:insideV w:val="nil"/>
            </w:tcBorders>
            <w:shd w:color="auto" w:fill="auto" w:val="clear"/>
            <w:tcMar>
              <w:left w:w="93" w:type="dxa"/>
            </w:tcMar>
            <w:vAlign w:val="center"/>
          </w:tcPr>
          <w:p>
            <w:pPr>
              <w:pStyle w:val="Normal"/>
              <w:spacing w:lineRule="auto" w:line="247" w:before="60" w:after="60"/>
              <w:jc w:val="center"/>
              <w:rPr/>
            </w:pPr>
            <w:r>
              <w:rPr/>
              <w:t>Muchos</w:t>
            </w:r>
          </w:p>
        </w:tc>
        <w:tc>
          <w:tcPr>
            <w:tcW w:w="2104" w:type="dxa"/>
            <w:tcBorders>
              <w:top w:val="nil"/>
              <w:left w:val="nil"/>
              <w:bottom w:val="nil"/>
              <w:right w:val="nil"/>
              <w:insideH w:val="nil"/>
              <w:insideV w:val="nil"/>
            </w:tcBorders>
            <w:shd w:color="auto" w:fill="auto" w:val="clear"/>
            <w:tcMar>
              <w:left w:w="113" w:type="dxa"/>
            </w:tcMar>
            <w:vAlign w:val="center"/>
          </w:tcPr>
          <w:p>
            <w:pPr>
              <w:pStyle w:val="Normal"/>
              <w:spacing w:lineRule="auto" w:line="247" w:before="60" w:after="60"/>
              <w:jc w:val="center"/>
              <w:rPr/>
            </w:pPr>
            <w:r>
              <w:rPr/>
              <w:t>(1, 0.67, 0.05)</w:t>
            </w:r>
          </w:p>
        </w:tc>
        <w:tc>
          <w:tcPr>
            <w:tcW w:w="2836" w:type="dxa"/>
            <w:gridSpan w:val="2"/>
            <w:tcBorders>
              <w:top w:val="nil"/>
              <w:left w:val="nil"/>
              <w:bottom w:val="nil"/>
              <w:right w:val="nil"/>
              <w:insideH w:val="nil"/>
              <w:insideV w:val="nil"/>
            </w:tcBorders>
            <w:shd w:color="auto" w:fill="auto" w:val="clear"/>
            <w:tcMar>
              <w:left w:w="113" w:type="dxa"/>
            </w:tcMar>
            <w:vAlign w:val="center"/>
          </w:tcPr>
          <w:p>
            <w:pPr>
              <w:pStyle w:val="Normal"/>
              <w:spacing w:lineRule="auto" w:line="247" w:before="60" w:after="60"/>
              <w:jc w:val="center"/>
              <w:rPr/>
            </w:pPr>
            <w:r>
              <w:rPr/>
              <w:t>(0.5,0.67,0.83)</w:t>
            </w:r>
          </w:p>
        </w:tc>
        <w:tc>
          <w:tcPr>
            <w:tcW w:w="2032" w:type="dxa"/>
            <w:gridSpan w:val="2"/>
            <w:tcBorders>
              <w:top w:val="nil"/>
              <w:left w:val="nil"/>
              <w:bottom w:val="nil"/>
              <w:insideH w:val="nil"/>
            </w:tcBorders>
            <w:shd w:color="auto" w:fill="auto" w:val="clear"/>
            <w:tcMar>
              <w:left w:w="113" w:type="dxa"/>
            </w:tcMar>
            <w:vAlign w:val="center"/>
          </w:tcPr>
          <w:p>
            <w:pPr>
              <w:pStyle w:val="Normal"/>
              <w:spacing w:lineRule="auto" w:line="247" w:before="60" w:after="60"/>
              <w:jc w:val="center"/>
              <w:rPr/>
            </w:pPr>
            <w:r>
              <w:rPr/>
              <w:t>cerca del 65%</w:t>
            </w:r>
          </w:p>
        </w:tc>
      </w:tr>
      <w:tr>
        <w:trPr/>
        <w:tc>
          <w:tcPr>
            <w:tcW w:w="2006" w:type="dxa"/>
            <w:gridSpan w:val="2"/>
            <w:tcBorders>
              <w:top w:val="nil"/>
              <w:bottom w:val="nil"/>
              <w:right w:val="nil"/>
              <w:insideH w:val="nil"/>
              <w:insideV w:val="nil"/>
            </w:tcBorders>
            <w:shd w:color="auto" w:fill="auto" w:val="clear"/>
            <w:tcMar>
              <w:left w:w="93" w:type="dxa"/>
            </w:tcMar>
            <w:vAlign w:val="center"/>
          </w:tcPr>
          <w:p>
            <w:pPr>
              <w:pStyle w:val="Normal"/>
              <w:spacing w:lineRule="auto" w:line="247" w:before="60" w:after="60"/>
              <w:jc w:val="center"/>
              <w:rPr/>
            </w:pPr>
            <w:r>
              <w:rPr/>
              <w:t>La mayoría</w:t>
            </w:r>
          </w:p>
        </w:tc>
        <w:tc>
          <w:tcPr>
            <w:tcW w:w="2104" w:type="dxa"/>
            <w:tcBorders>
              <w:top w:val="nil"/>
              <w:left w:val="nil"/>
              <w:bottom w:val="nil"/>
              <w:right w:val="nil"/>
              <w:insideH w:val="nil"/>
              <w:insideV w:val="nil"/>
            </w:tcBorders>
            <w:shd w:color="auto" w:fill="auto" w:val="clear"/>
            <w:tcMar>
              <w:left w:w="113" w:type="dxa"/>
            </w:tcMar>
            <w:vAlign w:val="center"/>
          </w:tcPr>
          <w:p>
            <w:pPr>
              <w:pStyle w:val="Normal"/>
              <w:spacing w:lineRule="auto" w:line="247" w:before="60" w:after="60"/>
              <w:jc w:val="center"/>
              <w:rPr/>
            </w:pPr>
            <w:r>
              <w:rPr/>
              <w:t>(1, 0.83, 0.05)</w:t>
            </w:r>
          </w:p>
        </w:tc>
        <w:tc>
          <w:tcPr>
            <w:tcW w:w="2836" w:type="dxa"/>
            <w:gridSpan w:val="2"/>
            <w:tcBorders>
              <w:top w:val="nil"/>
              <w:left w:val="nil"/>
              <w:bottom w:val="nil"/>
              <w:right w:val="nil"/>
              <w:insideH w:val="nil"/>
              <w:insideV w:val="nil"/>
            </w:tcBorders>
            <w:shd w:color="auto" w:fill="auto" w:val="clear"/>
            <w:tcMar>
              <w:left w:w="113" w:type="dxa"/>
            </w:tcMar>
            <w:vAlign w:val="center"/>
          </w:tcPr>
          <w:p>
            <w:pPr>
              <w:pStyle w:val="Normal"/>
              <w:spacing w:lineRule="auto" w:line="247" w:before="60" w:after="60"/>
              <w:jc w:val="center"/>
              <w:rPr/>
            </w:pPr>
            <w:r>
              <w:rPr/>
              <w:t>(0.67,0.83,1.0)</w:t>
            </w:r>
          </w:p>
        </w:tc>
        <w:tc>
          <w:tcPr>
            <w:tcW w:w="2032" w:type="dxa"/>
            <w:gridSpan w:val="2"/>
            <w:tcBorders>
              <w:top w:val="nil"/>
              <w:left w:val="nil"/>
              <w:bottom w:val="nil"/>
              <w:insideH w:val="nil"/>
            </w:tcBorders>
            <w:shd w:color="auto" w:fill="auto" w:val="clear"/>
            <w:tcMar>
              <w:left w:w="113" w:type="dxa"/>
            </w:tcMar>
            <w:vAlign w:val="center"/>
          </w:tcPr>
          <w:p>
            <w:pPr>
              <w:pStyle w:val="Normal"/>
              <w:spacing w:lineRule="auto" w:line="247" w:before="60" w:after="60"/>
              <w:jc w:val="center"/>
              <w:rPr/>
            </w:pPr>
            <w:r>
              <w:rPr/>
              <w:t>alrededor del 83%</w:t>
            </w:r>
          </w:p>
        </w:tc>
      </w:tr>
      <w:tr>
        <w:trPr/>
        <w:tc>
          <w:tcPr>
            <w:tcW w:w="2006" w:type="dxa"/>
            <w:gridSpan w:val="2"/>
            <w:tcBorders>
              <w:top w:val="nil"/>
              <w:right w:val="nil"/>
              <w:insideV w:val="nil"/>
            </w:tcBorders>
            <w:shd w:color="auto" w:fill="auto" w:val="clear"/>
            <w:tcMar>
              <w:left w:w="93" w:type="dxa"/>
            </w:tcMar>
            <w:vAlign w:val="center"/>
          </w:tcPr>
          <w:p>
            <w:pPr>
              <w:pStyle w:val="Normal"/>
              <w:spacing w:lineRule="auto" w:line="247" w:before="60" w:after="60"/>
              <w:jc w:val="center"/>
              <w:rPr/>
            </w:pPr>
            <w:r>
              <w:rPr/>
              <w:t>Casi la totalidad</w:t>
            </w:r>
          </w:p>
        </w:tc>
        <w:tc>
          <w:tcPr>
            <w:tcW w:w="2104" w:type="dxa"/>
            <w:tcBorders>
              <w:top w:val="nil"/>
              <w:left w:val="nil"/>
              <w:right w:val="nil"/>
              <w:insideV w:val="nil"/>
            </w:tcBorders>
            <w:shd w:color="auto" w:fill="auto" w:val="clear"/>
            <w:tcMar>
              <w:left w:w="113" w:type="dxa"/>
            </w:tcMar>
            <w:vAlign w:val="center"/>
          </w:tcPr>
          <w:p>
            <w:pPr>
              <w:pStyle w:val="Normal"/>
              <w:spacing w:lineRule="auto" w:line="247" w:before="60" w:after="60"/>
              <w:jc w:val="center"/>
              <w:rPr/>
            </w:pPr>
            <w:r>
              <w:rPr/>
              <w:t>(1, 1, 0.05)</w:t>
            </w:r>
          </w:p>
        </w:tc>
        <w:tc>
          <w:tcPr>
            <w:tcW w:w="2836" w:type="dxa"/>
            <w:gridSpan w:val="2"/>
            <w:tcBorders>
              <w:top w:val="nil"/>
              <w:left w:val="nil"/>
              <w:right w:val="nil"/>
              <w:insideV w:val="nil"/>
            </w:tcBorders>
            <w:shd w:color="auto" w:fill="auto" w:val="clear"/>
            <w:tcMar>
              <w:left w:w="113" w:type="dxa"/>
            </w:tcMar>
            <w:vAlign w:val="center"/>
          </w:tcPr>
          <w:p>
            <w:pPr>
              <w:pStyle w:val="Normal"/>
              <w:spacing w:lineRule="auto" w:line="247" w:before="60" w:after="60"/>
              <w:jc w:val="center"/>
              <w:rPr/>
            </w:pPr>
            <w:r>
              <w:rPr/>
              <w:t>(0.83,1.0,1.0)</w:t>
            </w:r>
          </w:p>
        </w:tc>
        <w:tc>
          <w:tcPr>
            <w:tcW w:w="2032" w:type="dxa"/>
            <w:gridSpan w:val="2"/>
            <w:tcBorders>
              <w:top w:val="nil"/>
              <w:left w:val="nil"/>
            </w:tcBorders>
            <w:shd w:color="auto" w:fill="auto" w:val="clear"/>
            <w:tcMar>
              <w:left w:w="113" w:type="dxa"/>
            </w:tcMar>
            <w:vAlign w:val="center"/>
          </w:tcPr>
          <w:p>
            <w:pPr>
              <w:pStyle w:val="Normal"/>
              <w:spacing w:lineRule="auto" w:line="247" w:before="60" w:after="60"/>
              <w:jc w:val="center"/>
              <w:rPr/>
            </w:pPr>
            <w:r>
              <w:rPr/>
              <w:t>Casi todos</w:t>
            </w:r>
          </w:p>
        </w:tc>
      </w:tr>
    </w:tbl>
    <w:p>
      <w:pPr>
        <w:pStyle w:val="Normal"/>
        <w:numPr>
          <w:ilvl w:val="0"/>
          <w:numId w:val="17"/>
        </w:numPr>
        <w:spacing w:before="120" w:after="85"/>
        <w:ind w:left="567" w:hanging="360"/>
        <w:rPr>
          <w:rFonts w:cs="Times New Roman"/>
          <w:lang w:val="x-none"/>
        </w:rPr>
      </w:pPr>
      <w:r>
        <w:rPr>
          <w:rFonts w:cs="Times New Roman"/>
          <w:i/>
          <w:lang w:val="x-none"/>
        </w:rPr>
        <w:t>M(z)</w:t>
      </w:r>
      <w:r>
        <w:rPr>
          <w:rFonts w:cs="Times New Roman"/>
          <w:lang w:val="x-none"/>
        </w:rPr>
        <w:t xml:space="preserve"> es una regla semántica</w:t>
      </w:r>
      <w:r>
        <w:rPr>
          <w:rFonts w:cs="Times New Roman"/>
        </w:rPr>
        <w:t xml:space="preserve"> que </w:t>
      </w:r>
      <w:r>
        <w:rPr>
          <w:rFonts w:cs="Times New Roman"/>
          <w:lang w:val="x-none"/>
        </w:rPr>
        <w:t xml:space="preserve">asocia su significado a cada valor lingüístico </w:t>
      </w:r>
      <w:r>
        <w:rPr>
          <w:rFonts w:cs="Times New Roman"/>
          <w:i/>
          <w:iCs/>
          <w:lang w:val="x-none"/>
        </w:rPr>
        <w:t>Z</w:t>
      </w:r>
      <w:r>
        <w:rPr>
          <w:rFonts w:cs="Times New Roman"/>
        </w:rPr>
        <w:t>.</w:t>
      </w:r>
    </w:p>
    <w:p>
      <w:pPr>
        <w:pStyle w:val="Normal"/>
        <w:spacing w:before="120" w:after="85"/>
        <w:ind w:left="567" w:hanging="0"/>
        <w:rPr/>
      </w:pPr>
      <w:r>
        <w:rPr>
          <w:rFonts w:cs="Times New Roman"/>
          <w:lang w:val="x-none"/>
        </w:rPr>
        <w:t>En el caso de</w:t>
      </w:r>
      <w:r>
        <w:rPr>
          <w:rFonts w:cs="Times New Roman"/>
          <w:i/>
          <w:lang w:val="x-none"/>
        </w:rPr>
        <w:t xml:space="preserve"> </w:t>
      </w:r>
      <w:r>
        <w:rPr>
          <w:rFonts w:cs="Times New Roman"/>
        </w:rPr>
        <w:t xml:space="preserve">que se empleen funciones de pertenencia basadas en campana Gauss para representar los cuantificadores, estos se basarían en la </w:t>
      </w:r>
      <w:r>
        <w:rPr>
          <w:rFonts w:cs="Times New Roman"/>
        </w:rPr>
        <w:fldChar w:fldCharType="begin"/>
      </w:r>
      <w:r>
        <w:instrText> REF _Ref68944344 \h </w:instrText>
      </w:r>
      <w:r>
        <w:fldChar w:fldCharType="separate"/>
      </w:r>
      <w:r>
        <w:t xml:space="preserve">Ecuación </w:t>
      </w:r>
      <w:r>
        <w:fldChar w:fldCharType="end"/>
      </w:r>
      <w:r>
        <w:rPr>
          <w:rFonts w:cs="Times New Roman"/>
        </w:rPr>
        <w:t xml:space="preserve"> y quedarían representados como muestra la </w:t>
      </w:r>
      <w:r>
        <w:rPr>
          <w:rFonts w:cs="Times New Roman"/>
        </w:rPr>
        <w:fldChar w:fldCharType="begin"/>
      </w:r>
      <w:r>
        <w:instrText> REF _Ref68931466 \h </w:instrText>
      </w:r>
      <w:r>
        <w:fldChar w:fldCharType="separate"/>
      </w:r>
      <w:r>
        <w:t>Figura 1</w:t>
      </w:r>
      <w:r>
        <w:fldChar w:fldCharType="end"/>
      </w:r>
      <w:r>
        <w:rPr>
          <w:rFonts w:cs="Times New Roman"/>
        </w:rPr>
        <w:t>.</w:t>
      </w:r>
      <w:r>
        <w:rPr>
          <w:rFonts w:cs="Times New Roman"/>
          <w:lang w:val="x-none"/>
        </w:rPr>
        <w:t xml:space="preserve"> </w:t>
      </w:r>
    </w:p>
    <w:tbl>
      <w:tblPr>
        <w:tblStyle w:val="Tablaconcuadrcula"/>
        <w:tblW w:w="5000" w:type="pct"/>
        <w:jc w:val="left"/>
        <w:tblInd w:w="0" w:type="dxa"/>
        <w:tblCellMar>
          <w:top w:w="0" w:type="dxa"/>
          <w:left w:w="123" w:type="dxa"/>
          <w:bottom w:w="0" w:type="dxa"/>
          <w:right w:w="108" w:type="dxa"/>
        </w:tblCellMar>
        <w:tblLook w:val="04a0" w:noVBand="1" w:noHBand="0" w:lastColumn="0" w:firstColumn="1" w:lastRow="0" w:firstRow="1"/>
      </w:tblPr>
      <w:tblGrid>
        <w:gridCol w:w="7534"/>
        <w:gridCol w:w="1444"/>
      </w:tblGrid>
      <w:tr>
        <w:trPr>
          <w:trHeight w:val="1280" w:hRule="atLeast"/>
        </w:trPr>
        <w:tc>
          <w:tcPr>
            <w:tcW w:w="7534" w:type="dxa"/>
            <w:tcBorders>
              <w:top w:val="nil"/>
              <w:left w:val="nil"/>
              <w:bottom w:val="nil"/>
              <w:right w:val="nil"/>
              <w:insideH w:val="nil"/>
              <w:insideV w:val="nil"/>
            </w:tcBorders>
            <w:shd w:color="auto" w:fill="auto" w:val="clear"/>
            <w:vAlign w:val="center"/>
          </w:tcPr>
          <w:p>
            <w:pPr>
              <w:pStyle w:val="Normal"/>
              <w:overflowPunct w:val="true"/>
              <w:spacing w:before="0" w:after="120"/>
              <w:jc w:val="left"/>
              <w:textAlignment w:val="auto"/>
              <w:rPr>
                <w:rFonts w:cs="Verdana"/>
                <w:sz w:val="20"/>
                <w:vertAlign w:val="superscript"/>
                <w:lang w:val="en-US" w:eastAsia="ja-JP"/>
              </w:rPr>
            </w:pPr>
            <w:r>
              <w:rPr/>
            </w:r>
            <m:oMath xmlns:m="http://schemas.openxmlformats.org/officeDocument/2006/math">
              <m:eqArr>
                <m:e>
                  <m:eqArr>
                    <m:e>
                      <m:eqArr>
                        <m:e>
                          <m:r>
                            <w:rPr>
                              <w:rFonts w:ascii="Cambria Math" w:hAnsi="Cambria Math"/>
                            </w:rPr>
                            <m:t xml:space="preserve">1</m:t>
                          </m:r>
                          <m:r>
                            <w:rPr>
                              <w:rFonts w:ascii="Cambria Math" w:hAnsi="Cambria Math"/>
                            </w:rPr>
                            <m:t xml:space="preserve">six</m:t>
                          </m:r>
                          <m:r>
                            <w:rPr>
                              <w:rFonts w:ascii="Cambria Math" w:hAnsi="Cambria Math"/>
                            </w:rPr>
                            <m:t xml:space="preserve">≤</m:t>
                          </m:r>
                          <m:r>
                            <m:rPr>
                              <m:lit/>
                              <m:nor/>
                            </m:rPr>
                            <w:rPr>
                              <w:rFonts w:ascii="Cambria Math" w:hAnsi="Cambria Math"/>
                            </w:rPr>
                            <m:t xml:space="preserve">b  </m:t>
                          </m:r>
                          <m:r>
                            <w:rPr>
                              <w:rFonts w:ascii="Cambria Math" w:hAnsi="Cambria Math"/>
                            </w:rPr>
                            <m:t xml:space="preserve">yQeslafunci</m:t>
                          </m:r>
                          <m:r>
                            <w:rPr>
                              <w:rFonts w:ascii="Cambria Math" w:hAnsi="Cambria Math"/>
                            </w:rPr>
                            <m:t xml:space="preserve">ó</m:t>
                          </m:r>
                          <m:r>
                            <w:rPr>
                              <w:rFonts w:ascii="Cambria Math" w:hAnsi="Cambria Math"/>
                            </w:rPr>
                            <m:t xml:space="preserve">nextremaizquierda</m:t>
                          </m:r>
                        </m:e>
                        <m:e>
                          <m:m>
                            <m:mr>
                              <m:e>
                                <m:m>
                                  <m:mr>
                                    <m:e>
                                      <m:m>
                                        <m:mr>
                                          <m:e>
                                            <m:r>
                                              <m:rPr>
                                                <m:lit/>
                                                <m:nor/>
                                              </m:rPr>
                                              <w:rPr>
                                                <w:rFonts w:ascii="Cambria Math" w:hAnsi="Cambria Math"/>
                                              </w:rPr>
                                              <m:t xml:space="preserve">a </m:t>
                                            </m:r>
                                            <m:r>
                                              <w:rPr>
                                                <w:rFonts w:ascii="Cambria Math" w:hAnsi="Cambria Math"/>
                                              </w:rPr>
                                              <m:t xml:space="preserve">⋅</m:t>
                                            </m:r>
                                            <m:sSup>
                                              <m:e>
                                                <m:r>
                                                  <w:rPr>
                                                    <w:rFonts w:ascii="Cambria Math" w:hAnsi="Cambria Math"/>
                                                  </w:rPr>
                                                  <m:t xml:space="preserve">e</m:t>
                                                </m:r>
                                              </m:e>
                                              <m:sup>
                                                <m:f>
                                                  <m:num>
                                                    <m:r>
                                                      <w:rPr>
                                                        <w:rFonts w:ascii="Cambria Math" w:hAnsi="Cambria Math"/>
                                                      </w:rPr>
                                                      <m:t xml:space="preserve">−</m:t>
                                                    </m:r>
                                                    <m:sSup>
                                                      <m:e>
                                                        <m:d>
                                                          <m:dPr>
                                                            <m:begChr m:val="("/>
                                                            <m:endChr m:val=")"/>
                                                          </m:dPr>
                                                          <m:e>
                                                            <m:r>
                                                              <m:rPr>
                                                                <m:lit/>
                                                                <m:nor/>
                                                              </m:rPr>
                                                              <w:rPr>
                                                                <w:rFonts w:ascii="Cambria Math" w:hAnsi="Cambria Math"/>
                                                              </w:rPr>
                                                              <m:t xml:space="preserve">x-b</m:t>
                                                            </m:r>
                                                          </m:e>
                                                        </m:d>
                                                      </m:e>
                                                      <m:sup>
                                                        <m:r>
                                                          <w:rPr>
                                                            <w:rFonts w:ascii="Cambria Math" w:hAnsi="Cambria Math"/>
                                                          </w:rPr>
                                                          <m:t xml:space="preserve">2</m:t>
                                                        </m:r>
                                                      </m:sup>
                                                    </m:sSup>
                                                  </m:num>
                                                  <m:den>
                                                    <m:r>
                                                      <w:rPr>
                                                        <w:rFonts w:ascii="Cambria Math" w:hAnsi="Cambria Math"/>
                                                      </w:rPr>
                                                      <m:t xml:space="preserve">2</m:t>
                                                    </m:r>
                                                    <m:sSup>
                                                      <m:e>
                                                        <m:r>
                                                          <w:rPr>
                                                            <w:rFonts w:ascii="Cambria Math" w:hAnsi="Cambria Math"/>
                                                          </w:rPr>
                                                          <m:t xml:space="preserve">c</m:t>
                                                        </m:r>
                                                      </m:e>
                                                      <m:sup>
                                                        <m:r>
                                                          <w:rPr>
                                                            <w:rFonts w:ascii="Cambria Math" w:hAnsi="Cambria Math"/>
                                                          </w:rPr>
                                                          <m:t xml:space="preserve">2</m:t>
                                                        </m:r>
                                                      </m:sup>
                                                    </m:sSup>
                                                  </m:den>
                                                </m:f>
                                              </m:sup>
                                            </m:sSup>
                                            <m:r>
                                              <w:rPr>
                                                <w:rFonts w:ascii="Cambria Math" w:hAnsi="Cambria Math"/>
                                              </w:rPr>
                                              <m:t xml:space="preserve">res</m:t>
                                            </m:r>
                                            <m:r>
                                              <w:rPr>
                                                <w:rFonts w:ascii="Cambria Math" w:hAnsi="Cambria Math"/>
                                              </w:rPr>
                                              <m:t xml:space="preserve">todelasfunciones</m:t>
                                            </m:r>
                                          </m:e>
                                        </m:mr>
                                        <m:mr>
                                          <m:e>
                                            <m:m>
                                              <m:mr>
                                                <m:e>
                                                  <m:r>
                                                    <w:rPr>
                                                      <w:rFonts w:ascii="Cambria Math" w:hAnsi="Cambria Math"/>
                                                    </w:rPr>
                                                    <m:t xml:space="preserve">1</m:t>
                                                  </m:r>
                                                  <m:r>
                                                    <w:rPr>
                                                      <w:rFonts w:ascii="Cambria Math" w:hAnsi="Cambria Math"/>
                                                    </w:rPr>
                                                    <m:t xml:space="preserve">six</m:t>
                                                  </m:r>
                                                  <m:r>
                                                    <w:rPr>
                                                      <w:rFonts w:ascii="Cambria Math" w:hAnsi="Cambria Math"/>
                                                    </w:rPr>
                                                    <m:t xml:space="preserve">&gt;</m:t>
                                                  </m:r>
                                                  <m:r>
                                                    <m:rPr>
                                                      <m:lit/>
                                                      <m:nor/>
                                                    </m:rPr>
                                                    <w:rPr>
                                                      <w:rFonts w:ascii="Cambria Math" w:hAnsi="Cambria Math"/>
                                                    </w:rPr>
                                                    <m:t xml:space="preserve">b  </m:t>
                                                  </m:r>
                                                  <m:r>
                                                    <w:rPr>
                                                      <w:rFonts w:ascii="Cambria Math" w:hAnsi="Cambria Math"/>
                                                    </w:rPr>
                                                    <m:t xml:space="preserve">yQeslafunci</m:t>
                                                  </m:r>
                                                  <m:r>
                                                    <w:rPr>
                                                      <w:rFonts w:ascii="Cambria Math" w:hAnsi="Cambria Math"/>
                                                    </w:rPr>
                                                    <m:t xml:space="preserve">ó</m:t>
                                                  </m:r>
                                                  <m:r>
                                                    <w:rPr>
                                                      <w:rFonts w:ascii="Cambria Math" w:hAnsi="Cambria Math"/>
                                                    </w:rPr>
                                                    <m:t xml:space="preserve">nextremaderec</m:t>
                                                  </m:r>
                                                  <m:r>
                                                    <w:rPr>
                                                      <w:rFonts w:ascii="Cambria Math" w:hAnsi="Cambria Math"/>
                                                    </w:rPr>
                                                    <m:t xml:space="preserve">h</m:t>
                                                  </m:r>
                                                  <m:r>
                                                    <w:rPr>
                                                      <w:rFonts w:ascii="Cambria Math" w:hAnsi="Cambria Math"/>
                                                    </w:rPr>
                                                    <m:t xml:space="preserve">a</m:t>
                                                  </m:r>
                                                </m:e>
                                              </m:mr>
                                              <m:mr>
                                                <m:e>
                                                  <m:r>
                                                    <m:rPr>
                                                      <m:lit/>
                                                      <m:nor/>
                                                    </m:rPr>
                                                    <w:rPr>
                                                      <w:rFonts w:ascii="Cambria Math" w:hAnsi="Cambria Math"/>
                                                    </w:rPr>
                                                    <m:t xml:space="preserve">   </m:t>
                                                  </m:r>
                                                </m:e>
                                              </m:mr>
                                            </m:m>
                                          </m:e>
                                        </m:mr>
                                      </m:m>
                                    </m:e>
                                    <m:e>
                                      <m:sSub>
                                        <m:e>
                                          <m:r>
                                            <w:rPr>
                                              <w:rFonts w:ascii="Cambria Math" w:hAnsi="Cambria Math"/>
                                            </w:rPr>
                                            <m:t xml:space="preserve">μ</m:t>
                                          </m:r>
                                        </m:e>
                                        <m:sub>
                                          <m:r>
                                            <w:rPr>
                                              <w:rFonts w:ascii="Cambria Math" w:hAnsi="Cambria Math"/>
                                            </w:rPr>
                                            <m:t xml:space="preserve">Q</m:t>
                                          </m:r>
                                        </m:sub>
                                      </m:sSub>
                                      <m:d>
                                        <m:dPr>
                                          <m:begChr m:val="("/>
                                          <m:endChr m:val=")"/>
                                        </m:dPr>
                                        <m:e>
                                          <m:r>
                                            <w:rPr>
                                              <w:rFonts w:ascii="Cambria Math" w:hAnsi="Cambria Math"/>
                                            </w:rPr>
                                            <m:t xml:space="preserve">x</m:t>
                                          </m:r>
                                        </m:e>
                                      </m:d>
                                      <m:r>
                                        <w:rPr>
                                          <w:rFonts w:ascii="Cambria Math" w:hAnsi="Cambria Math"/>
                                        </w:rPr>
                                        <m:t xml:space="preserve">=</m:t>
                                      </m:r>
                                      <m:r>
                                        <m:rPr>
                                          <m:lit/>
                                          <m:nor/>
                                        </m:rPr>
                                        <w:rPr>
                                          <w:rFonts w:ascii="Cambria Math" w:hAnsi="Cambria Math"/>
                                        </w:rPr>
                                        <m:t xml:space="preserve">  </m:t>
                                      </m:r>
                                    </m:e>
                                  </m:mr>
                                </m:m>
                              </m:e>
                            </m:mr>
                          </m:m>
                        </m:e>
                      </m:eqArr>
                    </m:e>
                  </m:eqArr>
                </m:e>
              </m:eqArr>
            </m:oMath>
          </w:p>
        </w:tc>
        <w:tc>
          <w:tcPr>
            <w:tcW w:w="1444" w:type="dxa"/>
            <w:tcBorders>
              <w:top w:val="nil"/>
              <w:left w:val="nil"/>
              <w:bottom w:val="nil"/>
              <w:right w:val="nil"/>
              <w:insideH w:val="nil"/>
              <w:insideV w:val="nil"/>
            </w:tcBorders>
            <w:shd w:color="auto" w:fill="auto" w:val="clear"/>
            <w:vAlign w:val="center"/>
          </w:tcPr>
          <w:p>
            <w:pPr>
              <w:pStyle w:val="Normal"/>
              <w:spacing w:before="120" w:after="120"/>
              <w:jc w:val="right"/>
              <w:rPr/>
            </w:pPr>
            <w:bookmarkStart w:id="892" w:name="_Ref68944344"/>
            <w:r>
              <w:rPr/>
              <w:t xml:space="preserve">Ecuación </w:t>
            </w:r>
            <w:bookmarkEnd w:id="892"/>
            <w:r>
              <w:rPr/>
              <w:fldChar w:fldCharType="begin"/>
            </w:r>
            <w:r>
              <w:instrText> SEQ Ecuación \* ARABIC </w:instrText>
            </w:r>
            <w:r>
              <w:fldChar w:fldCharType="separate"/>
            </w:r>
            <w:r>
              <w:t>1</w:t>
            </w:r>
            <w:r>
              <w:fldChar w:fldCharType="end"/>
            </w:r>
          </w:p>
        </w:tc>
      </w:tr>
    </w:tbl>
    <w:p>
      <w:pPr>
        <w:pStyle w:val="Normal"/>
        <w:keepNext/>
        <w:spacing w:before="120" w:after="120"/>
        <w:ind w:left="207" w:hanging="0"/>
        <w:jc w:val="center"/>
        <w:rPr/>
      </w:pPr>
      <w:r>
        <w:rPr/>
        <w:drawing>
          <wp:inline distT="0" distB="0" distL="0" distR="0">
            <wp:extent cx="5241925" cy="2068195"/>
            <wp:effectExtent l="0" t="0" r="0" b="0"/>
            <wp:docPr id="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pPr>
        <w:pStyle w:val="Normal"/>
        <w:overflowPunct w:val="true"/>
        <w:spacing w:before="0" w:after="120"/>
        <w:ind w:left="170" w:hanging="170"/>
        <w:jc w:val="center"/>
        <w:textAlignment w:val="auto"/>
        <w:rPr/>
      </w:pPr>
      <w:bookmarkStart w:id="893" w:name="_Toc58849621"/>
      <w:bookmarkStart w:id="894" w:name="_Toc84599008"/>
      <w:bookmarkStart w:id="895" w:name="_Ref68931466"/>
      <w:r>
        <w:rPr>
          <w:rFonts w:cs="Verdana"/>
          <w:sz w:val="20"/>
        </w:rPr>
        <w:t xml:space="preserve">Figura </w:t>
      </w:r>
      <w:r>
        <w:rPr>
          <w:rFonts w:cs="Verdana"/>
          <w:sz w:val="20"/>
        </w:rPr>
        <w:fldChar w:fldCharType="begin"/>
      </w:r>
      <w:r>
        <w:instrText> SEQ Figura \* ARABIC </w:instrText>
      </w:r>
      <w:r>
        <w:fldChar w:fldCharType="separate"/>
      </w:r>
      <w:r>
        <w:t>1</w:t>
      </w:r>
      <w:r>
        <w:fldChar w:fldCharType="end"/>
      </w:r>
      <w:bookmarkEnd w:id="895"/>
      <w:r>
        <w:rPr>
          <w:rFonts w:cs="Verdana"/>
          <w:sz w:val="20"/>
        </w:rPr>
        <w:t xml:space="preserve">: Variable </w:t>
      </w:r>
      <w:r>
        <w:rPr>
          <w:sz w:val="20"/>
        </w:rPr>
        <w:t>lingüística de los cuantificadores (</w:t>
      </w:r>
      <w:r>
        <w:rPr>
          <w:i/>
          <w:sz w:val="20"/>
        </w:rPr>
        <w:t>Q</w:t>
      </w:r>
      <w:bookmarkEnd w:id="893"/>
      <w:bookmarkEnd w:id="894"/>
      <w:r>
        <w:rPr>
          <w:sz w:val="20"/>
        </w:rPr>
        <w:t>) basadas en funciones campana Gauss.</w:t>
      </w:r>
    </w:p>
    <w:p>
      <w:pPr>
        <w:pStyle w:val="Normal"/>
        <w:spacing w:before="120" w:after="85"/>
        <w:ind w:left="567" w:hanging="0"/>
        <w:rPr/>
      </w:pPr>
      <w:r>
        <w:rPr>
          <w:rFonts w:cs="Times New Roman"/>
          <w:lang w:val="x-none"/>
        </w:rPr>
        <w:t>En el caso de</w:t>
      </w:r>
      <w:r>
        <w:rPr>
          <w:rFonts w:cs="Times New Roman"/>
          <w:i/>
          <w:lang w:val="x-none"/>
        </w:rPr>
        <w:t xml:space="preserve"> </w:t>
      </w:r>
      <w:r>
        <w:rPr>
          <w:rFonts w:cs="Times New Roman"/>
        </w:rPr>
        <w:t xml:space="preserve">que los cuantificadores estén basados en funciones de pertenencia triangulares, estarían basados en la </w:t>
      </w:r>
      <w:r>
        <w:rPr>
          <w:rFonts w:cs="Times New Roman"/>
        </w:rPr>
        <w:fldChar w:fldCharType="begin"/>
      </w:r>
      <w:r>
        <w:instrText> REF _Ref68944451 \h </w:instrText>
      </w:r>
      <w:r>
        <w:fldChar w:fldCharType="separate"/>
      </w:r>
      <w:r>
        <w:t xml:space="preserve">Ecuación </w:t>
      </w:r>
      <w:r>
        <w:fldChar w:fldCharType="end"/>
      </w:r>
      <w:r>
        <w:rPr>
          <w:rFonts w:cs="Times New Roman"/>
        </w:rPr>
        <w:t xml:space="preserve"> y la </w:t>
      </w:r>
      <w:r>
        <w:rPr>
          <w:rFonts w:cs="Times New Roman"/>
        </w:rPr>
        <w:fldChar w:fldCharType="begin"/>
      </w:r>
      <w:r>
        <w:instrText> REF _Ref68931539 \h </w:instrText>
      </w:r>
      <w:r>
        <w:fldChar w:fldCharType="separate"/>
      </w:r>
      <w:r>
        <w:t>Figura 2</w:t>
      </w:r>
      <w:r>
        <w:fldChar w:fldCharType="end"/>
      </w:r>
      <w:r>
        <w:rPr>
          <w:rFonts w:cs="Times New Roman"/>
        </w:rPr>
        <w:t>.</w:t>
      </w:r>
    </w:p>
    <w:tbl>
      <w:tblPr>
        <w:tblStyle w:val="Tablaconcuadrcula"/>
        <w:tblW w:w="5000" w:type="pct"/>
        <w:jc w:val="left"/>
        <w:tblInd w:w="0" w:type="dxa"/>
        <w:tblCellMar>
          <w:top w:w="0" w:type="dxa"/>
          <w:left w:w="123" w:type="dxa"/>
          <w:bottom w:w="0" w:type="dxa"/>
          <w:right w:w="108" w:type="dxa"/>
        </w:tblCellMar>
        <w:tblLook w:val="04a0" w:noVBand="1" w:noHBand="0" w:lastColumn="0" w:firstColumn="1" w:lastRow="0" w:firstRow="1"/>
      </w:tblPr>
      <w:tblGrid>
        <w:gridCol w:w="7534"/>
        <w:gridCol w:w="1444"/>
      </w:tblGrid>
      <w:tr>
        <w:trPr>
          <w:trHeight w:val="1280" w:hRule="atLeast"/>
        </w:trPr>
        <w:tc>
          <w:tcPr>
            <w:tcW w:w="7534" w:type="dxa"/>
            <w:tcBorders>
              <w:top w:val="nil"/>
              <w:left w:val="nil"/>
              <w:bottom w:val="nil"/>
              <w:right w:val="nil"/>
              <w:insideH w:val="nil"/>
              <w:insideV w:val="nil"/>
            </w:tcBorders>
            <w:shd w:color="auto" w:fill="auto" w:val="clear"/>
            <w:vAlign w:val="center"/>
          </w:tcPr>
          <w:p>
            <w:pPr>
              <w:pStyle w:val="Normal"/>
              <w:overflowPunct w:val="true"/>
              <w:spacing w:before="0" w:after="120"/>
              <w:jc w:val="left"/>
              <w:textAlignment w:val="auto"/>
              <w:rPr>
                <w:rFonts w:cs="Verdana"/>
                <w:sz w:val="20"/>
              </w:rPr>
            </w:pPr>
            <w:r>
              <w:rPr/>
            </w:r>
            <m:oMath xmlns:m="http://schemas.openxmlformats.org/officeDocument/2006/math">
              <m:sSub>
                <m:e>
                  <m:r>
                    <w:rPr>
                      <w:rFonts w:ascii="Cambria Math" w:hAnsi="Cambria Math"/>
                    </w:rPr>
                    <m:t xml:space="preserve">μ</m:t>
                  </m:r>
                </m:e>
                <m:sub>
                  <m:r>
                    <w:rPr>
                      <w:rFonts w:ascii="Cambria Math" w:hAnsi="Cambria Math"/>
                    </w:rPr>
                    <m:t xml:space="preserve">Q</m:t>
                  </m:r>
                </m:sub>
              </m:sSub>
              <m:d>
                <m:dPr>
                  <m:begChr m:val="("/>
                  <m:endChr m:val=")"/>
                </m:dPr>
                <m:e>
                  <m:r>
                    <w:rPr>
                      <w:rFonts w:ascii="Cambria Math" w:hAnsi="Cambria Math"/>
                    </w:rPr>
                    <m:t xml:space="preserve">x</m:t>
                  </m:r>
                </m:e>
              </m:d>
              <m:r>
                <w:rPr>
                  <w:rFonts w:ascii="Cambria Math" w:hAnsi="Cambria Math"/>
                </w:rPr>
                <m:t xml:space="preserve">=</m:t>
              </m:r>
              <m:r>
                <m:rPr>
                  <m:lit/>
                  <m:nor/>
                </m:rPr>
                <w:rPr>
                  <w:rFonts w:ascii="Cambria Math" w:hAnsi="Cambria Math"/>
                </w:rPr>
                <m:t xml:space="preserve">  </m:t>
              </m:r>
              <m:d>
                <m:dPr>
                  <m:begChr m:val="{"/>
                  <m:endChr m:val=""/>
                </m:dPr>
                <m:e>
                  <m:m>
                    <m:mr>
                      <m:e>
                        <m:r>
                          <w:rPr>
                            <w:rFonts w:ascii="Cambria Math" w:hAnsi="Cambria Math"/>
                          </w:rPr>
                          <m:t xml:space="preserve">1</m:t>
                        </m:r>
                        <m:r>
                          <w:rPr>
                            <w:rFonts w:ascii="Cambria Math" w:hAnsi="Cambria Math"/>
                          </w:rPr>
                          <m:t xml:space="preserve">six</m:t>
                        </m:r>
                        <m:r>
                          <w:rPr>
                            <w:rFonts w:ascii="Cambria Math" w:hAnsi="Cambria Math"/>
                          </w:rPr>
                          <m:t xml:space="preserve">&lt;</m:t>
                        </m:r>
                        <m:r>
                          <m:rPr>
                            <m:lit/>
                            <m:nor/>
                          </m:rPr>
                          <w:rPr>
                            <w:rFonts w:ascii="Cambria Math" w:hAnsi="Cambria Math"/>
                          </w:rPr>
                          <m:t xml:space="preserve">b  </m:t>
                        </m:r>
                      </m:e>
                    </m:mr>
                    <m:mr>
                      <m:e>
                        <m:eqArr>
                          <m:e>
                            <m:f>
                              <m:num>
                                <m:r>
                                  <m:rPr>
                                    <m:lit/>
                                    <m:nor/>
                                  </m:rPr>
                                  <w:rPr>
                                    <w:rFonts w:ascii="Cambria Math" w:hAnsi="Cambria Math"/>
                                  </w:rPr>
                                  <m:t xml:space="preserve">c-x</m:t>
                                </m:r>
                              </m:num>
                              <m:den>
                                <m:r>
                                  <m:rPr>
                                    <m:lit/>
                                    <m:nor/>
                                  </m:rPr>
                                  <w:rPr>
                                    <w:rFonts w:ascii="Cambria Math" w:hAnsi="Cambria Math"/>
                                  </w:rPr>
                                  <m:t xml:space="preserve">c-b</m:t>
                                </m:r>
                              </m:den>
                            </m:f>
                            <m:r>
                              <w:rPr>
                                <w:rFonts w:ascii="Cambria Math" w:hAnsi="Cambria Math"/>
                              </w:rPr>
                              <m:t xml:space="preserve">sib</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c</m:t>
                            </m:r>
                          </m:e>
                          <m:e>
                            <m:r>
                              <w:rPr>
                                <w:rFonts w:ascii="Cambria Math" w:hAnsi="Cambria Math"/>
                              </w:rPr>
                              <m:t xml:space="preserve">0</m:t>
                            </m:r>
                            <m:r>
                              <w:rPr>
                                <w:rFonts w:ascii="Cambria Math" w:hAnsi="Cambria Math"/>
                              </w:rPr>
                              <m:t xml:space="preserve">six</m:t>
                            </m:r>
                            <m:r>
                              <w:rPr>
                                <w:rFonts w:ascii="Cambria Math" w:hAnsi="Cambria Math"/>
                              </w:rPr>
                              <m:t xml:space="preserve">&gt;</m:t>
                            </m:r>
                            <m:r>
                              <w:rPr>
                                <w:rFonts w:ascii="Cambria Math" w:hAnsi="Cambria Math"/>
                              </w:rPr>
                              <m:t xml:space="preserve">c</m:t>
                            </m:r>
                          </m:e>
                        </m:eqArr>
                      </m:e>
                    </m:mr>
                  </m:m>
                </m:e>
              </m:d>
            </m:oMath>
            <w:r>
              <w:rPr>
                <w:rFonts w:cs="Verdana"/>
              </w:rPr>
              <w:t xml:space="preserve"> </w:t>
            </w:r>
            <w:r>
              <w:rPr>
                <w:rFonts w:cs="Verdana"/>
                <w:sz w:val="20"/>
              </w:rPr>
              <w:t xml:space="preserve">siendo </w:t>
            </w:r>
            <w:r>
              <w:rPr>
                <w:rFonts w:cs="Verdana"/>
                <w:i/>
                <w:sz w:val="20"/>
              </w:rPr>
              <w:t>Q</w:t>
            </w:r>
            <w:r>
              <w:rPr>
                <w:rFonts w:cs="Verdana"/>
                <w:sz w:val="20"/>
              </w:rPr>
              <w:t xml:space="preserve"> función del extremo izquierdo</w:t>
            </w:r>
          </w:p>
          <w:p>
            <w:pPr>
              <w:pStyle w:val="Normal"/>
              <w:overflowPunct w:val="true"/>
              <w:spacing w:before="0" w:after="120"/>
              <w:jc w:val="left"/>
              <w:textAlignment w:val="auto"/>
              <w:rPr>
                <w:rFonts w:cs="Verdana"/>
                <w:sz w:val="20"/>
              </w:rPr>
            </w:pPr>
            <w:r>
              <w:rPr/>
            </w:r>
            <m:oMath xmlns:m="http://schemas.openxmlformats.org/officeDocument/2006/math">
              <m:sSub>
                <m:e>
                  <m:r>
                    <w:rPr>
                      <w:rFonts w:ascii="Cambria Math" w:hAnsi="Cambria Math"/>
                    </w:rPr>
                    <m:t xml:space="preserve">μ</m:t>
                  </m:r>
                </m:e>
                <m:sub>
                  <m:r>
                    <w:rPr>
                      <w:rFonts w:ascii="Cambria Math" w:hAnsi="Cambria Math"/>
                    </w:rPr>
                    <m:t xml:space="preserve">Q</m:t>
                  </m:r>
                </m:sub>
              </m:sSub>
              <m:d>
                <m:dPr>
                  <m:begChr m:val="("/>
                  <m:endChr m:val=")"/>
                </m:dPr>
                <m:e>
                  <m:r>
                    <w:rPr>
                      <w:rFonts w:ascii="Cambria Math" w:hAnsi="Cambria Math"/>
                    </w:rPr>
                    <m:t xml:space="preserve">x</m:t>
                  </m:r>
                </m:e>
              </m:d>
              <m:r>
                <w:rPr>
                  <w:rFonts w:ascii="Cambria Math" w:hAnsi="Cambria Math"/>
                </w:rPr>
                <m:t xml:space="preserve">=</m:t>
              </m:r>
              <m:d>
                <m:dPr>
                  <m:begChr m:val="{"/>
                  <m:endChr m:val=""/>
                </m:dPr>
                <m:e>
                  <m:m>
                    <m:mr>
                      <m:e>
                        <m:r>
                          <w:rPr>
                            <w:rFonts w:ascii="Cambria Math" w:hAnsi="Cambria Math"/>
                          </w:rPr>
                          <m:t xml:space="preserve">0</m:t>
                        </m:r>
                        <m:r>
                          <w:rPr>
                            <w:rFonts w:ascii="Cambria Math" w:hAnsi="Cambria Math"/>
                          </w:rPr>
                          <m:t xml:space="preserve">six</m:t>
                        </m:r>
                        <m:r>
                          <w:rPr>
                            <w:rFonts w:ascii="Cambria Math" w:hAnsi="Cambria Math"/>
                          </w:rPr>
                          <m:t xml:space="preserve">&lt;</m:t>
                        </m:r>
                        <m:r>
                          <w:rPr>
                            <w:rFonts w:ascii="Cambria Math" w:hAnsi="Cambria Math"/>
                          </w:rPr>
                          <m:t xml:space="preserve">a</m:t>
                        </m:r>
                        <m:r>
                          <m:rPr>
                            <m:lit/>
                            <m:nor/>
                          </m:rPr>
                          <w:rPr>
                            <w:rFonts w:ascii="Cambria Math" w:hAnsi="Cambria Math"/>
                          </w:rPr>
                          <m:t xml:space="preserve">  </m:t>
                        </m:r>
                      </m:e>
                    </m:mr>
                    <m:mr>
                      <m:e>
                        <m:eqArr>
                          <m:e>
                            <m:f>
                              <m:num>
                                <m:r>
                                  <m:rPr>
                                    <m:lit/>
                                    <m:nor/>
                                  </m:rPr>
                                  <w:rPr>
                                    <w:rFonts w:ascii="Cambria Math" w:hAnsi="Cambria Math"/>
                                  </w:rPr>
                                  <m:t xml:space="preserve">x-a</m:t>
                                </m:r>
                              </m:num>
                              <m:den>
                                <m:r>
                                  <m:rPr>
                                    <m:lit/>
                                    <m:nor/>
                                  </m:rPr>
                                  <w:rPr>
                                    <w:rFonts w:ascii="Cambria Math" w:hAnsi="Cambria Math"/>
                                  </w:rPr>
                                  <m:t xml:space="preserve">b-a</m:t>
                                </m:r>
                              </m:den>
                            </m:f>
                            <m:r>
                              <w:rPr>
                                <w:rFonts w:ascii="Cambria Math" w:hAnsi="Cambria Math"/>
                              </w:rPr>
                              <m:t xml:space="preserve">sia</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b</m:t>
                            </m:r>
                          </m:e>
                          <m:e>
                            <m:r>
                              <w:rPr>
                                <w:rFonts w:ascii="Cambria Math" w:hAnsi="Cambria Math"/>
                              </w:rPr>
                              <m:t xml:space="preserve">1</m:t>
                            </m:r>
                            <m:r>
                              <w:rPr>
                                <w:rFonts w:ascii="Cambria Math" w:hAnsi="Cambria Math"/>
                              </w:rPr>
                              <m:t xml:space="preserve">six</m:t>
                            </m:r>
                            <m:r>
                              <w:rPr>
                                <w:rFonts w:ascii="Cambria Math" w:hAnsi="Cambria Math"/>
                              </w:rPr>
                              <m:t xml:space="preserve">&gt;</m:t>
                            </m:r>
                            <m:r>
                              <w:rPr>
                                <w:rFonts w:ascii="Cambria Math" w:hAnsi="Cambria Math"/>
                              </w:rPr>
                              <m:t xml:space="preserve">b</m:t>
                            </m:r>
                          </m:e>
                        </m:eqArr>
                      </m:e>
                    </m:mr>
                  </m:m>
                </m:e>
              </m:d>
            </m:oMath>
            <w:r>
              <w:rPr>
                <w:rFonts w:cs="Verdana"/>
              </w:rPr>
              <w:t xml:space="preserve">    </w:t>
            </w:r>
            <w:r>
              <w:rPr>
                <w:rFonts w:cs="Verdana"/>
                <w:sz w:val="20"/>
              </w:rPr>
              <w:t xml:space="preserve">siendo </w:t>
            </w:r>
            <w:r>
              <w:rPr>
                <w:rFonts w:cs="Verdana"/>
                <w:i/>
                <w:sz w:val="20"/>
              </w:rPr>
              <w:t>Q</w:t>
            </w:r>
            <w:r>
              <w:rPr>
                <w:rFonts w:cs="Verdana"/>
                <w:sz w:val="20"/>
              </w:rPr>
              <w:t xml:space="preserve"> función del extremo derecho</w:t>
            </w:r>
          </w:p>
          <w:p>
            <w:pPr>
              <w:pStyle w:val="Normal"/>
              <w:overflowPunct w:val="true"/>
              <w:spacing w:before="0" w:after="120"/>
              <w:jc w:val="left"/>
              <w:textAlignment w:val="auto"/>
              <w:rPr>
                <w:rFonts w:cs="Verdana"/>
                <w:sz w:val="20"/>
              </w:rPr>
            </w:pPr>
            <w:r>
              <w:rPr/>
            </w:r>
            <m:oMath xmlns:m="http://schemas.openxmlformats.org/officeDocument/2006/math">
              <m:sSub>
                <m:e>
                  <m:r>
                    <w:rPr>
                      <w:rFonts w:ascii="Cambria Math" w:hAnsi="Cambria Math"/>
                    </w:rPr>
                    <m:t xml:space="preserve">μ</m:t>
                  </m:r>
                </m:e>
                <m:sub>
                  <m:r>
                    <w:rPr>
                      <w:rFonts w:ascii="Cambria Math" w:hAnsi="Cambria Math"/>
                    </w:rPr>
                    <m:t xml:space="preserve">Q</m:t>
                  </m:r>
                </m:sub>
              </m:sSub>
              <m:d>
                <m:dPr>
                  <m:begChr m:val="("/>
                  <m:endChr m:val=")"/>
                </m:dPr>
                <m:e>
                  <m:r>
                    <w:rPr>
                      <w:rFonts w:ascii="Cambria Math" w:hAnsi="Cambria Math"/>
                    </w:rPr>
                    <m:t xml:space="preserve">x</m:t>
                  </m:r>
                </m:e>
              </m:d>
              <m:r>
                <w:rPr>
                  <w:rFonts w:ascii="Cambria Math" w:hAnsi="Cambria Math"/>
                </w:rPr>
                <m:t xml:space="preserve">=</m:t>
              </m:r>
              <m:d>
                <m:dPr>
                  <m:begChr m:val="{"/>
                  <m:endChr m:val=""/>
                </m:dPr>
                <m:e>
                  <m:m>
                    <m:mr>
                      <m:e>
                        <m:r>
                          <w:rPr>
                            <w:rFonts w:ascii="Cambria Math" w:hAnsi="Cambria Math"/>
                          </w:rPr>
                          <m:t xml:space="preserve">0</m:t>
                        </m:r>
                        <m:r>
                          <w:rPr>
                            <w:rFonts w:ascii="Cambria Math" w:hAnsi="Cambria Math"/>
                          </w:rPr>
                          <m:t xml:space="preserve">six</m:t>
                        </m:r>
                        <m:r>
                          <w:rPr>
                            <w:rFonts w:ascii="Cambria Math" w:hAnsi="Cambria Math"/>
                          </w:rPr>
                          <m:t xml:space="preserve">&lt;</m:t>
                        </m:r>
                        <m:r>
                          <w:rPr>
                            <w:rFonts w:ascii="Cambria Math" w:hAnsi="Cambria Math"/>
                          </w:rPr>
                          <m:t xml:space="preserve">a</m:t>
                        </m:r>
                        <m:r>
                          <m:rPr>
                            <m:lit/>
                            <m:nor/>
                          </m:rPr>
                          <w:rPr>
                            <w:rFonts w:ascii="Cambria Math" w:hAnsi="Cambria Math"/>
                          </w:rPr>
                          <m:t xml:space="preserve">     </m:t>
                        </m:r>
                      </m:e>
                    </m:mr>
                    <m:mr>
                      <m:e>
                        <m:eqArr>
                          <m:e>
                            <m:f>
                              <m:num>
                                <m:r>
                                  <m:rPr>
                                    <m:lit/>
                                    <m:nor/>
                                  </m:rPr>
                                  <w:rPr>
                                    <w:rFonts w:ascii="Cambria Math" w:hAnsi="Cambria Math"/>
                                  </w:rPr>
                                  <m:t xml:space="preserve">x-a</m:t>
                                </m:r>
                              </m:num>
                              <m:den>
                                <m:r>
                                  <m:rPr>
                                    <m:lit/>
                                    <m:nor/>
                                  </m:rPr>
                                  <w:rPr>
                                    <w:rFonts w:ascii="Cambria Math" w:hAnsi="Cambria Math"/>
                                  </w:rPr>
                                  <m:t xml:space="preserve">b-a</m:t>
                                </m:r>
                              </m:den>
                            </m:f>
                            <m:r>
                              <w:rPr>
                                <w:rFonts w:ascii="Cambria Math" w:hAnsi="Cambria Math"/>
                              </w:rPr>
                              <m:t xml:space="preserve">sia</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b</m:t>
                            </m:r>
                          </m:e>
                          <m:e>
                            <m:f>
                              <m:num>
                                <m:r>
                                  <m:rPr>
                                    <m:lit/>
                                    <m:nor/>
                                  </m:rPr>
                                  <w:rPr>
                                    <w:rFonts w:ascii="Cambria Math" w:hAnsi="Cambria Math"/>
                                  </w:rPr>
                                  <m:t xml:space="preserve">c-x</m:t>
                                </m:r>
                              </m:num>
                              <m:den>
                                <m:r>
                                  <m:rPr>
                                    <m:lit/>
                                    <m:nor/>
                                  </m:rPr>
                                  <w:rPr>
                                    <w:rFonts w:ascii="Cambria Math" w:hAnsi="Cambria Math"/>
                                  </w:rPr>
                                  <m:t xml:space="preserve">c-b</m:t>
                                </m:r>
                              </m:den>
                            </m:f>
                            <m:r>
                              <w:rPr>
                                <w:rFonts w:ascii="Cambria Math" w:hAnsi="Cambria Math"/>
                              </w:rPr>
                              <m:t xml:space="preserve">sib</m:t>
                            </m:r>
                            <m:r>
                              <w:rPr>
                                <w:rFonts w:ascii="Cambria Math" w:hAnsi="Cambria Math"/>
                              </w:rPr>
                              <m:t xml:space="preserve">&lt;</m:t>
                            </m:r>
                            <m:r>
                              <w:rPr>
                                <w:rFonts w:ascii="Cambria Math" w:hAnsi="Cambria Math"/>
                              </w:rPr>
                              <m:t xml:space="preserve">x</m:t>
                            </m:r>
                            <m:r>
                              <w:rPr>
                                <w:rFonts w:ascii="Cambria Math" w:hAnsi="Cambria Math"/>
                              </w:rPr>
                              <m:t xml:space="preserve">≤</m:t>
                            </m:r>
                            <m:r>
                              <w:rPr>
                                <w:rFonts w:ascii="Cambria Math" w:hAnsi="Cambria Math"/>
                              </w:rPr>
                              <m:t xml:space="preserve">c</m:t>
                            </m:r>
                          </m:e>
                          <m:e>
                            <m:r>
                              <w:rPr>
                                <w:rFonts w:ascii="Cambria Math" w:hAnsi="Cambria Math"/>
                              </w:rPr>
                              <m:t xml:space="preserve">0</m:t>
                            </m:r>
                            <m:r>
                              <w:rPr>
                                <w:rFonts w:ascii="Cambria Math" w:hAnsi="Cambria Math"/>
                              </w:rPr>
                              <m:t xml:space="preserve">six</m:t>
                            </m:r>
                            <m:r>
                              <w:rPr>
                                <w:rFonts w:ascii="Cambria Math" w:hAnsi="Cambria Math"/>
                              </w:rPr>
                              <m:t xml:space="preserve">&gt;</m:t>
                            </m:r>
                            <m:r>
                              <w:rPr>
                                <w:rFonts w:ascii="Cambria Math" w:hAnsi="Cambria Math"/>
                              </w:rPr>
                              <m:t xml:space="preserve">c</m:t>
                            </m:r>
                          </m:e>
                        </m:eqArr>
                      </m:e>
                    </m:mr>
                  </m:m>
                </m:e>
              </m:d>
            </m:oMath>
            <w:r>
              <w:rPr>
                <w:rFonts w:cs="Verdana"/>
                <w:sz w:val="18"/>
              </w:rPr>
              <w:t xml:space="preserve">       </w:t>
            </w:r>
            <w:r>
              <w:rPr>
                <w:rFonts w:cs="Verdana"/>
                <w:sz w:val="20"/>
              </w:rPr>
              <w:t xml:space="preserve">resto de las funciones internas de </w:t>
            </w:r>
            <w:r>
              <w:rPr>
                <w:rFonts w:cs="Verdana"/>
                <w:i/>
                <w:sz w:val="20"/>
              </w:rPr>
              <w:t>Q</w:t>
            </w:r>
          </w:p>
        </w:tc>
        <w:tc>
          <w:tcPr>
            <w:tcW w:w="1444" w:type="dxa"/>
            <w:tcBorders>
              <w:top w:val="nil"/>
              <w:left w:val="nil"/>
              <w:bottom w:val="nil"/>
              <w:right w:val="nil"/>
              <w:insideH w:val="nil"/>
              <w:insideV w:val="nil"/>
            </w:tcBorders>
            <w:shd w:color="auto" w:fill="auto" w:val="clear"/>
            <w:vAlign w:val="center"/>
          </w:tcPr>
          <w:p>
            <w:pPr>
              <w:pStyle w:val="Normal"/>
              <w:spacing w:before="120" w:after="120"/>
              <w:jc w:val="right"/>
              <w:rPr/>
            </w:pPr>
            <w:bookmarkStart w:id="896" w:name="_Ref68944451"/>
            <w:r>
              <w:rPr/>
              <w:t xml:space="preserve">Ecuación </w:t>
            </w:r>
            <w:bookmarkEnd w:id="896"/>
            <w:r>
              <w:rPr/>
              <w:fldChar w:fldCharType="begin"/>
            </w:r>
            <w:r>
              <w:instrText> SEQ Ecuación \* ARABIC </w:instrText>
            </w:r>
            <w:r>
              <w:fldChar w:fldCharType="separate"/>
            </w:r>
            <w:r>
              <w:t>2</w:t>
            </w:r>
            <w:r>
              <w:fldChar w:fldCharType="end"/>
            </w:r>
          </w:p>
        </w:tc>
      </w:tr>
    </w:tbl>
    <w:p>
      <w:pPr>
        <w:pStyle w:val="Normal"/>
        <w:overflowPunct w:val="true"/>
        <w:spacing w:before="0" w:after="120"/>
        <w:ind w:left="170" w:hanging="170"/>
        <w:jc w:val="center"/>
        <w:textAlignment w:val="auto"/>
        <w:rPr>
          <w:rFonts w:cs="Verdana"/>
          <w:sz w:val="20"/>
        </w:rPr>
      </w:pPr>
      <w:r>
        <w:rPr/>
        <w:drawing>
          <wp:inline distT="0" distB="0" distL="0" distR="0">
            <wp:extent cx="5534025" cy="2163445"/>
            <wp:effectExtent l="0" t="0" r="0" b="0"/>
            <wp:docPr id="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pStyle w:val="Normal"/>
        <w:overflowPunct w:val="true"/>
        <w:spacing w:before="0" w:after="120"/>
        <w:ind w:left="170" w:hanging="170"/>
        <w:jc w:val="center"/>
        <w:textAlignment w:val="auto"/>
        <w:rPr/>
      </w:pPr>
      <w:bookmarkStart w:id="897" w:name="_Toc58849622"/>
      <w:bookmarkStart w:id="898" w:name="_Toc84599009"/>
      <w:bookmarkStart w:id="899" w:name="_Ref68931539"/>
      <w:r>
        <w:rPr>
          <w:rFonts w:cs="Verdana"/>
          <w:sz w:val="20"/>
        </w:rPr>
        <w:t xml:space="preserve">Figura </w:t>
      </w:r>
      <w:r>
        <w:rPr>
          <w:rFonts w:cs="Verdana"/>
          <w:sz w:val="20"/>
        </w:rPr>
        <w:fldChar w:fldCharType="begin"/>
      </w:r>
      <w:r>
        <w:instrText> SEQ Figura \* ARABIC </w:instrText>
      </w:r>
      <w:r>
        <w:fldChar w:fldCharType="separate"/>
      </w:r>
      <w:r>
        <w:t>2</w:t>
      </w:r>
      <w:r>
        <w:fldChar w:fldCharType="end"/>
      </w:r>
      <w:bookmarkEnd w:id="899"/>
      <w:r>
        <w:rPr>
          <w:rFonts w:cs="Verdana"/>
          <w:sz w:val="20"/>
        </w:rPr>
        <w:t xml:space="preserve">: Variable </w:t>
      </w:r>
      <w:r>
        <w:rPr>
          <w:sz w:val="20"/>
        </w:rPr>
        <w:t>lingüística de los cuantificadores (</w:t>
      </w:r>
      <w:r>
        <w:rPr>
          <w:i/>
          <w:sz w:val="20"/>
        </w:rPr>
        <w:t>Q</w:t>
      </w:r>
      <w:bookmarkEnd w:id="897"/>
      <w:bookmarkEnd w:id="898"/>
      <w:r>
        <w:rPr>
          <w:sz w:val="20"/>
        </w:rPr>
        <w:t>) basada en funciones triangulares.</w:t>
      </w:r>
    </w:p>
    <w:p>
      <w:pPr>
        <w:pStyle w:val="Normal"/>
        <w:spacing w:before="120" w:after="120"/>
        <w:rPr/>
      </w:pPr>
      <w:r>
        <w:rPr/>
        <w:t xml:space="preserve">Los posibles valores de </w:t>
      </w:r>
      <w:r>
        <w:rPr>
          <w:i/>
          <w:iCs/>
        </w:rPr>
        <w:t>S</w:t>
      </w:r>
      <w:r>
        <w:rPr/>
        <w:t xml:space="preserve"> y </w:t>
      </w:r>
      <w:r>
        <w:rPr>
          <w:i/>
          <w:iCs/>
        </w:rPr>
        <w:t xml:space="preserve">R </w:t>
      </w:r>
      <w:r>
        <w:rPr/>
        <w:t>también estarán representados por variables lingüísticas, donde las diferentes alternativas de representación dependen del problema en cuestión y constituyen entradas a los algoritmos. Un elemento novedoso que se propone en esta investigación es la construcción de resúmenes lingüísticos bajo un enfoque multilingüe empleando Lenguajes Naturales Controlados (</w:t>
      </w:r>
      <w:r>
        <w:rPr>
          <w:i/>
        </w:rPr>
        <w:t>LNC</w:t>
      </w:r>
      <w:r>
        <w:rPr/>
        <w:t xml:space="preserve">), ver </w:t>
      </w:r>
      <w:r>
        <w:rPr/>
        <w:fldChar w:fldCharType="begin"/>
      </w:r>
      <w:r>
        <w:instrText> REF _Ref79226104 \h </w:instrText>
      </w:r>
      <w:r>
        <w:fldChar w:fldCharType="separate"/>
      </w:r>
      <w:r>
        <w:t>Definición 2</w:t>
      </w:r>
      <w:r>
        <w:fldChar w:fldCharType="end"/>
      </w:r>
      <w:r>
        <w:rPr/>
        <w:t>.</w:t>
      </w:r>
    </w:p>
    <w:p>
      <w:pPr>
        <w:pStyle w:val="Normal"/>
        <w:spacing w:before="120" w:after="120"/>
        <w:rPr/>
      </w:pPr>
      <w:r>
        <w:rPr>
          <w:lang w:eastAsia="en-US"/>
        </w:rPr>
        <w:t xml:space="preserve">Para caracterizar a los lenguajes podemos emplear el esquema de clasificación de PENS </w:t>
      </w:r>
      <w:r>
        <w:fldChar w:fldCharType="begin"/>
      </w:r>
      <w:r>
        <w:instrText>ADDIN ZOTERO_ITEM CSL_CITATION {"citationID":"oFjlqnEG","properties":{"formattedCitation":"(Kuhn 2014)","plainCitation":"(Kuhn 2014)","noteIndex":0},"citationItems":[{"id":"NJclqhNX/Dg5J7Bv0","uris":["http://zotero.org/users/local/rsuvzjK6/items/SPMTGCUS"],"uri":["http://zotero.org/users/local/rsuvzjK6/items/SPMTGCUS"],"itemData":{"id":3478,"type":"article-journal","container-title":"Computational Linguistics, ISSN: 0891-2017","DOI":"10.1162/COLI_a_00168","ISSN":"0891-2017","issue":"1","language":"en","page":"121–170","title":"A Survey and Classification of Controlled Natural Languages","volume":"40","author":[{"family":"Kuhn","given":"Tobias"}],"issued":{"date-parts":[["2014",3]]}}}],"schema":"https://github.com/citation-style-language/schema/raw/master/csl-citation.json"}</w:instrText>
      </w:r>
      <w:r>
        <w:fldChar w:fldCharType="separate"/>
      </w:r>
      <w:bookmarkStart w:id="900" w:name="__Fieldmark__6736_2067855929"/>
      <w:r>
        <w:rPr>
          <w:lang w:eastAsia="en-US"/>
        </w:rPr>
        <w:t>(</w:t>
      </w:r>
      <w:bookmarkStart w:id="901" w:name="__Fieldmark__5702_498839314"/>
      <w:r>
        <w:rPr>
          <w:lang w:eastAsia="en-US"/>
        </w:rPr>
        <w:t>K</w:t>
      </w:r>
      <w:bookmarkStart w:id="902" w:name="__Fieldmark__4983_998588997"/>
      <w:r>
        <w:rPr>
          <w:lang w:eastAsia="en-US"/>
        </w:rPr>
        <w:t>u</w:t>
      </w:r>
      <w:bookmarkStart w:id="903" w:name="__Fieldmark__7944_118561941"/>
      <w:r>
        <w:rPr>
          <w:lang w:eastAsia="en-US"/>
        </w:rPr>
        <w:t>hn 2014)</w:t>
      </w:r>
      <w:r>
        <w:rPr>
          <w:lang w:eastAsia="en-US"/>
        </w:rPr>
      </w:r>
      <w:r>
        <w:fldChar w:fldCharType="end"/>
      </w:r>
      <w:bookmarkEnd w:id="900"/>
      <w:bookmarkEnd w:id="901"/>
      <w:bookmarkEnd w:id="902"/>
      <w:bookmarkEnd w:id="903"/>
      <w:r>
        <w:rPr>
          <w:lang w:eastAsia="en-US"/>
        </w:rPr>
        <w:t xml:space="preserve"> , que se basa en las siguientes dimensiones:</w:t>
      </w:r>
    </w:p>
    <w:p>
      <w:pPr>
        <w:pStyle w:val="Normal"/>
        <w:numPr>
          <w:ilvl w:val="0"/>
          <w:numId w:val="39"/>
        </w:numPr>
        <w:spacing w:before="120" w:after="85"/>
        <w:ind w:left="567" w:hanging="360"/>
        <w:textAlignment w:val="auto"/>
        <w:rPr>
          <w:rFonts w:cs="Times New Roman"/>
          <w:lang w:val="x-none" w:eastAsia="en-US"/>
        </w:rPr>
      </w:pPr>
      <w:r>
        <w:rPr>
          <w:rFonts w:cs="Times New Roman"/>
          <w:lang w:val="x-none" w:eastAsia="en-US"/>
        </w:rPr>
        <w:t>Precisión</w:t>
      </w:r>
      <w:r>
        <w:rPr>
          <w:rFonts w:cs="Times New Roman"/>
          <w:lang w:eastAsia="en-US"/>
        </w:rPr>
        <w:t xml:space="preserve">, que mide el </w:t>
      </w:r>
      <w:r>
        <w:rPr>
          <w:rFonts w:cs="Times New Roman"/>
          <w:lang w:val="x-none" w:eastAsia="en-US"/>
        </w:rPr>
        <w:t>grado en que el significado de un texto puede ser extraído de</w:t>
      </w:r>
      <w:r>
        <w:rPr>
          <w:rFonts w:cs="Times New Roman"/>
          <w:lang w:eastAsia="en-US"/>
        </w:rPr>
        <w:t xml:space="preserve"> éste, tal que cada lenguaje puede ser clasificado en: </w:t>
      </w:r>
      <w:r>
        <w:rPr>
          <w:rFonts w:cs="Times New Roman"/>
          <w:lang w:val="x-none" w:eastAsia="en-US"/>
        </w:rPr>
        <w:t>impreciso (P1)</w:t>
      </w:r>
      <w:r>
        <w:rPr>
          <w:rFonts w:cs="Times New Roman"/>
          <w:lang w:eastAsia="en-US"/>
        </w:rPr>
        <w:t xml:space="preserve">, </w:t>
      </w:r>
      <w:r>
        <w:rPr>
          <w:rFonts w:cs="Times New Roman"/>
          <w:lang w:val="x-none" w:eastAsia="en-US"/>
        </w:rPr>
        <w:t>meno</w:t>
      </w:r>
      <w:r>
        <w:rPr>
          <w:rFonts w:cs="Times New Roman"/>
          <w:lang w:eastAsia="en-US"/>
        </w:rPr>
        <w:t>s</w:t>
      </w:r>
      <w:r>
        <w:rPr>
          <w:rFonts w:cs="Times New Roman"/>
          <w:lang w:val="x-none" w:eastAsia="en-US"/>
        </w:rPr>
        <w:t xml:space="preserve"> impreciso (P2)</w:t>
      </w:r>
      <w:r>
        <w:rPr>
          <w:rFonts w:cs="Times New Roman"/>
          <w:lang w:eastAsia="en-US"/>
        </w:rPr>
        <w:t xml:space="preserve">, </w:t>
      </w:r>
      <w:r>
        <w:rPr>
          <w:rFonts w:cs="Times New Roman"/>
          <w:lang w:val="x-none" w:eastAsia="en-US"/>
        </w:rPr>
        <w:t>confiables en la interpretación (P3)</w:t>
      </w:r>
      <w:r>
        <w:rPr>
          <w:rFonts w:cs="Times New Roman"/>
          <w:lang w:eastAsia="en-US"/>
        </w:rPr>
        <w:t xml:space="preserve">, </w:t>
      </w:r>
      <w:r>
        <w:rPr>
          <w:rFonts w:cs="Times New Roman"/>
          <w:lang w:val="x-none" w:eastAsia="en-US"/>
        </w:rPr>
        <w:t>interpretado de forma determinista (P4)</w:t>
      </w:r>
      <w:r>
        <w:rPr>
          <w:rFonts w:cs="Times New Roman"/>
          <w:lang w:eastAsia="en-US"/>
        </w:rPr>
        <w:t xml:space="preserve"> y </w:t>
      </w:r>
      <w:r>
        <w:rPr>
          <w:rFonts w:cs="Times New Roman"/>
          <w:lang w:val="x-none" w:eastAsia="en-US"/>
        </w:rPr>
        <w:t>con una semántica determinada (P5)</w:t>
      </w:r>
      <w:r>
        <w:rPr>
          <w:rFonts w:cs="Times New Roman"/>
          <w:lang w:eastAsia="en-US"/>
        </w:rPr>
        <w:t>.</w:t>
      </w:r>
    </w:p>
    <w:p>
      <w:pPr>
        <w:pStyle w:val="Normal"/>
        <w:numPr>
          <w:ilvl w:val="0"/>
          <w:numId w:val="39"/>
        </w:numPr>
        <w:spacing w:before="120" w:after="85"/>
        <w:ind w:left="567" w:hanging="360"/>
        <w:textAlignment w:val="auto"/>
        <w:rPr>
          <w:rFonts w:cs="Times New Roman"/>
          <w:lang w:val="x-none" w:eastAsia="en-US"/>
        </w:rPr>
      </w:pPr>
      <w:r>
        <w:rPr>
          <w:rFonts w:cs="Times New Roman"/>
          <w:lang w:val="x-none" w:eastAsia="en-US"/>
        </w:rPr>
        <w:t>Expresividad</w:t>
      </w:r>
      <w:r>
        <w:rPr>
          <w:rFonts w:cs="Times New Roman"/>
          <w:lang w:eastAsia="en-US"/>
        </w:rPr>
        <w:t xml:space="preserve">, que </w:t>
      </w:r>
      <w:r>
        <w:rPr>
          <w:rFonts w:cs="Times New Roman"/>
          <w:lang w:val="x-none" w:eastAsia="en-US"/>
        </w:rPr>
        <w:t>describe el rango de proposiciones que un lenguaje es capaz de expresar</w:t>
      </w:r>
      <w:r>
        <w:rPr>
          <w:rFonts w:cs="Times New Roman"/>
          <w:lang w:eastAsia="en-US"/>
        </w:rPr>
        <w:t xml:space="preserve">. Considerando este criterio, los lenguajes pueden ser clasificados en: </w:t>
      </w:r>
      <w:r>
        <w:rPr>
          <w:rFonts w:cs="Times New Roman"/>
          <w:lang w:val="x-none" w:eastAsia="en-US"/>
        </w:rPr>
        <w:t>inexpresivos (E1)</w:t>
      </w:r>
      <w:r>
        <w:rPr>
          <w:rFonts w:cs="Times New Roman"/>
          <w:lang w:eastAsia="en-US"/>
        </w:rPr>
        <w:t xml:space="preserve">, </w:t>
      </w:r>
      <w:r>
        <w:rPr>
          <w:rFonts w:cs="Times New Roman"/>
          <w:lang w:val="x-none" w:eastAsia="en-US"/>
        </w:rPr>
        <w:t>baja expresividad (E2)</w:t>
      </w:r>
      <w:r>
        <w:rPr>
          <w:rFonts w:cs="Times New Roman"/>
          <w:lang w:eastAsia="en-US"/>
        </w:rPr>
        <w:t xml:space="preserve">, </w:t>
      </w:r>
      <w:r>
        <w:rPr>
          <w:rFonts w:cs="Times New Roman"/>
          <w:lang w:val="x-none" w:eastAsia="en-US"/>
        </w:rPr>
        <w:t>expresividad media (E3)</w:t>
      </w:r>
      <w:r>
        <w:rPr>
          <w:rFonts w:cs="Times New Roman"/>
          <w:lang w:eastAsia="en-US"/>
        </w:rPr>
        <w:t xml:space="preserve">, </w:t>
      </w:r>
      <w:r>
        <w:rPr>
          <w:rFonts w:cs="Times New Roman"/>
          <w:lang w:val="x-none" w:eastAsia="en-US"/>
        </w:rPr>
        <w:t>con alta expresividad (E4)</w:t>
      </w:r>
      <w:r>
        <w:rPr>
          <w:rFonts w:cs="Times New Roman"/>
          <w:lang w:eastAsia="en-US"/>
        </w:rPr>
        <w:t xml:space="preserve"> y con </w:t>
      </w:r>
      <w:r>
        <w:rPr>
          <w:rFonts w:cs="Times New Roman"/>
          <w:lang w:val="x-none" w:eastAsia="en-US"/>
        </w:rPr>
        <w:t>máxima expresividad (E5)</w:t>
      </w:r>
      <w:r>
        <w:rPr>
          <w:rFonts w:cs="Times New Roman"/>
          <w:lang w:eastAsia="en-US"/>
        </w:rPr>
        <w:t>.</w:t>
      </w:r>
    </w:p>
    <w:p>
      <w:pPr>
        <w:pStyle w:val="Normal"/>
        <w:numPr>
          <w:ilvl w:val="0"/>
          <w:numId w:val="39"/>
        </w:numPr>
        <w:spacing w:before="120" w:after="85"/>
        <w:ind w:left="567" w:hanging="360"/>
        <w:textAlignment w:val="auto"/>
        <w:rPr>
          <w:rFonts w:cs="Times New Roman"/>
          <w:lang w:val="x-none" w:eastAsia="en-US"/>
        </w:rPr>
      </w:pPr>
      <w:r>
        <w:rPr>
          <w:rFonts w:cs="Times New Roman"/>
          <w:lang w:val="x-none" w:eastAsia="en-US"/>
        </w:rPr>
        <w:t>Naturalidad</w:t>
      </w:r>
      <w:r>
        <w:rPr>
          <w:rFonts w:cs="Times New Roman"/>
          <w:lang w:eastAsia="en-US"/>
        </w:rPr>
        <w:t xml:space="preserve">, que mide </w:t>
      </w:r>
      <w:r>
        <w:rPr>
          <w:rFonts w:cs="Times New Roman"/>
          <w:lang w:val="x-none" w:eastAsia="en-US"/>
        </w:rPr>
        <w:t>cu</w:t>
      </w:r>
      <w:r>
        <w:rPr>
          <w:rFonts w:cs="Times New Roman"/>
          <w:lang w:eastAsia="en-US"/>
        </w:rPr>
        <w:t>á</w:t>
      </w:r>
      <w:r>
        <w:rPr>
          <w:rFonts w:cs="Times New Roman"/>
          <w:lang w:val="x-none" w:eastAsia="en-US"/>
        </w:rPr>
        <w:t>n cercano está el lenguaje a la lengua natural</w:t>
      </w:r>
      <w:r>
        <w:rPr>
          <w:rFonts w:cs="Times New Roman"/>
          <w:lang w:eastAsia="en-US"/>
        </w:rPr>
        <w:t>,</w:t>
      </w:r>
      <w:r>
        <w:rPr>
          <w:rFonts w:cs="Times New Roman"/>
          <w:lang w:val="x-none" w:eastAsia="en-US"/>
        </w:rPr>
        <w:t xml:space="preserve"> en términos de legibilidad y comprensibilidad de los hablantes de la lengua natural de base</w:t>
      </w:r>
      <w:r>
        <w:rPr>
          <w:rFonts w:cs="Times New Roman"/>
          <w:lang w:eastAsia="en-US"/>
        </w:rPr>
        <w:t xml:space="preserve">. Bajo este criterio, los lenguajes son clasificados en: </w:t>
      </w:r>
      <w:r>
        <w:rPr>
          <w:rFonts w:cs="Times New Roman"/>
          <w:lang w:val="x-none" w:eastAsia="en-US"/>
        </w:rPr>
        <w:t>no naturales (N1)</w:t>
      </w:r>
      <w:r>
        <w:rPr>
          <w:rFonts w:cs="Times New Roman"/>
          <w:lang w:eastAsia="en-US"/>
        </w:rPr>
        <w:t xml:space="preserve">, </w:t>
      </w:r>
      <w:r>
        <w:rPr>
          <w:rFonts w:cs="Times New Roman"/>
          <w:lang w:val="x-none" w:eastAsia="en-US"/>
        </w:rPr>
        <w:t>con predominio de elementos no naturales (N2)</w:t>
      </w:r>
      <w:r>
        <w:rPr>
          <w:rFonts w:cs="Times New Roman"/>
          <w:lang w:eastAsia="en-US"/>
        </w:rPr>
        <w:t xml:space="preserve">, con </w:t>
      </w:r>
      <w:r>
        <w:rPr>
          <w:rFonts w:cs="Times New Roman"/>
          <w:lang w:val="x-none" w:eastAsia="en-US"/>
        </w:rPr>
        <w:t>predominio de elementos naturales (N3)</w:t>
      </w:r>
      <w:r>
        <w:rPr>
          <w:rFonts w:cs="Times New Roman"/>
          <w:lang w:eastAsia="en-US"/>
        </w:rPr>
        <w:t xml:space="preserve">, </w:t>
      </w:r>
      <w:r>
        <w:rPr>
          <w:rFonts w:cs="Times New Roman"/>
          <w:lang w:val="x-none" w:eastAsia="en-US"/>
        </w:rPr>
        <w:t>con sentencias naturales (N4)</w:t>
      </w:r>
      <w:r>
        <w:rPr>
          <w:rFonts w:cs="Times New Roman"/>
          <w:lang w:eastAsia="en-US"/>
        </w:rPr>
        <w:t xml:space="preserve"> y con </w:t>
      </w:r>
      <w:r>
        <w:rPr>
          <w:rFonts w:cs="Times New Roman"/>
          <w:lang w:val="x-none" w:eastAsia="en-US"/>
        </w:rPr>
        <w:t>textos naturales (N5)</w:t>
      </w:r>
      <w:r>
        <w:rPr>
          <w:rFonts w:cs="Times New Roman"/>
          <w:lang w:eastAsia="en-US"/>
        </w:rPr>
        <w:t>.</w:t>
      </w:r>
    </w:p>
    <w:p>
      <w:pPr>
        <w:pStyle w:val="Normal"/>
        <w:numPr>
          <w:ilvl w:val="0"/>
          <w:numId w:val="39"/>
        </w:numPr>
        <w:spacing w:before="120" w:after="85"/>
        <w:ind w:left="567" w:hanging="360"/>
        <w:rPr>
          <w:rFonts w:cs="Times New Roman"/>
          <w:lang w:val="x-none" w:eastAsia="en-US"/>
        </w:rPr>
      </w:pPr>
      <w:r>
        <w:rPr>
          <w:rFonts w:cs="Times New Roman"/>
          <w:lang w:val="x-none" w:eastAsia="en-US"/>
        </w:rPr>
        <w:t>Simplicidad</w:t>
      </w:r>
      <w:r>
        <w:rPr>
          <w:rFonts w:cs="Times New Roman"/>
          <w:lang w:eastAsia="en-US"/>
        </w:rPr>
        <w:t xml:space="preserve">, </w:t>
      </w:r>
      <w:r>
        <w:rPr>
          <w:rFonts w:cs="Times New Roman"/>
          <w:lang w:val="x-none" w:eastAsia="en-US"/>
        </w:rPr>
        <w:t>relacionad</w:t>
      </w:r>
      <w:r>
        <w:rPr>
          <w:rFonts w:cs="Times New Roman"/>
          <w:lang w:eastAsia="en-US"/>
        </w:rPr>
        <w:t>a</w:t>
      </w:r>
      <w:r>
        <w:rPr>
          <w:rFonts w:cs="Times New Roman"/>
          <w:lang w:val="x-none" w:eastAsia="en-US"/>
        </w:rPr>
        <w:t xml:space="preserve"> con el esfuerzo necesario para implementar completamente la sintaxis y la semántica del lenguaje a través de un modelo formal.</w:t>
      </w:r>
      <w:r>
        <w:rPr>
          <w:rFonts w:cs="Times New Roman"/>
          <w:lang w:eastAsia="en-US"/>
        </w:rPr>
        <w:t xml:space="preserve"> Considerando este criterio, los lenguajes pueden ser clasificados en: </w:t>
      </w:r>
      <w:r>
        <w:rPr>
          <w:rFonts w:cs="Times New Roman"/>
          <w:lang w:val="x-none" w:eastAsia="en-US"/>
        </w:rPr>
        <w:t>muy complejos (S1)</w:t>
      </w:r>
      <w:r>
        <w:rPr>
          <w:rFonts w:cs="Times New Roman"/>
          <w:lang w:eastAsia="en-US"/>
        </w:rPr>
        <w:t xml:space="preserve">, </w:t>
      </w:r>
      <w:r>
        <w:rPr>
          <w:rFonts w:cs="Times New Roman"/>
          <w:lang w:val="x-none" w:eastAsia="en-US"/>
        </w:rPr>
        <w:t>sin descripciones exhaustivas (S2)</w:t>
      </w:r>
      <w:r>
        <w:rPr>
          <w:rFonts w:cs="Times New Roman"/>
          <w:lang w:eastAsia="en-US"/>
        </w:rPr>
        <w:t xml:space="preserve">, </w:t>
      </w:r>
      <w:r>
        <w:rPr>
          <w:rFonts w:cs="Times New Roman"/>
          <w:lang w:val="x-none" w:eastAsia="en-US"/>
        </w:rPr>
        <w:t>con grandes descripciones (S3)</w:t>
      </w:r>
      <w:r>
        <w:rPr>
          <w:rFonts w:cs="Times New Roman"/>
          <w:lang w:eastAsia="en-US"/>
        </w:rPr>
        <w:t xml:space="preserve">, </w:t>
      </w:r>
      <w:r>
        <w:rPr>
          <w:rFonts w:cs="Times New Roman"/>
          <w:lang w:val="x-none" w:eastAsia="en-US"/>
        </w:rPr>
        <w:t>con descripciones cortas (S4)</w:t>
      </w:r>
      <w:r>
        <w:rPr>
          <w:rFonts w:cs="Times New Roman"/>
          <w:lang w:eastAsia="en-US"/>
        </w:rPr>
        <w:t xml:space="preserve"> y </w:t>
      </w:r>
      <w:r>
        <w:rPr>
          <w:rFonts w:cs="Times New Roman"/>
          <w:lang w:val="x-none" w:eastAsia="en-US"/>
        </w:rPr>
        <w:t>con descripciones muy cortas (S5)</w:t>
      </w:r>
      <w:r>
        <w:rPr>
          <w:rFonts w:cs="Times New Roman"/>
          <w:lang w:eastAsia="en-US"/>
        </w:rPr>
        <w:t>.</w:t>
      </w:r>
    </w:p>
    <w:p>
      <w:pPr>
        <w:pStyle w:val="Normal"/>
        <w:spacing w:before="120" w:after="120"/>
        <w:rPr>
          <w:lang w:eastAsia="en-US"/>
        </w:rPr>
      </w:pPr>
      <w:r>
        <w:rPr>
          <w:lang w:eastAsia="en-US"/>
        </w:rPr>
        <w:t>Respecto a cada dimensión, los extremos conceptuales de los atributos representan a los lenguajes naturales. Por ejemplo, el idioma inglés es clasificado como P</w:t>
      </w:r>
      <w:r>
        <w:rPr>
          <w:vertAlign w:val="subscript"/>
          <w:lang w:eastAsia="en-US"/>
        </w:rPr>
        <w:t>1</w:t>
      </w:r>
      <w:r>
        <w:rPr>
          <w:lang w:eastAsia="en-US"/>
        </w:rPr>
        <w:t>E</w:t>
      </w:r>
      <w:r>
        <w:rPr>
          <w:vertAlign w:val="subscript"/>
          <w:lang w:eastAsia="en-US"/>
        </w:rPr>
        <w:t>5</w:t>
      </w:r>
      <w:r>
        <w:rPr>
          <w:lang w:eastAsia="en-US"/>
        </w:rPr>
        <w:t>N</w:t>
      </w:r>
      <w:r>
        <w:rPr>
          <w:vertAlign w:val="subscript"/>
          <w:lang w:eastAsia="en-US"/>
        </w:rPr>
        <w:t>5</w:t>
      </w:r>
      <w:r>
        <w:rPr>
          <w:lang w:eastAsia="en-US"/>
        </w:rPr>
        <w:t>S</w:t>
      </w:r>
      <w:r>
        <w:rPr>
          <w:vertAlign w:val="subscript"/>
          <w:lang w:eastAsia="en-US"/>
        </w:rPr>
        <w:t xml:space="preserve">1 </w:t>
      </w:r>
      <w:r>
        <w:rPr>
          <w:lang w:eastAsia="en-US"/>
        </w:rPr>
        <w:t>mientras que el lenguaje de la lógica proposicional es clasificado como P</w:t>
      </w:r>
      <w:r>
        <w:rPr>
          <w:vertAlign w:val="subscript"/>
          <w:lang w:eastAsia="en-US"/>
        </w:rPr>
        <w:t>5</w:t>
      </w:r>
      <w:r>
        <w:rPr>
          <w:lang w:eastAsia="en-US"/>
        </w:rPr>
        <w:t>E</w:t>
      </w:r>
      <w:r>
        <w:rPr>
          <w:vertAlign w:val="subscript"/>
          <w:lang w:eastAsia="en-US"/>
        </w:rPr>
        <w:t>1</w:t>
      </w:r>
      <w:r>
        <w:rPr>
          <w:lang w:eastAsia="en-US"/>
        </w:rPr>
        <w:t>N</w:t>
      </w:r>
      <w:r>
        <w:rPr>
          <w:vertAlign w:val="subscript"/>
          <w:lang w:eastAsia="en-US"/>
        </w:rPr>
        <w:t>1</w:t>
      </w:r>
      <w:r>
        <w:rPr>
          <w:lang w:eastAsia="en-US"/>
        </w:rPr>
        <w:t>S</w:t>
      </w:r>
      <w:r>
        <w:rPr>
          <w:vertAlign w:val="subscript"/>
          <w:lang w:eastAsia="en-US"/>
        </w:rPr>
        <w:t>5</w:t>
      </w:r>
      <w:r>
        <w:rPr>
          <w:lang w:eastAsia="en-US"/>
        </w:rPr>
        <w:t>. Los LNC definidos en esta investigación, no se sitúan en ninguno de los dos extremos, sino en caracterizaciones intermedias de cada dimensión; siendo la clasificación P</w:t>
      </w:r>
      <w:r>
        <w:rPr>
          <w:vertAlign w:val="subscript"/>
          <w:lang w:eastAsia="en-US"/>
        </w:rPr>
        <w:t>3</w:t>
      </w:r>
      <w:r>
        <w:rPr>
          <w:lang w:eastAsia="en-US"/>
        </w:rPr>
        <w:t>E</w:t>
      </w:r>
      <w:r>
        <w:rPr>
          <w:vertAlign w:val="subscript"/>
          <w:lang w:eastAsia="en-US"/>
        </w:rPr>
        <w:t>3</w:t>
      </w:r>
      <w:r>
        <w:rPr>
          <w:lang w:eastAsia="en-US"/>
        </w:rPr>
        <w:t>N</w:t>
      </w:r>
      <w:r>
        <w:rPr>
          <w:vertAlign w:val="subscript"/>
          <w:lang w:eastAsia="en-US"/>
        </w:rPr>
        <w:t>4</w:t>
      </w:r>
      <w:r>
        <w:rPr>
          <w:lang w:eastAsia="en-US"/>
        </w:rPr>
        <w:t>S</w:t>
      </w:r>
      <w:r>
        <w:rPr>
          <w:vertAlign w:val="subscript"/>
          <w:lang w:eastAsia="en-US"/>
        </w:rPr>
        <w:t xml:space="preserve">4 </w:t>
      </w:r>
      <w:r>
        <w:rPr>
          <w:lang w:eastAsia="en-US"/>
        </w:rPr>
        <w:t xml:space="preserve">la más apropiada para caracterizarlos. </w:t>
      </w:r>
    </w:p>
    <w:p>
      <w:pPr>
        <w:pStyle w:val="Normal"/>
        <w:spacing w:before="120" w:after="120"/>
        <w:rPr/>
      </w:pPr>
      <w:r>
        <w:rPr/>
        <w:t xml:space="preserve">El uso de los lenguajes naturales controlados tiene como objetivo lograr mayor expresividad en los resúmenes generados. Ejemplos de resúmenes generados en el LNC para el idioma español se presentan a continuación, la gramática utilizada para su construcción está en </w:t>
      </w:r>
      <w:r>
        <w:rPr>
          <w:lang w:eastAsia="en-US"/>
        </w:rPr>
        <w:t xml:space="preserve">la sección </w:t>
      </w:r>
      <w:r>
        <w:rPr>
          <w:lang w:eastAsia="en-US"/>
        </w:rPr>
        <w:fldChar w:fldCharType="begin"/>
      </w:r>
      <w:r>
        <w:instrText> REF _Ref81225127 \r \h </w:instrText>
      </w:r>
      <w:r>
        <w:fldChar w:fldCharType="separate"/>
      </w:r>
      <w:r>
        <w:t>9.9.1</w:t>
      </w:r>
      <w:r>
        <w:fldChar w:fldCharType="end"/>
      </w:r>
      <w:r>
        <w:rPr>
          <w:lang w:eastAsia="en-US"/>
        </w:rPr>
        <w:t xml:space="preserve"> del </w:t>
      </w:r>
      <w:r>
        <w:rPr>
          <w:lang w:eastAsia="en-US"/>
        </w:rPr>
        <w:fldChar w:fldCharType="begin"/>
      </w:r>
      <w:r>
        <w:instrText> REF _Ref79477255 \h </w:instrText>
      </w:r>
      <w:r>
        <w:fldChar w:fldCharType="separate"/>
      </w:r>
      <w:r>
        <w:t>Anexo 9</w:t>
      </w:r>
      <w:r>
        <w:fldChar w:fldCharType="end"/>
      </w:r>
      <w:r>
        <w:rPr/>
        <w:t xml:space="preserve">, y un fragmento del diccionario empleado está en la sección </w:t>
      </w:r>
      <w:r>
        <w:rPr/>
        <w:fldChar w:fldCharType="begin"/>
      </w:r>
      <w:r>
        <w:instrText> REF _Ref81238928 \r \h </w:instrText>
      </w:r>
      <w:r>
        <w:fldChar w:fldCharType="separate"/>
      </w:r>
      <w:r>
        <w:t>9.10.1</w:t>
      </w:r>
      <w:r>
        <w:fldChar w:fldCharType="end"/>
      </w:r>
      <w:r>
        <w:rPr/>
        <w:t>:</w:t>
      </w:r>
    </w:p>
    <w:p>
      <w:pPr>
        <w:pStyle w:val="Normal"/>
        <w:numPr>
          <w:ilvl w:val="0"/>
          <w:numId w:val="40"/>
        </w:numPr>
        <w:spacing w:before="120" w:after="85"/>
        <w:rPr>
          <w:rFonts w:cs="Times New Roman"/>
          <w:i/>
          <w:i/>
          <w:lang w:val="x-none"/>
        </w:rPr>
      </w:pPr>
      <w:r>
        <w:rPr>
          <w:rFonts w:cs="Times New Roman"/>
          <w:i/>
        </w:rPr>
        <w:t>“</w:t>
      </w:r>
      <w:r>
        <w:rPr>
          <w:rFonts w:cs="Times New Roman"/>
          <w:i/>
        </w:rPr>
        <w:t>Muchos registros en la base de datos, reportan que en el 100.0% de las veces, las embarazadas cardiópatas que tienen ausencia de soplo holosistólico tienen ausencia de cianosis.”</w:t>
      </w:r>
    </w:p>
    <w:p>
      <w:pPr>
        <w:pStyle w:val="Normal"/>
        <w:numPr>
          <w:ilvl w:val="0"/>
          <w:numId w:val="40"/>
        </w:numPr>
        <w:spacing w:before="120" w:after="85"/>
        <w:rPr>
          <w:rFonts w:cs="Times New Roman"/>
          <w:i/>
          <w:i/>
          <w:lang w:val="x-none"/>
        </w:rPr>
      </w:pPr>
      <w:r>
        <w:rPr>
          <w:rFonts w:cs="Times New Roman"/>
          <w:i/>
        </w:rPr>
        <w:t>“</w:t>
      </w:r>
      <w:r>
        <w:rPr>
          <w:rFonts w:cs="Times New Roman"/>
          <w:i/>
          <w:lang w:val="x-none"/>
        </w:rPr>
        <w:t>La mayor</w:t>
      </w:r>
      <w:r>
        <w:rPr>
          <w:rFonts w:cs="Times New Roman"/>
          <w:i/>
        </w:rPr>
        <w:t>ía</w:t>
      </w:r>
      <w:r>
        <w:rPr>
          <w:rFonts w:cs="Times New Roman"/>
          <w:i/>
          <w:lang w:val="x-none"/>
        </w:rPr>
        <w:t xml:space="preserve"> de los registros en la base de datos, reportan que en el 90.4% de las veces, los proyectos que tienen muy alta calidad del dato tienen muy baja cantidad de competencias con baja evaluaci</w:t>
      </w:r>
      <w:r>
        <w:rPr>
          <w:rFonts w:cs="Times New Roman"/>
          <w:i/>
        </w:rPr>
        <w:t>ón</w:t>
      </w:r>
      <w:r>
        <w:rPr>
          <w:rFonts w:cs="Times New Roman"/>
          <w:i/>
          <w:lang w:val="x-none"/>
        </w:rPr>
        <w:t>.</w:t>
      </w:r>
      <w:r>
        <w:rPr>
          <w:rFonts w:cs="Times New Roman"/>
          <w:i/>
        </w:rPr>
        <w:t>”</w:t>
      </w:r>
    </w:p>
    <w:p>
      <w:pPr>
        <w:pStyle w:val="Normal"/>
        <w:spacing w:before="120" w:after="120"/>
        <w:rPr>
          <w:i/>
          <w:i/>
          <w:iCs/>
        </w:rPr>
      </w:pPr>
      <w:r>
        <w:rPr/>
        <w:t xml:space="preserve">Los algoritmos de generación de resúmenes lingüísticos que se proponen en este capítulo, tienen como elemento esencial, que generan un conjunto de resúmenes candidatos </w:t>
      </w:r>
      <w:r>
        <w:rPr>
          <w:i/>
          <w:iCs/>
          <w:szCs w:val="18"/>
        </w:rPr>
        <w:t xml:space="preserve">CandidateSummaries. </w:t>
      </w:r>
      <w:r>
        <w:rPr>
          <w:szCs w:val="18"/>
        </w:rPr>
        <w:t>Cada resumen</w:t>
      </w:r>
      <w:r>
        <w:rPr>
          <w:i/>
          <w:iCs/>
          <w:szCs w:val="18"/>
        </w:rPr>
        <w:t xml:space="preserve"> </w:t>
      </w:r>
      <w:r>
        <w:rPr>
          <w:szCs w:val="18"/>
        </w:rPr>
        <w:t>candidato</w:t>
      </w:r>
      <w:r>
        <w:rPr>
          <w:i/>
          <w:iCs/>
          <w:szCs w:val="18"/>
        </w:rPr>
        <w:t xml:space="preserve"> </w:t>
      </w:r>
      <w:r>
        <w:rPr>
          <w:szCs w:val="18"/>
        </w:rPr>
        <w:t>constituye</w:t>
      </w:r>
      <w:r>
        <w:rPr>
          <w:i/>
          <w:iCs/>
          <w:szCs w:val="18"/>
        </w:rPr>
        <w:t xml:space="preserve"> </w:t>
      </w:r>
      <w:r>
        <w:rPr>
          <w:szCs w:val="18"/>
        </w:rPr>
        <w:t xml:space="preserve">un objeto </w:t>
      </w:r>
      <w:r>
        <w:rPr>
          <w:i/>
          <w:iCs/>
          <w:szCs w:val="18"/>
        </w:rPr>
        <w:t>P(Q, R, S, T)</w:t>
      </w:r>
      <w:r>
        <w:rPr>
          <w:szCs w:val="18"/>
        </w:rPr>
        <w:t xml:space="preserve"> </w:t>
      </w:r>
      <w:r>
        <w:rPr/>
        <w:t xml:space="preserve">formado por el cuantificador </w:t>
      </w:r>
      <w:r>
        <w:rPr>
          <w:i/>
          <w:iCs/>
        </w:rPr>
        <w:t>Q,</w:t>
      </w:r>
      <w:r>
        <w:rPr/>
        <w:t xml:space="preserve"> los filtros </w:t>
      </w:r>
      <w:r>
        <w:rPr>
          <w:i/>
          <w:iCs/>
        </w:rPr>
        <w:t>R</w:t>
      </w:r>
      <w:r>
        <w:rPr/>
        <w:t xml:space="preserve">, los sumarizadores </w:t>
      </w:r>
      <w:r>
        <w:rPr>
          <w:i/>
          <w:iCs/>
        </w:rPr>
        <w:t>S</w:t>
      </w:r>
      <w:r>
        <w:rPr/>
        <w:t xml:space="preserve"> y un conjunto de indicadores de calidad </w:t>
      </w:r>
      <w:r>
        <w:rPr>
          <w:i/>
          <w:iCs/>
        </w:rPr>
        <w:t>T</w:t>
      </w:r>
      <w:r>
        <w:rPr/>
        <w:t xml:space="preserve">. La concepción de los resúmenes lingüísticos a partir de esta estructura de datos facilita la representación de los resúmenes bajo un enfoque multilingüe empleando diferentes </w:t>
      </w:r>
      <w:r>
        <w:rPr>
          <w:i/>
          <w:iCs/>
        </w:rPr>
        <w:t xml:space="preserve">LNC. </w:t>
      </w:r>
    </w:p>
    <w:p>
      <w:pPr>
        <w:pStyle w:val="Normal"/>
        <w:spacing w:before="120" w:after="120"/>
        <w:rPr/>
      </w:pPr>
      <w:r>
        <w:rPr>
          <w:lang w:eastAsia="en-US"/>
        </w:rPr>
        <w:t xml:space="preserve">En esta investigación se construyen lenguajes naturales controlados para los idiomas: español, inglés, japonés y árabe en las secciones de la </w:t>
      </w:r>
      <w:r>
        <w:rPr>
          <w:lang w:eastAsia="en-US"/>
        </w:rPr>
        <w:fldChar w:fldCharType="begin"/>
      </w:r>
      <w:r>
        <w:instrText> REF _Ref81225127 \r \h </w:instrText>
      </w:r>
      <w:r>
        <w:fldChar w:fldCharType="separate"/>
      </w:r>
      <w:r>
        <w:t>9.9.1</w:t>
      </w:r>
      <w:r>
        <w:fldChar w:fldCharType="end"/>
      </w:r>
      <w:r>
        <w:rPr>
          <w:lang w:eastAsia="en-US"/>
        </w:rPr>
        <w:t xml:space="preserve"> a la </w:t>
      </w:r>
      <w:r>
        <w:rPr>
          <w:lang w:eastAsia="en-US"/>
        </w:rPr>
        <w:fldChar w:fldCharType="begin"/>
      </w:r>
      <w:r>
        <w:instrText> REF _Ref81239137 \r \h </w:instrText>
      </w:r>
      <w:r>
        <w:fldChar w:fldCharType="separate"/>
      </w:r>
      <w:r>
        <w:t>9.9.4</w:t>
      </w:r>
      <w:r>
        <w:fldChar w:fldCharType="end"/>
      </w:r>
      <w:r>
        <w:rPr>
          <w:lang w:eastAsia="en-US"/>
        </w:rPr>
        <w:t xml:space="preserve"> del </w:t>
      </w:r>
      <w:r>
        <w:rPr>
          <w:lang w:eastAsia="en-US"/>
        </w:rPr>
        <w:fldChar w:fldCharType="begin"/>
      </w:r>
      <w:r>
        <w:instrText> REF _Ref79477255 \h </w:instrText>
      </w:r>
      <w:r>
        <w:fldChar w:fldCharType="separate"/>
      </w:r>
      <w:r>
        <w:t>Anexo 9</w:t>
      </w:r>
      <w:r>
        <w:fldChar w:fldCharType="end"/>
      </w:r>
      <w:r>
        <w:rPr>
          <w:lang w:eastAsia="en-US"/>
        </w:rPr>
        <w:t>.</w:t>
      </w:r>
      <w:r>
        <w:rPr/>
        <w:t xml:space="preserve"> También se definieron los diccionarios para construir los resúmenes en </w:t>
      </w:r>
      <w:r>
        <w:rPr>
          <w:lang w:eastAsia="en-US"/>
        </w:rPr>
        <w:t>español, inglés, japonés y árabe,</w:t>
      </w:r>
      <w:r>
        <w:rPr/>
        <w:t xml:space="preserve"> un fragmento de cada uno de ellos se muestra en el </w:t>
      </w:r>
      <w:r>
        <w:rPr/>
        <w:fldChar w:fldCharType="begin"/>
      </w:r>
      <w:r>
        <w:instrText> REF _Ref70270350 \h </w:instrText>
      </w:r>
      <w:r>
        <w:fldChar w:fldCharType="separate"/>
      </w:r>
      <w:r>
        <w:t>Anexo 10</w:t>
      </w:r>
      <w:r>
        <w:fldChar w:fldCharType="end"/>
      </w:r>
      <w:r>
        <w:rPr/>
        <w:t xml:space="preserve">. En el </w:t>
      </w:r>
      <w:r>
        <w:rPr/>
        <w:fldChar w:fldCharType="begin"/>
      </w:r>
      <w:r>
        <w:instrText> REF _Ref79149875 \h </w:instrText>
      </w:r>
      <w:r>
        <w:fldChar w:fldCharType="separate"/>
      </w:r>
      <w:r>
        <w:t>Algoritmo 1</w:t>
      </w:r>
      <w:r>
        <w:fldChar w:fldCharType="end"/>
      </w:r>
      <w:r>
        <w:rPr/>
        <w:t xml:space="preserve"> se describe cómo se emplean estos </w:t>
      </w:r>
      <w:r>
        <w:rPr>
          <w:i/>
          <w:iCs/>
        </w:rPr>
        <w:t>LNC</w:t>
      </w:r>
      <w:r>
        <w:rPr/>
        <w:t xml:space="preserve"> para la construcción de resúmenes lingüísticos a partir de los resúmenes candidatos. </w:t>
      </w:r>
    </w:p>
    <w:p>
      <w:pPr>
        <w:pStyle w:val="Normal"/>
        <w:spacing w:before="120" w:after="120"/>
        <w:rPr>
          <w:szCs w:val="18"/>
        </w:rPr>
      </w:pPr>
      <w:r>
        <w:rPr/>
        <w:t xml:space="preserve">En este algoritmo se recorre el conjunto de resúmenes candidatos, donde cada resumen tiene la estructura </w:t>
      </w:r>
      <w:r>
        <w:rPr>
          <w:i/>
          <w:iCs/>
        </w:rPr>
        <w:t>P</w:t>
      </w:r>
      <w:r>
        <w:rPr>
          <w:szCs w:val="18"/>
        </w:rPr>
        <w:t>(Q</w:t>
      </w:r>
      <w:r>
        <w:rPr>
          <w:i/>
          <w:iCs/>
          <w:szCs w:val="18"/>
        </w:rPr>
        <w:t>, R, S</w:t>
      </w:r>
      <w:r>
        <w:rPr>
          <w:szCs w:val="18"/>
        </w:rPr>
        <w:t xml:space="preserve">, </w:t>
      </w:r>
      <w:r>
        <w:rPr>
          <w:i/>
          <w:iCs/>
          <w:szCs w:val="18"/>
        </w:rPr>
        <w:t>T</w:t>
      </w:r>
      <w:r>
        <w:rPr>
          <w:szCs w:val="18"/>
        </w:rPr>
        <w:t xml:space="preserve">). Entre los pasos 4 y 6 se traducen los diferentes elementos que conforman el resumen empleando el diccionario </w:t>
      </w:r>
      <w:r>
        <w:rPr>
          <w:rFonts w:cs="Times New Roman"/>
          <w:i/>
          <w:iCs/>
          <w:szCs w:val="18"/>
        </w:rPr>
        <w:t>LNC</w:t>
      </w:r>
      <w:r>
        <w:rPr>
          <w:rFonts w:cs="Times New Roman"/>
          <w:i/>
          <w:iCs/>
          <w:szCs w:val="18"/>
          <w:vertAlign w:val="subscript"/>
        </w:rPr>
        <w:t>Dictionary</w:t>
      </w:r>
      <w:r>
        <w:rPr>
          <w:szCs w:val="18"/>
        </w:rPr>
        <w:t xml:space="preserve"> definido para el </w:t>
      </w:r>
      <w:r>
        <w:rPr>
          <w:i/>
          <w:iCs/>
          <w:szCs w:val="18"/>
        </w:rPr>
        <w:t>LNC</w:t>
      </w:r>
      <w:r>
        <w:rPr>
          <w:szCs w:val="18"/>
        </w:rPr>
        <w:t xml:space="preserve"> en el dominio específico de aplicación. </w:t>
      </w:r>
    </w:p>
    <w:p>
      <w:pPr>
        <w:pStyle w:val="Normal"/>
        <w:spacing w:before="120" w:after="120"/>
        <w:rPr>
          <w:szCs w:val="18"/>
        </w:rPr>
      </w:pPr>
      <w:r>
        <w:rPr>
          <w:szCs w:val="18"/>
        </w:rPr>
        <w:t xml:space="preserve">Una vez que todos los elementos que conforman el resumen han sido traducidos al </w:t>
      </w:r>
      <w:r>
        <w:rPr>
          <w:i/>
          <w:iCs/>
          <w:szCs w:val="18"/>
        </w:rPr>
        <w:t xml:space="preserve">LNC </w:t>
      </w:r>
      <w:r>
        <w:rPr>
          <w:szCs w:val="18"/>
        </w:rPr>
        <w:t xml:space="preserve">especificado, en el paso 7 se procede a unir o concatenar las partes del resumen, para que quede finalmente construida la oración según la gramática especificada en </w:t>
      </w:r>
      <w:r>
        <w:rPr>
          <w:rFonts w:cs="Times New Roman"/>
          <w:i/>
          <w:iCs/>
          <w:szCs w:val="18"/>
        </w:rPr>
        <w:t>LNC</w:t>
      </w:r>
      <w:r>
        <w:rPr>
          <w:rFonts w:cs="Times New Roman"/>
          <w:i/>
          <w:iCs/>
          <w:szCs w:val="18"/>
          <w:vertAlign w:val="subscript"/>
        </w:rPr>
        <w:t>Grammar</w:t>
      </w:r>
      <w:r>
        <w:rPr>
          <w:szCs w:val="18"/>
        </w:rPr>
        <w:t>.</w:t>
      </w:r>
    </w:p>
    <w:p>
      <w:pPr>
        <w:pStyle w:val="Normal"/>
        <w:spacing w:lineRule="auto" w:line="288" w:before="113" w:after="57"/>
        <w:ind w:left="110" w:hanging="0"/>
        <w:rPr/>
      </w:pPr>
      <w:bookmarkStart w:id="904" w:name="_Ref79149875"/>
      <w:r>
        <w:rPr>
          <w:i/>
          <w:iCs/>
          <w:szCs w:val="18"/>
        </w:rPr>
        <w:t xml:space="preserve">Algoritmo </w:t>
      </w:r>
      <w:r>
        <w:rPr>
          <w:i/>
          <w:iCs/>
          <w:szCs w:val="18"/>
        </w:rPr>
        <w:fldChar w:fldCharType="begin"/>
      </w:r>
      <w:r>
        <w:instrText> SEQ Algoritmo \* ARABIC </w:instrText>
      </w:r>
      <w:r>
        <w:fldChar w:fldCharType="separate"/>
      </w:r>
      <w:r>
        <w:t>1</w:t>
      </w:r>
      <w:r>
        <w:fldChar w:fldCharType="end"/>
      </w:r>
      <w:bookmarkEnd w:id="904"/>
      <w:r>
        <w:rPr>
          <w:i/>
          <w:iCs/>
          <w:szCs w:val="18"/>
        </w:rPr>
        <w:t xml:space="preserve"> humanize_summaries (CandidateSummaries, A</w:t>
      </w:r>
      <w:r>
        <w:rPr>
          <w:i/>
          <w:iCs/>
          <w:szCs w:val="18"/>
          <w:vertAlign w:val="subscript"/>
        </w:rPr>
        <w:t>LV</w:t>
      </w:r>
      <w:r>
        <w:rPr>
          <w:i/>
          <w:iCs/>
          <w:szCs w:val="18"/>
        </w:rPr>
        <w:t>, LV</w:t>
      </w:r>
      <w:r>
        <w:rPr>
          <w:i/>
          <w:iCs/>
          <w:szCs w:val="18"/>
          <w:vertAlign w:val="subscript"/>
        </w:rPr>
        <w:t>Q</w:t>
      </w:r>
      <w:r>
        <w:rPr>
          <w:i/>
        </w:rPr>
        <w:t>, LNC</w:t>
      </w:r>
      <w:r>
        <w:rPr>
          <w:i/>
          <w:iCs/>
          <w:szCs w:val="18"/>
        </w:rPr>
        <w:t xml:space="preserve">) </w:t>
      </w:r>
    </w:p>
    <w:p>
      <w:pPr>
        <w:pStyle w:val="Normal"/>
        <w:spacing w:before="113" w:after="57"/>
        <w:ind w:left="330" w:hanging="0"/>
        <w:rPr>
          <w:rFonts w:eastAsia="MS Gothic"/>
          <w:i/>
          <w:i/>
          <w:iCs/>
          <w:szCs w:val="18"/>
        </w:rPr>
      </w:pPr>
      <w:r>
        <w:rPr>
          <w:rFonts w:eastAsia="MS Gothic"/>
          <w:i/>
          <w:iCs/>
          <w:szCs w:val="18"/>
        </w:rPr>
        <w:t>Entradas</w:t>
      </w:r>
    </w:p>
    <w:p>
      <w:pPr>
        <w:pStyle w:val="Normal"/>
        <w:spacing w:lineRule="auto" w:line="288" w:before="120" w:after="120"/>
        <w:ind w:left="852" w:hanging="0"/>
        <w:rPr>
          <w:i/>
          <w:i/>
          <w:iCs/>
          <w:szCs w:val="18"/>
        </w:rPr>
      </w:pPr>
      <w:r>
        <w:rPr>
          <w:i/>
          <w:iCs/>
          <w:szCs w:val="18"/>
        </w:rPr>
        <w:t xml:space="preserve">CandidateSummaries: </w:t>
      </w:r>
      <w:r>
        <w:rPr>
          <w:i/>
          <w:iCs/>
          <w:sz w:val="20"/>
          <w:szCs w:val="20"/>
        </w:rPr>
        <w:t>listado de resúmenes candidatos</w:t>
      </w:r>
    </w:p>
    <w:p>
      <w:pPr>
        <w:pStyle w:val="Normal"/>
        <w:spacing w:lineRule="auto" w:line="288" w:before="120" w:after="120"/>
        <w:ind w:left="852" w:hanging="0"/>
        <w:rPr>
          <w:i/>
          <w:i/>
          <w:iCs/>
          <w:szCs w:val="18"/>
        </w:rPr>
      </w:pPr>
      <w:r>
        <w:rPr>
          <w:i/>
          <w:iCs/>
          <w:szCs w:val="18"/>
        </w:rPr>
        <w:t>A</w:t>
      </w:r>
      <w:r>
        <w:rPr>
          <w:i/>
          <w:iCs/>
          <w:szCs w:val="18"/>
          <w:vertAlign w:val="subscript"/>
        </w:rPr>
        <w:t>LV</w:t>
      </w:r>
      <w:r>
        <w:rPr>
          <w:i/>
          <w:iCs/>
          <w:szCs w:val="18"/>
        </w:rPr>
        <w:t>, LV</w:t>
      </w:r>
      <w:r>
        <w:rPr>
          <w:i/>
          <w:iCs/>
          <w:szCs w:val="18"/>
          <w:vertAlign w:val="subscript"/>
        </w:rPr>
        <w:t>Q</w:t>
      </w:r>
      <w:r>
        <w:rPr>
          <w:i/>
          <w:iCs/>
          <w:szCs w:val="18"/>
        </w:rPr>
        <w:t xml:space="preserve">, </w:t>
      </w:r>
      <w:r>
        <w:rPr>
          <w:i/>
        </w:rPr>
        <w:t xml:space="preserve">LNC: </w:t>
      </w:r>
      <w:r>
        <w:rPr>
          <w:i/>
          <w:sz w:val="20"/>
          <w:szCs w:val="20"/>
        </w:rPr>
        <w:t>parámetros descritos en la sección 2.1 sobre notaciones.</w:t>
      </w:r>
    </w:p>
    <w:p>
      <w:pPr>
        <w:pStyle w:val="Normal"/>
        <w:spacing w:before="113" w:after="57"/>
        <w:ind w:left="330" w:hanging="0"/>
        <w:rPr>
          <w:rFonts w:eastAsia="MS Gothic"/>
          <w:i/>
          <w:i/>
          <w:iCs/>
          <w:sz w:val="20"/>
          <w:szCs w:val="18"/>
        </w:rPr>
      </w:pPr>
      <w:r>
        <w:rPr>
          <w:rFonts w:eastAsia="MS Gothic"/>
          <w:i/>
          <w:iCs/>
          <w:szCs w:val="18"/>
        </w:rPr>
        <w:t>Inicio</w:t>
      </w:r>
      <w:r>
        <w:rPr>
          <w:rFonts w:eastAsia="MS Gothic"/>
          <w:i/>
          <w:iCs/>
          <w:sz w:val="20"/>
          <w:szCs w:val="18"/>
        </w:rPr>
        <w:t>:</w:t>
      </w:r>
    </w:p>
    <w:p>
      <w:pPr>
        <w:pStyle w:val="Normal"/>
        <w:numPr>
          <w:ilvl w:val="0"/>
          <w:numId w:val="59"/>
        </w:numPr>
        <w:spacing w:lineRule="auto" w:line="288" w:before="120" w:after="120"/>
        <w:ind w:left="880" w:hanging="360"/>
        <w:rPr>
          <w:rFonts w:cs="Times New Roman"/>
          <w:i/>
          <w:i/>
          <w:iCs/>
          <w:szCs w:val="18"/>
        </w:rPr>
      </w:pPr>
      <w:r>
        <w:rPr>
          <w:rFonts w:cs="Times New Roman"/>
          <w:i/>
          <w:iCs/>
          <w:szCs w:val="18"/>
        </w:rPr>
        <w:t>summaries = []</w:t>
      </w:r>
    </w:p>
    <w:p>
      <w:pPr>
        <w:pStyle w:val="Normal"/>
        <w:numPr>
          <w:ilvl w:val="0"/>
          <w:numId w:val="59"/>
        </w:numPr>
        <w:spacing w:lineRule="auto" w:line="288" w:before="120" w:after="120"/>
        <w:ind w:left="880" w:hanging="360"/>
        <w:rPr>
          <w:rFonts w:cs="Times New Roman"/>
          <w:i/>
          <w:i/>
          <w:iCs/>
          <w:szCs w:val="18"/>
        </w:rPr>
      </w:pPr>
      <w:r>
        <w:rPr>
          <w:rFonts w:cs="Times New Roman"/>
          <w:i/>
          <w:iCs/>
          <w:szCs w:val="18"/>
        </w:rPr>
        <w:t>Para cada P</w:t>
      </w:r>
      <w:r>
        <w:rPr>
          <w:szCs w:val="18"/>
        </w:rPr>
        <w:t>(Q</w:t>
      </w:r>
      <w:r>
        <w:rPr>
          <w:i/>
          <w:iCs/>
          <w:szCs w:val="18"/>
        </w:rPr>
        <w:t>, R, S</w:t>
      </w:r>
      <w:r>
        <w:rPr>
          <w:szCs w:val="18"/>
        </w:rPr>
        <w:t xml:space="preserve">, </w:t>
      </w:r>
      <w:r>
        <w:rPr>
          <w:i/>
          <w:iCs/>
          <w:szCs w:val="18"/>
        </w:rPr>
        <w:t>T</w:t>
      </w:r>
      <w:r>
        <w:rPr>
          <w:szCs w:val="18"/>
        </w:rPr>
        <w:t xml:space="preserve">) </w:t>
      </w:r>
      <w:r>
        <w:rPr>
          <w:rFonts w:cs="Times New Roman"/>
          <w:i/>
          <w:iCs/>
          <w:szCs w:val="18"/>
        </w:rPr>
        <w:t>en CandidateSummaries</w:t>
      </w:r>
    </w:p>
    <w:p>
      <w:pPr>
        <w:pStyle w:val="Normal"/>
        <w:numPr>
          <w:ilvl w:val="0"/>
          <w:numId w:val="59"/>
        </w:numPr>
        <w:spacing w:lineRule="auto" w:line="288" w:before="120" w:after="120"/>
        <w:ind w:left="880" w:hanging="360"/>
        <w:rPr>
          <w:rFonts w:cs="Times New Roman"/>
          <w:i/>
          <w:i/>
          <w:iCs/>
          <w:szCs w:val="18"/>
        </w:rPr>
      </w:pPr>
      <w:r>
        <w:rPr>
          <w:rFonts w:cs="Times New Roman"/>
          <w:i/>
          <w:iCs/>
          <w:szCs w:val="18"/>
        </w:rPr>
        <w:t xml:space="preserve">  </w:t>
      </w:r>
      <w:r>
        <w:rPr>
          <w:rFonts w:cs="Times New Roman"/>
          <w:i/>
          <w:iCs/>
          <w:szCs w:val="18"/>
        </w:rPr>
        <w:t>translations = []</w:t>
      </w:r>
    </w:p>
    <w:p>
      <w:pPr>
        <w:pStyle w:val="Normal"/>
        <w:numPr>
          <w:ilvl w:val="0"/>
          <w:numId w:val="59"/>
        </w:numPr>
        <w:spacing w:lineRule="auto" w:line="288" w:before="120" w:after="120"/>
        <w:ind w:left="880" w:hanging="360"/>
        <w:rPr>
          <w:rFonts w:cs="Times New Roman"/>
          <w:i/>
          <w:i/>
          <w:iCs/>
          <w:szCs w:val="18"/>
        </w:rPr>
      </w:pPr>
      <w:r>
        <w:rPr>
          <w:rFonts w:cs="Times New Roman"/>
          <w:i/>
          <w:iCs/>
          <w:szCs w:val="18"/>
        </w:rPr>
        <w:t xml:space="preserve">  </w:t>
      </w:r>
      <w:r>
        <w:rPr>
          <w:rFonts w:cs="Times New Roman"/>
          <w:i/>
          <w:iCs/>
          <w:szCs w:val="18"/>
        </w:rPr>
        <w:t>Para cada element de P</w:t>
      </w:r>
      <w:r>
        <w:rPr>
          <w:szCs w:val="18"/>
        </w:rPr>
        <w:t>(Q</w:t>
      </w:r>
      <w:r>
        <w:rPr>
          <w:i/>
          <w:iCs/>
          <w:szCs w:val="18"/>
        </w:rPr>
        <w:t>, R, S</w:t>
      </w:r>
      <w:r>
        <w:rPr>
          <w:szCs w:val="18"/>
        </w:rPr>
        <w:t xml:space="preserve">, </w:t>
      </w:r>
      <w:r>
        <w:rPr>
          <w:i/>
          <w:iCs/>
          <w:szCs w:val="18"/>
        </w:rPr>
        <w:t>T</w:t>
      </w:r>
      <w:r>
        <w:rPr>
          <w:szCs w:val="18"/>
        </w:rPr>
        <w:t xml:space="preserve">) </w:t>
      </w:r>
      <w:r>
        <w:rPr>
          <w:rFonts w:cs="Times New Roman"/>
          <w:i/>
          <w:iCs/>
          <w:szCs w:val="18"/>
        </w:rPr>
        <w:t xml:space="preserve"> </w:t>
      </w:r>
    </w:p>
    <w:p>
      <w:pPr>
        <w:pStyle w:val="Normal"/>
        <w:numPr>
          <w:ilvl w:val="0"/>
          <w:numId w:val="59"/>
        </w:numPr>
        <w:spacing w:lineRule="auto" w:line="288" w:before="120" w:after="120"/>
        <w:ind w:left="990" w:hanging="470"/>
        <w:rPr>
          <w:rFonts w:cs="Times New Roman"/>
          <w:i/>
          <w:i/>
          <w:iCs/>
          <w:szCs w:val="18"/>
          <w:lang w:val="en-US"/>
        </w:rPr>
      </w:pPr>
      <w:r>
        <w:rPr>
          <w:rFonts w:cs="Times New Roman"/>
          <w:i/>
          <w:iCs/>
          <w:szCs w:val="18"/>
        </w:rPr>
        <w:t xml:space="preserve">     </w:t>
      </w:r>
      <w:r>
        <w:rPr>
          <w:rFonts w:cs="Times New Roman"/>
          <w:i/>
          <w:iCs/>
          <w:szCs w:val="18"/>
          <w:lang w:val="en-US"/>
        </w:rPr>
        <w:t xml:space="preserve">element_translation=search_dictionary(element, </w:t>
      </w:r>
      <w:bookmarkStart w:id="905" w:name="_Hlk79769725"/>
      <w:r>
        <w:rPr>
          <w:i/>
          <w:iCs/>
          <w:szCs w:val="18"/>
          <w:lang w:val="en-US"/>
        </w:rPr>
        <w:t>A</w:t>
      </w:r>
      <w:r>
        <w:rPr>
          <w:i/>
          <w:iCs/>
          <w:szCs w:val="18"/>
          <w:vertAlign w:val="subscript"/>
          <w:lang w:val="en-US"/>
        </w:rPr>
        <w:t>LV</w:t>
      </w:r>
      <w:r>
        <w:rPr>
          <w:rFonts w:cs="Times New Roman"/>
          <w:i/>
          <w:iCs/>
          <w:szCs w:val="18"/>
          <w:lang w:val="en-US"/>
        </w:rPr>
        <w:t xml:space="preserve">, </w:t>
      </w:r>
      <w:r>
        <w:rPr>
          <w:i/>
          <w:iCs/>
          <w:szCs w:val="18"/>
          <w:lang w:val="en-US"/>
        </w:rPr>
        <w:t>LV</w:t>
      </w:r>
      <w:r>
        <w:rPr>
          <w:i/>
          <w:iCs/>
          <w:szCs w:val="18"/>
          <w:vertAlign w:val="subscript"/>
          <w:lang w:val="en-US"/>
        </w:rPr>
        <w:t>Q</w:t>
      </w:r>
      <w:r>
        <w:rPr>
          <w:rFonts w:cs="Times New Roman"/>
          <w:i/>
          <w:iCs/>
          <w:szCs w:val="18"/>
          <w:lang w:val="en-US"/>
        </w:rPr>
        <w:t xml:space="preserve"> , LNC</w:t>
      </w:r>
      <w:r>
        <w:rPr>
          <w:rFonts w:cs="Times New Roman"/>
          <w:i/>
          <w:iCs/>
          <w:szCs w:val="18"/>
          <w:vertAlign w:val="subscript"/>
          <w:lang w:val="en-US"/>
        </w:rPr>
        <w:t>Dictionary</w:t>
      </w:r>
      <w:bookmarkEnd w:id="905"/>
      <w:r>
        <w:rPr>
          <w:rFonts w:cs="Times New Roman"/>
          <w:i/>
          <w:iCs/>
          <w:szCs w:val="18"/>
          <w:lang w:val="en-US"/>
        </w:rPr>
        <w:t xml:space="preserve">) </w:t>
      </w:r>
    </w:p>
    <w:p>
      <w:pPr>
        <w:pStyle w:val="Normal"/>
        <w:numPr>
          <w:ilvl w:val="0"/>
          <w:numId w:val="59"/>
        </w:numPr>
        <w:spacing w:lineRule="auto" w:line="288" w:before="120" w:after="120"/>
        <w:ind w:left="880" w:hanging="360"/>
        <w:rPr>
          <w:rFonts w:cs="Times New Roman"/>
          <w:i/>
          <w:i/>
          <w:iCs/>
          <w:szCs w:val="18"/>
        </w:rPr>
      </w:pPr>
      <w:r>
        <w:rPr>
          <w:rFonts w:cs="Times New Roman"/>
          <w:i/>
          <w:iCs/>
          <w:szCs w:val="18"/>
          <w:lang w:val="en-US"/>
        </w:rPr>
        <w:t xml:space="preserve">     </w:t>
      </w:r>
      <w:r>
        <w:rPr>
          <w:rFonts w:cs="Times New Roman"/>
          <w:i/>
          <w:iCs/>
          <w:szCs w:val="18"/>
        </w:rPr>
        <w:t xml:space="preserve">translations </w:t>
      </w:r>
      <w:bookmarkStart w:id="906" w:name="_Hlk79769750"/>
      <w:r>
        <w:rPr>
          <w:rFonts w:eastAsia="Symbol" w:cs="Symbol" w:ascii="Symbol" w:hAnsi="Symbol"/>
          <w:i/>
          <w:iCs/>
          <w:szCs w:val="18"/>
        </w:rPr>
        <w:t></w:t>
      </w:r>
      <w:bookmarkEnd w:id="906"/>
      <w:r>
        <w:rPr>
          <w:rFonts w:cs="Times New Roman"/>
          <w:i/>
          <w:iCs/>
          <w:szCs w:val="18"/>
        </w:rPr>
        <w:t xml:space="preserve"> element_translation</w:t>
      </w:r>
    </w:p>
    <w:p>
      <w:pPr>
        <w:pStyle w:val="Normal"/>
        <w:spacing w:lineRule="auto" w:line="288" w:before="120" w:after="120"/>
        <w:ind w:left="880" w:hanging="0"/>
        <w:rPr>
          <w:rFonts w:cs="Times New Roman"/>
          <w:i/>
          <w:i/>
          <w:iCs/>
          <w:szCs w:val="18"/>
        </w:rPr>
      </w:pPr>
      <w:r>
        <w:rPr>
          <w:rFonts w:cs="Times New Roman"/>
          <w:i/>
          <w:iCs/>
          <w:szCs w:val="18"/>
        </w:rPr>
        <w:t xml:space="preserve">       </w:t>
      </w:r>
      <w:r>
        <w:rPr>
          <w:rFonts w:cs="Times New Roman"/>
          <w:i/>
          <w:iCs/>
          <w:szCs w:val="18"/>
        </w:rPr>
        <w:t>Fin del paso 4</w:t>
      </w:r>
    </w:p>
    <w:p>
      <w:pPr>
        <w:pStyle w:val="Normal"/>
        <w:numPr>
          <w:ilvl w:val="0"/>
          <w:numId w:val="59"/>
        </w:numPr>
        <w:spacing w:lineRule="auto" w:line="288" w:before="120" w:after="120"/>
        <w:ind w:left="880" w:hanging="360"/>
        <w:rPr>
          <w:rFonts w:cs="Times New Roman"/>
          <w:i/>
          <w:i/>
          <w:iCs/>
          <w:szCs w:val="18"/>
          <w:lang w:val="en-US"/>
        </w:rPr>
      </w:pPr>
      <w:r>
        <w:rPr>
          <w:rFonts w:cs="Times New Roman"/>
          <w:i/>
          <w:iCs/>
          <w:szCs w:val="18"/>
          <w:lang w:val="en-US"/>
        </w:rPr>
        <w:t xml:space="preserve">  </w:t>
      </w:r>
      <w:r>
        <w:rPr>
          <w:rFonts w:cs="Times New Roman"/>
          <w:i/>
          <w:iCs/>
          <w:szCs w:val="18"/>
          <w:lang w:val="en-US"/>
        </w:rPr>
        <w:t xml:space="preserve">sentence = generate_sentence(translations, </w:t>
      </w:r>
      <w:bookmarkStart w:id="907" w:name="_Hlk79769812"/>
      <w:r>
        <w:rPr>
          <w:rFonts w:cs="Times New Roman"/>
          <w:i/>
          <w:iCs/>
          <w:szCs w:val="18"/>
          <w:lang w:val="en-US"/>
        </w:rPr>
        <w:t>LNC</w:t>
      </w:r>
      <w:r>
        <w:rPr>
          <w:rFonts w:cs="Times New Roman"/>
          <w:i/>
          <w:iCs/>
          <w:szCs w:val="18"/>
          <w:vertAlign w:val="subscript"/>
          <w:lang w:val="en-US"/>
        </w:rPr>
        <w:t>Grammar</w:t>
      </w:r>
      <w:bookmarkEnd w:id="907"/>
      <w:r>
        <w:rPr>
          <w:rFonts w:cs="Times New Roman"/>
          <w:i/>
          <w:iCs/>
          <w:szCs w:val="18"/>
          <w:lang w:val="en-US"/>
        </w:rPr>
        <w:t>)</w:t>
      </w:r>
    </w:p>
    <w:p>
      <w:pPr>
        <w:pStyle w:val="Normal"/>
        <w:numPr>
          <w:ilvl w:val="0"/>
          <w:numId w:val="59"/>
        </w:numPr>
        <w:spacing w:lineRule="auto" w:line="288" w:before="120" w:after="120"/>
        <w:ind w:left="880" w:hanging="360"/>
        <w:rPr>
          <w:rFonts w:cs="Times New Roman"/>
          <w:i/>
          <w:i/>
          <w:iCs/>
          <w:szCs w:val="18"/>
        </w:rPr>
      </w:pPr>
      <w:r>
        <w:rPr>
          <w:rFonts w:cs="Times New Roman"/>
          <w:i/>
          <w:iCs/>
          <w:szCs w:val="18"/>
          <w:lang w:val="en-US"/>
        </w:rPr>
        <w:t xml:space="preserve">  </w:t>
      </w:r>
      <w:r>
        <w:rPr>
          <w:rFonts w:cs="Times New Roman"/>
          <w:i/>
          <w:iCs/>
          <w:szCs w:val="18"/>
        </w:rPr>
        <w:t xml:space="preserve">summaries </w:t>
      </w:r>
      <w:r>
        <w:rPr>
          <w:rFonts w:eastAsia="Symbol" w:cs="Symbol" w:ascii="Symbol" w:hAnsi="Symbol"/>
          <w:i/>
          <w:iCs/>
          <w:szCs w:val="18"/>
        </w:rPr>
        <w:t></w:t>
      </w:r>
      <w:r>
        <w:rPr>
          <w:rFonts w:cs="Times New Roman"/>
          <w:i/>
          <w:iCs/>
          <w:szCs w:val="18"/>
        </w:rPr>
        <w:t xml:space="preserve"> sentence</w:t>
      </w:r>
    </w:p>
    <w:p>
      <w:pPr>
        <w:pStyle w:val="Normal"/>
        <w:spacing w:lineRule="auto" w:line="288" w:before="120" w:after="120"/>
        <w:ind w:left="880" w:hanging="0"/>
        <w:rPr>
          <w:rFonts w:cs="Times New Roman"/>
          <w:i/>
          <w:i/>
          <w:iCs/>
          <w:szCs w:val="18"/>
        </w:rPr>
      </w:pPr>
      <w:r>
        <w:rPr>
          <w:rFonts w:cs="Times New Roman"/>
          <w:i/>
          <w:iCs/>
          <w:szCs w:val="18"/>
        </w:rPr>
        <w:t xml:space="preserve">     </w:t>
      </w:r>
      <w:r>
        <w:rPr>
          <w:rFonts w:cs="Times New Roman"/>
          <w:i/>
          <w:iCs/>
          <w:szCs w:val="18"/>
        </w:rPr>
        <w:t>Fin del paso 2</w:t>
      </w:r>
    </w:p>
    <w:p>
      <w:pPr>
        <w:pStyle w:val="Normal"/>
        <w:numPr>
          <w:ilvl w:val="0"/>
          <w:numId w:val="59"/>
        </w:numPr>
        <w:spacing w:lineRule="auto" w:line="288" w:before="120" w:after="120"/>
        <w:ind w:left="880" w:hanging="360"/>
        <w:rPr>
          <w:rFonts w:cs="Times New Roman"/>
          <w:i/>
          <w:i/>
          <w:iCs/>
          <w:szCs w:val="18"/>
        </w:rPr>
      </w:pPr>
      <w:r>
        <w:rPr>
          <w:rFonts w:cs="Times New Roman"/>
          <w:i/>
          <w:iCs/>
          <w:szCs w:val="18"/>
        </w:rPr>
        <w:t>Return summaries</w:t>
      </w:r>
    </w:p>
    <w:p>
      <w:pPr>
        <w:pStyle w:val="Normal"/>
        <w:spacing w:before="120" w:after="120"/>
        <w:rPr/>
      </w:pPr>
      <w:r>
        <w:rPr/>
        <w:t xml:space="preserve">La complejidad de este algoritmo es </w:t>
      </w:r>
      <w:r>
        <w:rPr>
          <w:i/>
          <w:iCs/>
        </w:rPr>
        <w:t>C(n,p,m)</w:t>
      </w:r>
      <w:r>
        <w:rPr/>
        <w:t xml:space="preserve"> = </w:t>
      </w:r>
      <w:r>
        <w:rPr>
          <w:i/>
          <w:iCs/>
        </w:rPr>
        <w:t>n·(p+1)·m·(p+1) =</w:t>
      </w:r>
      <w:r>
        <w:rPr>
          <w:i/>
        </w:rPr>
        <w:t xml:space="preserve"> n·m·(p</w:t>
      </w:r>
      <w:r>
        <w:rPr>
          <w:i/>
          <w:vertAlign w:val="superscript"/>
        </w:rPr>
        <w:t>2</w:t>
      </w:r>
      <w:r>
        <w:rPr>
          <w:i/>
        </w:rPr>
        <w:t xml:space="preserve">+2p+1) </w:t>
      </w:r>
      <w:r>
        <w:rPr>
          <w:iCs/>
        </w:rPr>
        <w:t xml:space="preserve">dado porque, el ciclo del paso 2 se ejecuta como máximo </w:t>
      </w:r>
      <w:r>
        <w:rPr>
          <w:i/>
        </w:rPr>
        <w:t xml:space="preserve">n </w:t>
      </w:r>
      <w:r>
        <w:rPr>
          <w:iCs/>
        </w:rPr>
        <w:t xml:space="preserve">veces, el ciclo del paso 4 se ejecuta como máximo </w:t>
      </w:r>
      <w:r>
        <w:rPr>
          <w:i/>
        </w:rPr>
        <w:t xml:space="preserve">p+1 </w:t>
      </w:r>
      <w:r>
        <w:rPr>
          <w:iCs/>
        </w:rPr>
        <w:t xml:space="preserve">veces, y la complejidad de la búsqueda en el diccionario del paso 5 está acotada por </w:t>
      </w:r>
      <w:r>
        <w:rPr>
          <w:i/>
        </w:rPr>
        <w:t xml:space="preserve">O(m·(p+1)). </w:t>
      </w:r>
      <w:r>
        <w:rPr>
          <w:iCs/>
        </w:rPr>
        <w:t>Por tanto, el</w:t>
      </w:r>
      <w:r>
        <w:rPr>
          <w:i/>
        </w:rPr>
        <w:t xml:space="preserve"> </w:t>
      </w:r>
      <w:r>
        <w:rPr>
          <w:i/>
        </w:rPr>
        <w:fldChar w:fldCharType="begin"/>
      </w:r>
      <w:r>
        <w:instrText> REF _Ref79149875 \h </w:instrText>
      </w:r>
      <w:r>
        <w:fldChar w:fldCharType="separate"/>
      </w:r>
      <w:r>
        <w:t>Algoritmo 1</w:t>
      </w:r>
      <w:r>
        <w:fldChar w:fldCharType="end"/>
      </w:r>
      <w:r>
        <w:rPr/>
        <w:t xml:space="preserve"> tiene una complejidad de </w:t>
      </w:r>
      <w:r>
        <w:rPr>
          <w:i/>
        </w:rPr>
        <w:t>O(n·m·p</w:t>
      </w:r>
      <w:r>
        <w:rPr>
          <w:i/>
          <w:vertAlign w:val="superscript"/>
        </w:rPr>
        <w:t>2</w:t>
      </w:r>
      <w:r>
        <w:rPr>
          <w:i/>
        </w:rPr>
        <w:t>)</w:t>
      </w:r>
      <w:r>
        <w:rPr/>
        <w:t xml:space="preserve">. </w:t>
      </w:r>
    </w:p>
    <w:p>
      <w:pPr>
        <w:pStyle w:val="ListParagraph"/>
        <w:keepNext/>
        <w:keepLines/>
        <w:numPr>
          <w:ilvl w:val="1"/>
          <w:numId w:val="25"/>
        </w:numPr>
        <w:spacing w:before="80" w:after="60"/>
        <w:outlineLvl w:val="1"/>
        <w:rPr>
          <w:rFonts w:eastAsia="MS Gothic"/>
          <w:b/>
          <w:b/>
          <w:bCs w:val="false"/>
          <w:vanish/>
          <w:lang w:val="es-ES"/>
        </w:rPr>
      </w:pPr>
      <w:bookmarkStart w:id="908" w:name="_Toc58849551"/>
      <w:bookmarkStart w:id="909" w:name="_Toc68721153"/>
      <w:bookmarkStart w:id="910" w:name="_Toc68721544"/>
      <w:bookmarkStart w:id="911" w:name="_Toc68721823"/>
      <w:bookmarkStart w:id="912" w:name="_Toc68721824"/>
      <w:bookmarkStart w:id="913" w:name="_Toc68722178"/>
      <w:bookmarkStart w:id="914" w:name="_Toc68722252"/>
      <w:bookmarkStart w:id="915" w:name="_Toc68932984"/>
      <w:bookmarkStart w:id="916" w:name="_Toc68946350"/>
      <w:bookmarkStart w:id="917" w:name="_Toc68972824"/>
      <w:bookmarkStart w:id="918" w:name="_Toc68974327"/>
      <w:bookmarkStart w:id="919" w:name="_Toc68975198"/>
      <w:bookmarkStart w:id="920" w:name="_Toc68978846"/>
      <w:bookmarkStart w:id="921" w:name="_Toc70273125"/>
      <w:bookmarkStart w:id="922" w:name="_Toc70274294"/>
      <w:bookmarkStart w:id="923" w:name="_Toc70274343"/>
      <w:bookmarkStart w:id="924" w:name="_Toc79055674"/>
      <w:bookmarkStart w:id="925" w:name="_Toc79055831"/>
      <w:bookmarkStart w:id="926" w:name="_Toc79078320"/>
      <w:bookmarkStart w:id="927" w:name="_Toc79128629"/>
      <w:bookmarkStart w:id="928" w:name="_Toc79179376"/>
      <w:bookmarkStart w:id="929" w:name="_Toc79418714"/>
      <w:bookmarkStart w:id="930" w:name="_Toc79420537"/>
      <w:bookmarkStart w:id="931" w:name="_Toc79421300"/>
      <w:bookmarkStart w:id="932" w:name="_Toc79479437"/>
      <w:bookmarkStart w:id="933" w:name="_Toc79488532"/>
      <w:bookmarkStart w:id="934" w:name="_Toc79593174"/>
      <w:bookmarkStart w:id="935" w:name="_Toc79593504"/>
      <w:bookmarkStart w:id="936" w:name="_Toc79595136"/>
      <w:bookmarkStart w:id="937" w:name="_Toc79600006"/>
      <w:bookmarkStart w:id="938" w:name="_Toc79601612"/>
      <w:bookmarkStart w:id="939" w:name="_Toc79664139"/>
      <w:bookmarkStart w:id="940" w:name="_Toc81380537"/>
      <w:bookmarkStart w:id="941" w:name="_Toc84597927"/>
      <w:bookmarkStart w:id="942" w:name="_Toc84598879"/>
      <w:bookmarkStart w:id="943" w:name="_Toc84598930"/>
      <w:bookmarkStart w:id="944" w:name="_Toc58849551"/>
      <w:bookmarkStart w:id="945" w:name="_Toc68721153"/>
      <w:bookmarkStart w:id="946" w:name="_Toc68721544"/>
      <w:bookmarkStart w:id="947" w:name="_Toc68721823"/>
      <w:bookmarkStart w:id="948" w:name="_Toc68721824"/>
      <w:bookmarkStart w:id="949" w:name="_Toc68722178"/>
      <w:bookmarkStart w:id="950" w:name="_Toc68722252"/>
      <w:bookmarkStart w:id="951" w:name="_Toc68932984"/>
      <w:bookmarkStart w:id="952" w:name="_Toc68946350"/>
      <w:bookmarkStart w:id="953" w:name="_Toc68972824"/>
      <w:bookmarkStart w:id="954" w:name="_Toc68974327"/>
      <w:bookmarkStart w:id="955" w:name="_Toc68975198"/>
      <w:bookmarkStart w:id="956" w:name="_Toc68978846"/>
      <w:bookmarkStart w:id="957" w:name="_Toc70273125"/>
      <w:bookmarkStart w:id="958" w:name="_Toc70274294"/>
      <w:bookmarkStart w:id="959" w:name="_Toc70274343"/>
      <w:bookmarkStart w:id="960" w:name="_Toc79055674"/>
      <w:bookmarkStart w:id="961" w:name="_Toc79055831"/>
      <w:bookmarkStart w:id="962" w:name="_Toc79078320"/>
      <w:bookmarkStart w:id="963" w:name="_Toc79128629"/>
      <w:bookmarkStart w:id="964" w:name="_Toc79179376"/>
      <w:bookmarkStart w:id="965" w:name="_Toc79418714"/>
      <w:bookmarkStart w:id="966" w:name="_Toc79420537"/>
      <w:bookmarkStart w:id="967" w:name="_Toc79421300"/>
      <w:bookmarkStart w:id="968" w:name="_Toc79479437"/>
      <w:bookmarkStart w:id="969" w:name="_Toc79488532"/>
      <w:bookmarkStart w:id="970" w:name="_Toc79593174"/>
      <w:bookmarkStart w:id="971" w:name="_Toc79593504"/>
      <w:bookmarkStart w:id="972" w:name="_Toc79595136"/>
      <w:bookmarkStart w:id="973" w:name="_Toc79600006"/>
      <w:bookmarkStart w:id="974" w:name="_Toc79601612"/>
      <w:bookmarkStart w:id="975" w:name="_Toc79664139"/>
      <w:bookmarkStart w:id="976" w:name="_Toc81380537"/>
      <w:bookmarkStart w:id="977" w:name="_Toc84597927"/>
      <w:bookmarkStart w:id="978" w:name="_Toc84598879"/>
      <w:bookmarkStart w:id="979" w:name="_Toc84598930"/>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r>
        <w:rPr>
          <w:rFonts w:eastAsia="MS Gothic"/>
          <w:b/>
          <w:bCs w:val="false"/>
          <w:vanish/>
          <w:lang w:val="es-ES"/>
        </w:rPr>
      </w:r>
    </w:p>
    <w:p>
      <w:pPr>
        <w:pStyle w:val="Heading2"/>
        <w:numPr>
          <w:ilvl w:val="1"/>
          <w:numId w:val="80"/>
        </w:numPr>
        <w:rPr/>
      </w:pPr>
      <w:bookmarkStart w:id="980" w:name="_Toc84598931"/>
      <w:r>
        <w:rPr/>
        <w:t xml:space="preserve">Algoritmo </w:t>
      </w:r>
      <w:r>
        <w:rPr>
          <w:i/>
          <w:iCs/>
        </w:rPr>
        <w:t>PCA_LDS</w:t>
      </w:r>
      <w:bookmarkEnd w:id="944"/>
      <w:bookmarkEnd w:id="980"/>
      <w:r>
        <w:rPr/>
        <w:t xml:space="preserve"> basado en análisis de componentes principales</w:t>
      </w:r>
    </w:p>
    <w:p>
      <w:pPr>
        <w:pStyle w:val="Normal"/>
        <w:rPr/>
      </w:pPr>
      <w:r>
        <w:rPr/>
        <w:t xml:space="preserve">Este algoritmo, genera resúmenes lingüísticos a partir de la combinación del algoritmo </w:t>
      </w:r>
      <w:r>
        <w:rPr>
          <w:i/>
        </w:rPr>
        <w:t>PCA</w:t>
      </w:r>
      <w:r>
        <w:rPr/>
        <w:t xml:space="preserve"> </w:t>
      </w:r>
      <w:r>
        <w:fldChar w:fldCharType="begin"/>
      </w:r>
      <w:r>
        <w:instrText>ADDIN ZOTERO_ITEM CSL_CITATION {"citationID":"a2klbi7tt6","properties":{"formattedCitation":"(Dunteman 1989)","plainCitation":"(Dunteman 1989)","noteIndex":0},"citationItems":[{"id":"NJclqhNX/YIxRGHus","uris":["http://zotero.org/users/local/rsuvzjK6/items/KVMSFPDM"],"uri":["http://zotero.org/users/local/rsuvzjK6/items/KVMSFPDM"],"itemData":{"id":3468,"type":"book","abstract":"For anyone in need of a concise, introductory guide to principal components analysis, this book is a must. Through an effective use of simple mathematical-geometrical and multiple real-life examples (such as crime statistics, indicators of drug abuse, and educational expenditures) -- and by minimizing the use of matrix algebra -- the reader can quickly master and put this technique to immediate use.","ISBN":"978-0-8039-3104-6","language":"en","number-of-pages":"98","publisher":"SAGE, ISBN: 978-0-8039-3104-6","source":"Google Books","title":"Principal Components Analysis","author":[{"family":"Dunteman","given":"George H."}],"issued":{"date-parts":[["1989",5]]}}}],"schema":"https://github.com/citation-style-language/schema/raw/master/csl-citation.json"}</w:instrText>
      </w:r>
      <w:r>
        <w:fldChar w:fldCharType="separate"/>
      </w:r>
      <w:bookmarkStart w:id="981" w:name="__Fieldmark__7151_2067855929"/>
      <w:r>
        <w:rPr/>
        <w:t>(</w:t>
      </w:r>
      <w:bookmarkStart w:id="982" w:name="__Fieldmark__6135_498839314"/>
      <w:r>
        <w:rPr/>
        <w:t>D</w:t>
      </w:r>
      <w:bookmarkStart w:id="983" w:name="__Fieldmark__5412_998588997"/>
      <w:r>
        <w:rPr/>
        <w:t>u</w:t>
      </w:r>
      <w:bookmarkStart w:id="984" w:name="__Fieldmark__8478_118561941"/>
      <w:r>
        <w:rPr/>
        <w:t>nteman 1989)</w:t>
      </w:r>
      <w:r>
        <w:rPr/>
      </w:r>
      <w:r>
        <w:fldChar w:fldCharType="end"/>
      </w:r>
      <w:bookmarkEnd w:id="981"/>
      <w:bookmarkEnd w:id="982"/>
      <w:bookmarkEnd w:id="983"/>
      <w:bookmarkEnd w:id="984"/>
      <w:r>
        <w:rPr/>
        <w:t xml:space="preserve"> </w:t>
      </w:r>
      <w:r>
        <w:fldChar w:fldCharType="begin"/>
      </w:r>
      <w:r>
        <w:instrText>ADDIN ZOTERO_ITEM CSL_CITATION {"citationID":"a1mb6k7954p","properties":{"formattedCitation":"(Lasisi y Attoh-Okine 2018)","plainCitation":"(Lasisi y Attoh-Okine 2018)","noteIndex":0},"citationItems":[{"id":"NJclqhNX/4aCxZmhY","uris":["http://zotero.org/users/local/rsuvzjK6/items/XGYDJQEP"],"uri":["http://zotero.org/users/local/rsuvzjK6/items/XGYDJQEP"],"itemData":{"id":3470,"type":"article-journal","abstract":"Track geometry data exhibits classical big data attributes: value, volume, velocity, veracity and variety. Track Quality Indices-TQI are used to obtain average-based assessment of track segments and schedule track maintenance. TQI is expressed in terms of track parameters like gage, cross-level, etc. Though each of these parameters is objectively important but understanding what they collectively convey for a given track segment often becomes challenging. Several railways including passenger and freight have developed single indices that combines different track parameters to assess overall track quality. Some of these railways have selected certain parameters whilst dropping others. Using track geometry data from a sample mile track, we demonstrate how to combine track geometry parameters into a low dimensional form (TQI) that simplifies the track properties without losing much variability in the data. This led us to principal components. To validate the use of principal components as TQI, we employed a two-phase approach. First phase was to identify a classic machine learning technique that works well with track geometry data. The second step was to train the identified machine learning technique on the sample mile-track data using combined TQIs and principal components as defect predictors. The performance of the predictors were compared using true and false positive rates. The results show that three principal components were better at predicting defects and revealing salient characteristics in track geometry data than combined TQIs even though there were some correlations that are potentially useful for track maintenance.","container-title":"Transportation Research Part C: Emerging Technologies","DOI":"10.1016/j.trc.2018.04.001","ISSN":"0968-090X","journalAbbreviation":"Transportation Research Part C: Emerging Technologies","language":"en","page":"230-248","source":"ScienceDirect","title":"Principal components analysis and track quality index: A machine learning approach","title-short":"Principal components analysis and track quality index","volume":"91","author":[{"family":"Lasisi","given":"Ahmed"},{"family":"Attoh-Okine","given":"Nii"}],"issued":{"date-parts":[["2018",6,1]]}}}],"schema":"https://github.com/citation-style-language/schema/raw/master/csl-citation.json"}</w:instrText>
      </w:r>
      <w:r>
        <w:fldChar w:fldCharType="separate"/>
      </w:r>
      <w:bookmarkStart w:id="985" w:name="__Fieldmark__7166_2067855929"/>
      <w:r>
        <w:rPr/>
        <w:t>(</w:t>
      </w:r>
      <w:bookmarkStart w:id="986" w:name="__Fieldmark__6146_498839314"/>
      <w:r>
        <w:rPr/>
        <w:t>L</w:t>
      </w:r>
      <w:bookmarkStart w:id="987" w:name="__Fieldmark__5419_998588997"/>
      <w:r>
        <w:rPr/>
        <w:t>a</w:t>
      </w:r>
      <w:bookmarkStart w:id="988" w:name="__Fieldmark__8483_118561941"/>
      <w:r>
        <w:rPr/>
        <w:t>sisi y Attoh-Okine 2018)</w:t>
      </w:r>
      <w:r>
        <w:rPr/>
      </w:r>
      <w:r>
        <w:fldChar w:fldCharType="end"/>
      </w:r>
      <w:bookmarkEnd w:id="985"/>
      <w:bookmarkEnd w:id="986"/>
      <w:bookmarkEnd w:id="987"/>
      <w:bookmarkEnd w:id="988"/>
      <w:r>
        <w:rPr/>
        <w:t xml:space="preserve"> para la detección de componentes principales</w:t>
      </w:r>
      <w:r>
        <w:rPr>
          <w:rStyle w:val="FootnoteAnchor"/>
        </w:rPr>
        <w:footnoteReference w:id="9"/>
      </w:r>
      <w:r>
        <w:rPr/>
        <w:t xml:space="preserve">, con algoritmos para la construcción de reglas de asociación. Con el algoritmo </w:t>
      </w:r>
      <w:r>
        <w:rPr>
          <w:i/>
          <w:iCs/>
        </w:rPr>
        <w:t>PCA_LDS</w:t>
      </w:r>
      <w:r>
        <w:rPr/>
        <w:t xml:space="preserve"> se pretende generar resúmenes lingüísticos teniendo en cuenta las relaciones o dependencias identificadas entre las variables para reducir el espacio de búsqueda </w:t>
      </w:r>
      <w:r>
        <w:fldChar w:fldCharType="begin"/>
      </w:r>
      <w:r>
        <w:instrText>ADDIN ZOTERO_ITEM CSL_CITATION {"citationID":"aillp0be7s","properties":{"formattedCitation":"(P\\uc0\\u233{}rez Pupo, Pi\\uc0\\u241{}ero P\\uc0\\u233{}rez, Bello P\\uc0\\u233{}rez, et\\uc0\\u160{}al. 2020)","plainCitation":"(Pérez Pupo, Piñero Pérez, Bello Pérez, et al. 2020)","noteIndex":0},"citationItems":[{"id":"NJclqhNX/0yLiXkdJ","uris":["http://zotero.org/users/local/rsuvzjK6/items/ZJJ5BQ7R"],"uri":["http://zotero.org/users/local/rsuvzjK6/items/ZJJ5BQ7R"],"itemData":{"id":3333,"type":"paper-conference","abstract":"En el presente trabajo se realiza un análisis del comportamiento histórico de los proyectos de tecnologías de información a partir de reportes internacionales. Y se identifica que entre las principales dificultades se señalan los problemas de toma de decisiones asociadas a los procesos de control y seguimiento. Como parte de la solución a la problemática se proponen tres nuevos algoritmos para la sumarización lingüística de datos. El primer algoritmo se basa en el aprendizaje de reglas de asociación, el segundo combina reglas de asociación con el análisis de componente principales y el tercer algoritmo combina el uso el análisis de componentes principales con el algoritmo de estimación de distribución PADA. Se aplican los algoritmos en base de datos del Repositorio de Investigaciones en Gestión de Proyectos y en la Empresa BusinessRedmine. Se comparan los resultados de los algoritmos considerando aspectos cuantitativos y cualitativos y se demuestra que en general el algoritmo de mejores resultados son los que consideran las relaciones de dependencia entre las variables. Como trabajo futuro se identifica la necesidad de extender los métodos de cálculo de las T.","container-title":"V Conferencia Internacional en Ciencias Computacionales e Informáticas (CICCI’ 2020)","publisher":"Informática CICCI´2020","title":"Aplicaciones de la sumarización lingüística de datos en la toma de decisiones en gestión de proyectos","author":[{"family":"Pérez Pupo","given":"Iliana"},{"family":"Piñero Pérez","given":"Pedro Yobani"},{"family":"Bello Pérez","given":"Rafael Esteban"},{"family":"García Vacacela","given":"Roberto Carlos"},{"family":"Piñero Ramírez","given":"Pedro E."},{"family":"Piñero Ramírez","given":"Carlos M."}],"issued":{"date-parts":[["2020"]]}}}],"schema":"https://github.com/citation-style-language/schema/raw/master/csl-citation.json"}</w:instrText>
      </w:r>
      <w:r>
        <w:fldChar w:fldCharType="separate"/>
      </w:r>
      <w:bookmarkStart w:id="989" w:name="__Fieldmark__7224_2067855929"/>
      <w:r>
        <w:rPr/>
      </w:r>
      <w:r>
        <w:rPr>
          <w:szCs w:val="24"/>
        </w:rPr>
        <w:t>(Pérez Pupo, Piñero Pérez, Bello Pérez, et al. 2020)</w:t>
      </w:r>
      <w:bookmarkStart w:id="990" w:name="__Fieldmark__6194_498839314"/>
      <w:bookmarkStart w:id="991" w:name="__Fieldmark__8536_118561941"/>
      <w:bookmarkStart w:id="992" w:name="__Fieldmark__5460_998588997"/>
      <w:bookmarkEnd w:id="990"/>
      <w:bookmarkEnd w:id="991"/>
      <w:bookmarkEnd w:id="992"/>
      <w:r>
        <w:rPr/>
      </w:r>
      <w:r>
        <w:fldChar w:fldCharType="end"/>
      </w:r>
      <w:bookmarkEnd w:id="989"/>
      <w:r>
        <w:rPr/>
        <w:t xml:space="preserve"> </w:t>
      </w:r>
      <w:r>
        <w:fldChar w:fldCharType="begin"/>
      </w:r>
      <w:r>
        <w:instrText>ADDIN ZOTERO_ITEM CSL_CITATION {"citationID":"a7saih1sah","properties":{"formattedCitation":"(P\\uc0\\u233{}rez Pupo et\\uc0\\u160{}al. 2019)","plainCitation":"(Pérez Pupo et al. 2019)","noteIndex":0},"citationItems":[{"id":"NJclqhNX/B03nIoTG","uris":["http://zotero.org/users/local/rsuvzjK6/items/F9ECER9X"],"uri":["http://zotero.org/users/local/rsuvzjK6/items/F9ECER9X"],"itemData":{"id":3534,"type":"paper-conference","container-title":"XXII Ibero-American Conference on Software Engineering, CIbSE 2019","page":"633–640","publisher":"Springer","title":"Algorithms for linguistic data summarization, help in decision-making in project-oriented organizations","author":[{"family":"Pérez Pupo","given":"Iliana"},{"family":"Santos Acosta","given":"Osvaldo"},{"family":"Bello Pérez","given":"Rafael Esteban"},{"family":"Piñero Pérez","given":"Pedro"}],"issued":{"date-parts":[["2019"]]}}}],"schema":"https://github.com/citation-style-language/schema/raw/master/csl-citation.json"}</w:instrText>
      </w:r>
      <w:r>
        <w:fldChar w:fldCharType="separate"/>
      </w:r>
      <w:bookmarkStart w:id="993" w:name="__Fieldmark__7238_2067855929"/>
      <w:r>
        <w:rPr/>
      </w:r>
      <w:r>
        <w:rPr>
          <w:szCs w:val="24"/>
        </w:rPr>
        <w:t>(Pérez Pupo et al. 2019)</w:t>
      </w:r>
      <w:bookmarkStart w:id="994" w:name="__Fieldmark__6205_498839314"/>
      <w:bookmarkStart w:id="995" w:name="__Fieldmark__8541_118561941"/>
      <w:bookmarkStart w:id="996" w:name="__Fieldmark__5468_998588997"/>
      <w:bookmarkEnd w:id="994"/>
      <w:bookmarkEnd w:id="995"/>
      <w:bookmarkEnd w:id="996"/>
      <w:r>
        <w:rPr/>
      </w:r>
      <w:r>
        <w:fldChar w:fldCharType="end"/>
      </w:r>
      <w:bookmarkEnd w:id="993"/>
      <w:r>
        <w:rPr/>
        <w:t>.</w:t>
      </w:r>
    </w:p>
    <w:p>
      <w:pPr>
        <w:pStyle w:val="Normal"/>
        <w:spacing w:before="113" w:after="57"/>
        <w:rPr/>
      </w:pPr>
      <w:bookmarkStart w:id="997" w:name="_Ref67268662"/>
      <w:r>
        <w:rPr>
          <w:i/>
          <w:iCs/>
          <w:szCs w:val="18"/>
        </w:rPr>
        <w:t xml:space="preserve">Algoritmo </w:t>
      </w:r>
      <w:r>
        <w:rPr>
          <w:i/>
          <w:iCs/>
          <w:szCs w:val="18"/>
        </w:rPr>
        <w:fldChar w:fldCharType="begin"/>
      </w:r>
      <w:r>
        <w:instrText> SEQ Algoritmo \* ARABIC </w:instrText>
      </w:r>
      <w:r>
        <w:fldChar w:fldCharType="separate"/>
      </w:r>
      <w:r>
        <w:t>2</w:t>
      </w:r>
      <w:r>
        <w:fldChar w:fldCharType="end"/>
      </w:r>
      <w:bookmarkEnd w:id="997"/>
      <w:r>
        <w:rPr>
          <w:i/>
          <w:iCs/>
          <w:szCs w:val="18"/>
        </w:rPr>
        <w:t xml:space="preserve"> PCA_LDS</w:t>
      </w:r>
    </w:p>
    <w:p>
      <w:pPr>
        <w:pStyle w:val="Normal"/>
        <w:spacing w:before="113" w:after="57"/>
        <w:ind w:left="142" w:hanging="0"/>
        <w:rPr>
          <w:rFonts w:eastAsia="MS Gothic"/>
          <w:i/>
          <w:i/>
          <w:iCs/>
          <w:sz w:val="20"/>
          <w:szCs w:val="18"/>
        </w:rPr>
      </w:pPr>
      <w:r>
        <w:rPr>
          <w:rFonts w:eastAsia="MS Gothic"/>
          <w:i/>
          <w:iCs/>
          <w:szCs w:val="18"/>
        </w:rPr>
        <w:t>Entradas</w:t>
      </w:r>
      <w:r>
        <w:rPr>
          <w:rFonts w:eastAsia="MS Gothic"/>
          <w:i/>
          <w:iCs/>
          <w:sz w:val="20"/>
          <w:szCs w:val="18"/>
        </w:rPr>
        <w:t>:</w:t>
      </w:r>
    </w:p>
    <w:p>
      <w:pPr>
        <w:pStyle w:val="Normal"/>
        <w:spacing w:before="0" w:after="0"/>
        <w:ind w:left="993" w:hanging="567"/>
        <w:rPr>
          <w:i/>
          <w:i/>
          <w:iCs/>
        </w:rPr>
      </w:pPr>
      <w:r>
        <w:rPr>
          <w:i/>
          <w:iCs/>
        </w:rPr>
        <w:t>U, A</w:t>
      </w:r>
      <w:r>
        <w:rPr>
          <w:i/>
          <w:iCs/>
          <w:vertAlign w:val="subscript"/>
        </w:rPr>
        <w:t>LV</w:t>
      </w:r>
      <w:r>
        <w:rPr>
          <w:i/>
          <w:iCs/>
        </w:rPr>
        <w:t>,</w:t>
      </w:r>
      <w:r>
        <w:rPr>
          <w:i/>
          <w:iCs/>
          <w:vertAlign w:val="subscript"/>
        </w:rPr>
        <w:t xml:space="preserve"> </w:t>
      </w:r>
      <w:r>
        <w:rPr>
          <w:i/>
          <w:iCs/>
        </w:rPr>
        <w:t>LV</w:t>
      </w:r>
      <w:r>
        <w:rPr>
          <w:i/>
          <w:iCs/>
          <w:vertAlign w:val="subscript"/>
        </w:rPr>
        <w:t>Q</w:t>
      </w:r>
      <w:r>
        <w:rPr>
          <w:i/>
          <w:iCs/>
        </w:rPr>
        <w:t xml:space="preserve">, T, LNC, </w:t>
      </w:r>
      <w:r>
        <w:rPr>
          <w:rFonts w:eastAsia="Symbol" w:cs="Symbol" w:ascii="Symbol" w:hAnsi="Symbol"/>
          <w:i/>
          <w:iCs/>
        </w:rPr>
        <w:t></w:t>
      </w:r>
      <w:r>
        <w:rPr>
          <w:i/>
          <w:iCs/>
        </w:rPr>
        <w:t xml:space="preserve"> : parámetros definidos en la </w:t>
      </w:r>
      <w:r>
        <w:rPr>
          <w:i/>
        </w:rPr>
        <w:t>sección 2.1 sobre notaciones.</w:t>
      </w:r>
    </w:p>
    <w:p>
      <w:pPr>
        <w:pStyle w:val="Normal"/>
        <w:spacing w:before="0" w:after="0"/>
        <w:ind w:left="2552" w:hanging="2126"/>
        <w:rPr>
          <w:i/>
          <w:i/>
          <w:iCs/>
        </w:rPr>
      </w:pPr>
      <w:r>
        <w:rPr>
          <w:i/>
          <w:iCs/>
        </w:rPr>
        <w:t>percentil_component: valor de percentil que permite seleccionar las componentes relevantes.</w:t>
      </w:r>
    </w:p>
    <w:p>
      <w:pPr>
        <w:pStyle w:val="Normal"/>
        <w:spacing w:before="0" w:after="0"/>
        <w:ind w:left="1985" w:hanging="1559"/>
        <w:rPr>
          <w:i/>
          <w:i/>
          <w:iCs/>
        </w:rPr>
      </w:pPr>
      <w:r>
        <w:rPr>
          <w:i/>
          <w:iCs/>
        </w:rPr>
        <w:t>percentil_elbow: valor de percentil empleado para seleccionar las variables relevantes en el contexto de una componente.</w:t>
      </w:r>
    </w:p>
    <w:p>
      <w:pPr>
        <w:pStyle w:val="Normal"/>
        <w:spacing w:before="0" w:after="0"/>
        <w:ind w:left="1560" w:hanging="1134"/>
        <w:rPr/>
      </w:pPr>
      <w:r>
        <w:rPr>
          <w:i/>
          <w:iCs/>
        </w:rPr>
        <w:t>support, confidence:</w:t>
      </w:r>
      <w:r>
        <w:rPr>
          <w:rFonts w:eastAsia="MS Gothic"/>
          <w:i/>
          <w:iCs/>
        </w:rPr>
        <w:t xml:space="preserve"> representan las medidas de calidad soporte y confianza respectivamente, para evaluar las reglas de asociación </w:t>
      </w:r>
      <w:r>
        <w:fldChar w:fldCharType="begin"/>
      </w:r>
      <w:r>
        <w:instrText>ADDIN ZOTERO_ITEM CSL_CITATION {"citationID":"a1cubjsq31g","properties":{"formattedCitation":"(Medina et\\uc0\\u160{}al. 2007)","plainCitation":"(Medina et al. 2007)","noteIndex":0},"citationItems":[{"id":3461,"uris":["http://zotero.org/users/local/EJ15hJE2/items/SW2BVL8K"],"uri":["http://zotero.org/users/local/EJ15hJE2/items/SW2BVL8K"],"itemData":{"id":3461,"type":"report","collection-title":"Serie Gris","event-place":"Cenatav","genre":"Reporte técnico sobre minería de datos","number":"2143","publisher-place":"Cenatav","title":"Generación de conjuntos de ítems y reglas de asociación","URL":"www.cenatav.co.cu","author":[{"family":"Medina","given":"José E."},{"family":"Hernández","given":"José"},{"family":"Hernández","given":"Raudel"},{"family":"Pérez","given":"Airel"},{"family":"Hechavarría.","given":"Abdel"},{"family":"González","given":"Ricardo"}],"issued":{"date-parts":[["2007"]]}}}],"schema":"https://github.com/citation-style-language/schema/raw/master/csl-citation.json"}</w:instrText>
      </w:r>
      <w:r>
        <w:fldChar w:fldCharType="separate"/>
      </w:r>
      <w:bookmarkStart w:id="998" w:name="__Fieldmark__7278_2067855929"/>
      <w:r>
        <w:rPr>
          <w:rFonts w:eastAsia="MS Gothic"/>
          <w:i/>
          <w:iCs/>
        </w:rPr>
        <w:t>(</w:t>
      </w:r>
      <w:bookmarkStart w:id="999" w:name="__Fieldmark__6240_498839314"/>
      <w:r>
        <w:rPr>
          <w:rFonts w:eastAsia="MS Gothic"/>
          <w:i/>
          <w:iCs/>
        </w:rPr>
        <w:t>M</w:t>
      </w:r>
      <w:bookmarkStart w:id="1000" w:name="__Fieldmark__5500_998588997"/>
      <w:r>
        <w:rPr>
          <w:rFonts w:eastAsia="MS Gothic"/>
          <w:i/>
          <w:iCs/>
        </w:rPr>
        <w:t>e</w:t>
      </w:r>
      <w:bookmarkStart w:id="1001" w:name="__Fieldmark__8586_118561941"/>
      <w:r>
        <w:rPr>
          <w:rFonts w:eastAsia="MS Gothic"/>
          <w:i/>
          <w:iCs/>
        </w:rPr>
        <w:t>dina et al. 2007)</w:t>
      </w:r>
      <w:r>
        <w:rPr>
          <w:rFonts w:eastAsia="MS Gothic"/>
          <w:i/>
          <w:iCs/>
        </w:rPr>
      </w:r>
      <w:r>
        <w:fldChar w:fldCharType="end"/>
      </w:r>
      <w:bookmarkEnd w:id="998"/>
      <w:bookmarkEnd w:id="999"/>
      <w:bookmarkEnd w:id="1000"/>
      <w:bookmarkEnd w:id="1001"/>
      <w:r>
        <w:rPr>
          <w:i/>
          <w:iCs/>
        </w:rPr>
        <w:t>.</w:t>
      </w:r>
    </w:p>
    <w:p>
      <w:pPr>
        <w:pStyle w:val="Normal"/>
        <w:spacing w:before="0" w:after="0"/>
        <w:ind w:left="142" w:hanging="0"/>
        <w:rPr>
          <w:i/>
          <w:i/>
          <w:iCs/>
          <w:szCs w:val="20"/>
        </w:rPr>
      </w:pPr>
      <w:r>
        <w:rPr>
          <w:rFonts w:eastAsia="MS Gothic"/>
          <w:i/>
          <w:iCs/>
          <w:szCs w:val="18"/>
        </w:rPr>
        <w:t>Inicio</w:t>
      </w:r>
    </w:p>
    <w:p>
      <w:pPr>
        <w:pStyle w:val="Normal"/>
        <w:numPr>
          <w:ilvl w:val="0"/>
          <w:numId w:val="6"/>
        </w:numPr>
        <w:spacing w:lineRule="auto" w:line="288" w:before="120" w:after="120"/>
        <w:ind w:left="1134" w:hanging="992"/>
        <w:rPr>
          <w:iCs/>
        </w:rPr>
      </w:pPr>
      <w:r>
        <w:rPr>
          <w:i/>
          <w:iCs/>
        </w:rPr>
        <w:t>Rules</w:t>
      </w:r>
      <w:r>
        <w:rPr>
          <w:iCs/>
        </w:rPr>
        <w:t xml:space="preserve"> = </w:t>
      </w:r>
      <w:r>
        <w:rPr>
          <w:rFonts w:eastAsia="Symbol" w:cs="Symbol" w:ascii="Symbol" w:hAnsi="Symbol"/>
          <w:iCs/>
        </w:rPr>
        <w:t></w:t>
      </w:r>
    </w:p>
    <w:p>
      <w:pPr>
        <w:pStyle w:val="Normal"/>
        <w:numPr>
          <w:ilvl w:val="0"/>
          <w:numId w:val="6"/>
        </w:numPr>
        <w:spacing w:lineRule="auto" w:line="288" w:before="120" w:after="120"/>
        <w:ind w:left="1134" w:hanging="992"/>
        <w:rPr>
          <w:iCs/>
        </w:rPr>
      </w:pPr>
      <w:r>
        <w:rPr>
          <w:i/>
          <w:iCs/>
        </w:rPr>
        <w:t>components = do_pca(U)</w:t>
      </w:r>
      <w:r>
        <w:rPr>
          <w:iCs/>
        </w:rPr>
        <w:t xml:space="preserve"> </w:t>
      </w:r>
    </w:p>
    <w:p>
      <w:pPr>
        <w:pStyle w:val="Normal"/>
        <w:numPr>
          <w:ilvl w:val="0"/>
          <w:numId w:val="6"/>
        </w:numPr>
        <w:spacing w:lineRule="auto" w:line="288" w:before="120" w:after="120"/>
        <w:ind w:left="1134" w:hanging="992"/>
        <w:rPr>
          <w:iCs/>
        </w:rPr>
      </w:pPr>
      <w:r>
        <w:rPr>
          <w:i/>
          <w:iCs/>
        </w:rPr>
        <w:t>U</w:t>
      </w:r>
      <w:r>
        <w:rPr>
          <w:i/>
          <w:iCs/>
          <w:vertAlign w:val="subscript"/>
        </w:rPr>
        <w:t>B</w:t>
      </w:r>
      <w:r>
        <w:rPr>
          <w:i/>
          <w:iCs/>
        </w:rPr>
        <w:t xml:space="preserve"> = transform_fuzzy(U, A</w:t>
      </w:r>
      <w:r>
        <w:rPr>
          <w:i/>
          <w:iCs/>
          <w:vertAlign w:val="subscript"/>
        </w:rPr>
        <w:t>LV</w:t>
      </w:r>
      <w:r>
        <w:rPr>
          <w:i/>
          <w:iCs/>
        </w:rPr>
        <w:t>)</w:t>
      </w:r>
      <w:r>
        <w:rPr>
          <w:iCs/>
        </w:rPr>
        <w:t xml:space="preserve"> </w:t>
      </w:r>
    </w:p>
    <w:p>
      <w:pPr>
        <w:pStyle w:val="Normal"/>
        <w:numPr>
          <w:ilvl w:val="0"/>
          <w:numId w:val="6"/>
        </w:numPr>
        <w:spacing w:lineRule="auto" w:line="288" w:before="120" w:after="120"/>
        <w:ind w:left="1134" w:hanging="992"/>
        <w:rPr>
          <w:iCs/>
        </w:rPr>
      </w:pPr>
      <w:r>
        <w:rPr>
          <w:rFonts w:eastAsia="Symbol" w:cs="Symbol" w:ascii="Symbol" w:hAnsi="Symbol"/>
          <w:i/>
          <w:iCs/>
        </w:rPr>
        <w:t></w:t>
      </w:r>
      <w:r>
        <w:rPr>
          <w:iCs/>
        </w:rPr>
        <w:t xml:space="preserve"> </w:t>
      </w:r>
      <w:r>
        <w:rPr>
          <w:iCs/>
        </w:rPr>
        <w:t xml:space="preserve">= </w:t>
      </w:r>
      <w:r>
        <w:rPr>
          <w:i/>
          <w:iCs/>
        </w:rPr>
        <w:t>calculate_percentil(components, percentil_component)</w:t>
      </w:r>
      <w:r>
        <w:rPr>
          <w:iCs/>
        </w:rPr>
        <w:t xml:space="preserve"> </w:t>
      </w:r>
    </w:p>
    <w:p>
      <w:pPr>
        <w:pStyle w:val="Normal"/>
        <w:numPr>
          <w:ilvl w:val="0"/>
          <w:numId w:val="6"/>
        </w:numPr>
        <w:spacing w:lineRule="auto" w:line="288" w:before="120" w:after="120"/>
        <w:ind w:left="1134" w:hanging="992"/>
        <w:rPr>
          <w:iCs/>
          <w:lang w:val="en-US"/>
        </w:rPr>
      </w:pPr>
      <w:r>
        <w:rPr>
          <w:i/>
          <w:iCs/>
          <w:lang w:val="en-US"/>
        </w:rPr>
        <w:t xml:space="preserve">choosed_components = choose_components(components, </w:t>
      </w:r>
      <w:r>
        <w:rPr>
          <w:rFonts w:eastAsia="Symbol" w:cs="Symbol" w:ascii="Symbol" w:hAnsi="Symbol"/>
          <w:i/>
          <w:iCs/>
        </w:rPr>
        <w:t></w:t>
      </w:r>
      <w:r>
        <w:rPr>
          <w:i/>
          <w:iCs/>
          <w:lang w:val="en-US"/>
        </w:rPr>
        <w:t xml:space="preserve">) </w:t>
      </w:r>
    </w:p>
    <w:p>
      <w:pPr>
        <w:pStyle w:val="Normal"/>
        <w:numPr>
          <w:ilvl w:val="0"/>
          <w:numId w:val="6"/>
        </w:numPr>
        <w:spacing w:lineRule="auto" w:line="288" w:before="120" w:after="120"/>
        <w:ind w:left="1134" w:hanging="992"/>
        <w:rPr>
          <w:iCs/>
        </w:rPr>
      </w:pPr>
      <w:r>
        <w:rPr>
          <w:i/>
        </w:rPr>
        <w:t>Por cada i-ésima componente principal en choosed_components hacer</w:t>
      </w:r>
      <w:r>
        <w:rPr>
          <w:iCs/>
        </w:rPr>
        <w:t>:</w:t>
      </w:r>
    </w:p>
    <w:p>
      <w:pPr>
        <w:pStyle w:val="Normal"/>
        <w:numPr>
          <w:ilvl w:val="0"/>
          <w:numId w:val="45"/>
        </w:numPr>
        <w:spacing w:lineRule="auto" w:line="288" w:before="120" w:after="120"/>
        <w:ind w:left="1418" w:hanging="1276"/>
        <w:rPr>
          <w:iCs/>
        </w:rPr>
      </w:pPr>
      <w:r>
        <w:rPr>
          <w:i/>
          <w:iCs/>
        </w:rPr>
        <w:t>V</w:t>
      </w:r>
      <w:r>
        <w:rPr>
          <w:i/>
          <w:iCs/>
          <w:vertAlign w:val="subscript"/>
        </w:rPr>
        <w:t>elbow</w:t>
      </w:r>
      <w:r>
        <w:rPr>
          <w:iCs/>
        </w:rPr>
        <w:t xml:space="preserve"> = </w:t>
      </w:r>
      <w:r>
        <w:rPr>
          <w:i/>
          <w:iCs/>
        </w:rPr>
        <w:t>calculate_percentil(components</w:t>
      </w:r>
      <w:r>
        <w:rPr>
          <w:i/>
          <w:iCs/>
          <w:vertAlign w:val="subscript"/>
        </w:rPr>
        <w:t xml:space="preserve">i </w:t>
      </w:r>
      <w:r>
        <w:rPr>
          <w:i/>
          <w:iCs/>
        </w:rPr>
        <w:t xml:space="preserve">, </w:t>
      </w:r>
      <w:r>
        <w:rPr>
          <w:i/>
        </w:rPr>
        <w:t>percentil_elbow</w:t>
      </w:r>
      <w:r>
        <w:rPr>
          <w:i/>
          <w:iCs/>
        </w:rPr>
        <w:t>)</w:t>
      </w:r>
      <w:r>
        <w:rPr>
          <w:iCs/>
        </w:rPr>
        <w:t xml:space="preserve"> </w:t>
      </w:r>
    </w:p>
    <w:p>
      <w:pPr>
        <w:pStyle w:val="Normal"/>
        <w:numPr>
          <w:ilvl w:val="0"/>
          <w:numId w:val="45"/>
        </w:numPr>
        <w:spacing w:lineRule="auto" w:line="288" w:before="120" w:after="120"/>
        <w:ind w:left="1418" w:hanging="1276"/>
        <w:rPr>
          <w:iCs/>
          <w:lang w:val="en-US"/>
        </w:rPr>
      </w:pPr>
      <w:r>
        <w:rPr>
          <w:i/>
          <w:iCs/>
          <w:lang w:val="en-US"/>
        </w:rPr>
        <w:t>A</w:t>
      </w:r>
      <w:r>
        <w:rPr>
          <w:i/>
          <w:iCs/>
          <w:vertAlign w:val="subscript"/>
          <w:lang w:val="en-US"/>
        </w:rPr>
        <w:t>Ci</w:t>
      </w:r>
      <w:r>
        <w:rPr>
          <w:i/>
          <w:iCs/>
          <w:lang w:val="en-US"/>
        </w:rPr>
        <w:t xml:space="preserve"> = get_attributes(components</w:t>
      </w:r>
      <w:r>
        <w:rPr>
          <w:i/>
          <w:iCs/>
          <w:vertAlign w:val="subscript"/>
          <w:lang w:val="en-US"/>
        </w:rPr>
        <w:t>i</w:t>
      </w:r>
      <w:r>
        <w:rPr>
          <w:i/>
          <w:iCs/>
          <w:lang w:val="en-US"/>
        </w:rPr>
        <w:t>, V</w:t>
      </w:r>
      <w:r>
        <w:rPr>
          <w:i/>
          <w:iCs/>
          <w:vertAlign w:val="subscript"/>
          <w:lang w:val="en-US"/>
        </w:rPr>
        <w:t>elbow</w:t>
      </w:r>
      <w:r>
        <w:rPr>
          <w:i/>
          <w:iCs/>
          <w:lang w:val="en-US"/>
        </w:rPr>
        <w:t>)</w:t>
      </w:r>
      <w:r>
        <w:rPr>
          <w:iCs/>
          <w:lang w:val="en-US"/>
        </w:rPr>
        <w:t xml:space="preserve"> </w:t>
      </w:r>
    </w:p>
    <w:p>
      <w:pPr>
        <w:pStyle w:val="Normal"/>
        <w:numPr>
          <w:ilvl w:val="0"/>
          <w:numId w:val="45"/>
        </w:numPr>
        <w:spacing w:lineRule="auto" w:line="288" w:before="120" w:after="120"/>
        <w:ind w:left="1418" w:hanging="1276"/>
        <w:rPr>
          <w:iCs/>
          <w:lang w:val="en-US"/>
        </w:rPr>
      </w:pPr>
      <w:r>
        <w:rPr>
          <w:i/>
          <w:iCs/>
          <w:lang w:val="en-US"/>
        </w:rPr>
        <w:t>U</w:t>
      </w:r>
      <w:r>
        <w:rPr>
          <w:i/>
          <w:iCs/>
          <w:vertAlign w:val="subscript"/>
          <w:lang w:val="en-US"/>
        </w:rPr>
        <w:t>Ci</w:t>
      </w:r>
      <w:r>
        <w:rPr>
          <w:i/>
          <w:iCs/>
          <w:lang w:val="en-US"/>
        </w:rPr>
        <w:t xml:space="preserve"> = get_data(U, A</w:t>
      </w:r>
      <w:r>
        <w:rPr>
          <w:i/>
          <w:iCs/>
          <w:vertAlign w:val="subscript"/>
          <w:lang w:val="en-US"/>
        </w:rPr>
        <w:t>Ci</w:t>
      </w:r>
      <w:r>
        <w:rPr>
          <w:i/>
          <w:iCs/>
          <w:lang w:val="en-US"/>
        </w:rPr>
        <w:t>)</w:t>
      </w:r>
      <w:r>
        <w:rPr>
          <w:iCs/>
          <w:lang w:val="en-US"/>
        </w:rPr>
        <w:t xml:space="preserve"> </w:t>
      </w:r>
    </w:p>
    <w:p>
      <w:pPr>
        <w:pStyle w:val="Normal"/>
        <w:numPr>
          <w:ilvl w:val="0"/>
          <w:numId w:val="45"/>
        </w:numPr>
        <w:spacing w:lineRule="auto" w:line="288" w:before="120" w:after="120"/>
        <w:ind w:left="1418" w:hanging="1276"/>
        <w:rPr>
          <w:iCs/>
          <w:szCs w:val="18"/>
          <w:lang w:val="en-US"/>
        </w:rPr>
      </w:pPr>
      <w:r>
        <w:rPr>
          <w:i/>
          <w:iCs/>
          <w:lang w:val="en-US"/>
        </w:rPr>
        <w:t>rules</w:t>
      </w:r>
      <w:r>
        <w:rPr>
          <w:i/>
          <w:iCs/>
          <w:vertAlign w:val="subscript"/>
          <w:lang w:val="en-US"/>
        </w:rPr>
        <w:t>Ci</w:t>
      </w:r>
      <w:r>
        <w:rPr>
          <w:iCs/>
          <w:lang w:val="en-US"/>
        </w:rPr>
        <w:t xml:space="preserve"> = </w:t>
      </w:r>
      <w:r>
        <w:rPr>
          <w:i/>
          <w:iCs/>
          <w:lang w:val="en-US"/>
        </w:rPr>
        <w:t>do_rules</w:t>
      </w:r>
      <w:r>
        <w:rPr>
          <w:i/>
          <w:iCs/>
          <w:szCs w:val="18"/>
          <w:lang w:val="en-US"/>
        </w:rPr>
        <w:t xml:space="preserve"> (U</w:t>
      </w:r>
      <w:r>
        <w:rPr>
          <w:i/>
          <w:iCs/>
          <w:szCs w:val="18"/>
          <w:vertAlign w:val="subscript"/>
          <w:lang w:val="en-US"/>
        </w:rPr>
        <w:t>Ci</w:t>
      </w:r>
      <w:r>
        <w:rPr>
          <w:i/>
          <w:iCs/>
          <w:szCs w:val="18"/>
          <w:lang w:val="en-US"/>
        </w:rPr>
        <w:t>, support, confidence)</w:t>
      </w:r>
    </w:p>
    <w:p>
      <w:pPr>
        <w:pStyle w:val="Normal"/>
        <w:numPr>
          <w:ilvl w:val="0"/>
          <w:numId w:val="45"/>
        </w:numPr>
        <w:spacing w:lineRule="auto" w:line="288" w:before="120" w:after="120"/>
        <w:ind w:left="1418" w:hanging="1276"/>
        <w:rPr>
          <w:iCs/>
          <w:szCs w:val="18"/>
        </w:rPr>
      </w:pPr>
      <w:r>
        <w:rPr>
          <w:i/>
          <w:szCs w:val="18"/>
        </w:rPr>
        <w:t>Rules</w:t>
      </w:r>
      <w:r>
        <w:rPr>
          <w:iCs/>
          <w:szCs w:val="18"/>
        </w:rPr>
        <w:t xml:space="preserve"> </w:t>
      </w:r>
      <w:r>
        <w:rPr>
          <w:rFonts w:eastAsia="Symbol" w:cs="Symbol" w:ascii="Symbol" w:hAnsi="Symbol"/>
          <w:iCs/>
          <w:szCs w:val="18"/>
        </w:rPr>
        <w:t></w:t>
      </w:r>
      <w:r>
        <w:rPr>
          <w:iCs/>
          <w:szCs w:val="18"/>
        </w:rPr>
        <w:t xml:space="preserve"> </w:t>
      </w:r>
      <w:r>
        <w:rPr>
          <w:i/>
          <w:iCs/>
          <w:szCs w:val="18"/>
        </w:rPr>
        <w:t>rules</w:t>
      </w:r>
      <w:r>
        <w:rPr>
          <w:i/>
          <w:iCs/>
          <w:szCs w:val="18"/>
          <w:vertAlign w:val="subscript"/>
        </w:rPr>
        <w:t xml:space="preserve">Ci </w:t>
      </w:r>
    </w:p>
    <w:p>
      <w:pPr>
        <w:pStyle w:val="Normal"/>
        <w:spacing w:lineRule="auto" w:line="288" w:before="120" w:after="120"/>
        <w:ind w:left="1134" w:hanging="0"/>
        <w:rPr>
          <w:i/>
          <w:i/>
          <w:szCs w:val="18"/>
        </w:rPr>
      </w:pPr>
      <w:r>
        <w:rPr>
          <w:i/>
          <w:szCs w:val="18"/>
        </w:rPr>
        <w:t>Fin del ciclo iniciado en el paso 6</w:t>
      </w:r>
    </w:p>
    <w:p>
      <w:pPr>
        <w:pStyle w:val="Normal"/>
        <w:numPr>
          <w:ilvl w:val="0"/>
          <w:numId w:val="6"/>
        </w:numPr>
        <w:spacing w:lineRule="auto" w:line="288" w:before="120" w:after="120"/>
        <w:ind w:left="1134" w:hanging="992"/>
        <w:rPr>
          <w:i/>
          <w:i/>
          <w:iCs/>
          <w:szCs w:val="18"/>
          <w:lang w:val="en-US"/>
        </w:rPr>
      </w:pPr>
      <w:r>
        <w:rPr>
          <w:i/>
          <w:iCs/>
          <w:szCs w:val="18"/>
          <w:lang w:val="en-US"/>
        </w:rPr>
        <w:t>Candidates=generate_summaries_from_rules(U, Rules, A</w:t>
      </w:r>
      <w:r>
        <w:rPr>
          <w:i/>
          <w:iCs/>
          <w:szCs w:val="18"/>
          <w:vertAlign w:val="subscript"/>
          <w:lang w:val="en-US"/>
        </w:rPr>
        <w:t>LV</w:t>
      </w:r>
      <w:r>
        <w:rPr>
          <w:i/>
          <w:iCs/>
          <w:szCs w:val="18"/>
          <w:lang w:val="en-US"/>
        </w:rPr>
        <w:t>, LV</w:t>
      </w:r>
      <w:r>
        <w:rPr>
          <w:i/>
          <w:iCs/>
          <w:szCs w:val="18"/>
          <w:vertAlign w:val="subscript"/>
          <w:lang w:val="en-US"/>
        </w:rPr>
        <w:t>Q</w:t>
      </w:r>
      <w:r>
        <w:rPr>
          <w:i/>
          <w:iCs/>
          <w:szCs w:val="18"/>
          <w:lang w:val="en-US"/>
        </w:rPr>
        <w:t xml:space="preserve">, T) </w:t>
      </w:r>
    </w:p>
    <w:p>
      <w:pPr>
        <w:pStyle w:val="Normal"/>
        <w:numPr>
          <w:ilvl w:val="0"/>
          <w:numId w:val="6"/>
        </w:numPr>
        <w:spacing w:lineRule="auto" w:line="288" w:before="120" w:after="120"/>
        <w:ind w:left="1134" w:hanging="992"/>
        <w:rPr>
          <w:i/>
          <w:i/>
          <w:iCs/>
          <w:szCs w:val="18"/>
        </w:rPr>
      </w:pPr>
      <w:r>
        <w:rPr>
          <w:i/>
          <w:iCs/>
          <w:szCs w:val="18"/>
        </w:rPr>
        <w:t xml:space="preserve">calculate_quantifiers(Candidates, </w:t>
      </w:r>
      <w:r>
        <w:rPr>
          <w:i/>
          <w:iCs/>
          <w:szCs w:val="18"/>
          <w:lang w:val="en-US"/>
        </w:rPr>
        <w:t>LV</w:t>
      </w:r>
      <w:r>
        <w:rPr>
          <w:i/>
          <w:iCs/>
          <w:szCs w:val="18"/>
          <w:vertAlign w:val="subscript"/>
          <w:lang w:val="en-US"/>
        </w:rPr>
        <w:t>Q</w:t>
      </w:r>
      <w:r>
        <w:rPr>
          <w:i/>
          <w:iCs/>
          <w:szCs w:val="18"/>
        </w:rPr>
        <w:t>)</w:t>
      </w:r>
    </w:p>
    <w:p>
      <w:pPr>
        <w:pStyle w:val="Normal"/>
        <w:numPr>
          <w:ilvl w:val="0"/>
          <w:numId w:val="6"/>
        </w:numPr>
        <w:spacing w:lineRule="auto" w:line="288" w:before="120" w:after="120"/>
        <w:ind w:left="1134" w:hanging="992"/>
        <w:rPr>
          <w:i/>
          <w:i/>
          <w:iCs/>
          <w:szCs w:val="18"/>
        </w:rPr>
      </w:pPr>
      <w:r>
        <w:rPr>
          <w:i/>
          <w:iCs/>
          <w:szCs w:val="18"/>
        </w:rPr>
        <w:t xml:space="preserve">calculate_T(Candidates, </w:t>
      </w:r>
      <w:r>
        <w:rPr>
          <w:rFonts w:eastAsia="Symbol" w:cs="Symbol" w:ascii="Symbol" w:hAnsi="Symbol"/>
          <w:i/>
          <w:iCs/>
          <w:szCs w:val="18"/>
        </w:rPr>
        <w:t></w:t>
      </w:r>
      <w:r>
        <w:rPr>
          <w:i/>
          <w:iCs/>
          <w:szCs w:val="18"/>
        </w:rPr>
        <w:t>)</w:t>
      </w:r>
    </w:p>
    <w:p>
      <w:pPr>
        <w:pStyle w:val="Normal"/>
        <w:numPr>
          <w:ilvl w:val="0"/>
          <w:numId w:val="6"/>
        </w:numPr>
        <w:spacing w:lineRule="auto" w:line="288" w:before="120" w:after="120"/>
        <w:ind w:left="1134" w:hanging="992"/>
        <w:rPr>
          <w:i/>
          <w:i/>
          <w:iCs/>
          <w:szCs w:val="18"/>
          <w:lang w:val="en-US"/>
        </w:rPr>
      </w:pPr>
      <w:r>
        <w:rPr>
          <w:i/>
          <w:iCs/>
          <w:szCs w:val="18"/>
          <w:lang w:val="en-US"/>
        </w:rPr>
        <w:t>Summaries = humanize_summaries(Candidates, A</w:t>
      </w:r>
      <w:r>
        <w:rPr>
          <w:i/>
          <w:iCs/>
          <w:szCs w:val="18"/>
          <w:vertAlign w:val="subscript"/>
          <w:lang w:val="en-US"/>
        </w:rPr>
        <w:t>LV</w:t>
      </w:r>
      <w:r>
        <w:rPr>
          <w:i/>
          <w:iCs/>
          <w:szCs w:val="18"/>
          <w:lang w:val="en-US"/>
        </w:rPr>
        <w:t>, LV</w:t>
      </w:r>
      <w:r>
        <w:rPr>
          <w:i/>
          <w:iCs/>
          <w:szCs w:val="18"/>
          <w:vertAlign w:val="subscript"/>
          <w:lang w:val="en-US"/>
        </w:rPr>
        <w:t>Q</w:t>
      </w:r>
      <w:r>
        <w:rPr>
          <w:i/>
          <w:iCs/>
          <w:szCs w:val="18"/>
          <w:lang w:val="en-US"/>
        </w:rPr>
        <w:t xml:space="preserve">, </w:t>
      </w:r>
      <w:r>
        <w:rPr>
          <w:i/>
          <w:lang w:val="en-US"/>
        </w:rPr>
        <w:t>LNC</w:t>
      </w:r>
      <w:r>
        <w:rPr>
          <w:i/>
          <w:iCs/>
          <w:szCs w:val="18"/>
          <w:lang w:val="en-US"/>
        </w:rPr>
        <w:t>)</w:t>
      </w:r>
      <w:r>
        <w:rPr>
          <w:iCs/>
          <w:szCs w:val="18"/>
          <w:lang w:val="en-US"/>
        </w:rPr>
        <w:t xml:space="preserve"> </w:t>
      </w:r>
    </w:p>
    <w:p>
      <w:pPr>
        <w:pStyle w:val="Normal"/>
        <w:numPr>
          <w:ilvl w:val="0"/>
          <w:numId w:val="6"/>
        </w:numPr>
        <w:spacing w:lineRule="auto" w:line="288" w:before="120" w:after="120"/>
        <w:ind w:left="1134" w:hanging="992"/>
        <w:rPr>
          <w:i/>
          <w:i/>
          <w:szCs w:val="18"/>
          <w:lang w:val="en-US"/>
        </w:rPr>
      </w:pPr>
      <w:r>
        <w:rPr>
          <w:i/>
          <w:szCs w:val="18"/>
          <w:lang w:val="en-US"/>
        </w:rPr>
        <w:t xml:space="preserve">ranking_summaries = sort_summaries(Summaries)  </w:t>
      </w:r>
    </w:p>
    <w:p>
      <w:pPr>
        <w:pStyle w:val="Normal"/>
        <w:numPr>
          <w:ilvl w:val="0"/>
          <w:numId w:val="6"/>
        </w:numPr>
        <w:spacing w:lineRule="auto" w:line="288" w:before="120" w:after="120"/>
        <w:ind w:left="1134" w:hanging="992"/>
        <w:rPr>
          <w:i/>
          <w:i/>
          <w:szCs w:val="18"/>
        </w:rPr>
      </w:pPr>
      <w:r>
        <w:rPr>
          <w:i/>
          <w:szCs w:val="18"/>
        </w:rPr>
        <w:t xml:space="preserve">Return ranking_summaries </w:t>
      </w:r>
    </w:p>
    <w:p>
      <w:pPr>
        <w:pStyle w:val="Normal"/>
        <w:spacing w:before="120" w:after="120"/>
        <w:rPr/>
      </w:pPr>
      <w:r>
        <w:rPr/>
        <w:t xml:space="preserve">En el paso 2 se aplica el algoritmo </w:t>
      </w:r>
      <w:r>
        <w:rPr>
          <w:i/>
        </w:rPr>
        <w:t xml:space="preserve">PCA </w:t>
      </w:r>
      <w:r>
        <w:fldChar w:fldCharType="begin"/>
      </w:r>
      <w:r>
        <w:instrText>ADDIN ZOTERO_ITEM CSL_CITATION {"citationID":"a2apeaja0s0","properties":{"formattedCitation":"(Naik 2018)","plainCitation":"(Naik 2018)","noteIndex":0},"citationItems":[{"id":3482,"uris":["http://zotero.org/users/local/EJ15hJE2/items/P3MTP4TT"],"uri":["http://zotero.org/users/local/EJ15hJE2/items/P3MTP4TT"],"itemData":{"id":3482,"type":"book","collection-number":"1","edition":"Springer","ISBN":"978-981-10-6704-4","number-of-pages":"252","title":"Advances in Principal Component Analysis. Research and Development","author":[{"family":"Naik","given":"Ganesh"}],"issued":{"date-parts":[["2018"]]}}}],"schema":"https://github.com/citation-style-language/schema/raw/master/csl-citation.json"}</w:instrText>
      </w:r>
      <w:r>
        <w:fldChar w:fldCharType="separate"/>
      </w:r>
      <w:bookmarkStart w:id="1002" w:name="__Fieldmark__7379_2067855929"/>
      <w:r>
        <w:rPr>
          <w:i/>
        </w:rPr>
      </w:r>
      <w:r>
        <w:rPr>
          <w:i/>
          <w:szCs w:val="24"/>
        </w:rPr>
        <w:t>(</w:t>
      </w:r>
      <w:bookmarkStart w:id="1003" w:name="__Fieldmark__6335_498839314"/>
      <w:r>
        <w:rPr>
          <w:i/>
          <w:szCs w:val="24"/>
        </w:rPr>
        <w:t>N</w:t>
      </w:r>
      <w:bookmarkStart w:id="1004" w:name="__Fieldmark__5591_998588997"/>
      <w:r>
        <w:rPr>
          <w:i/>
          <w:szCs w:val="24"/>
        </w:rPr>
        <w:t>a</w:t>
      </w:r>
      <w:bookmarkStart w:id="1005" w:name="__Fieldmark__8712_118561941"/>
      <w:r>
        <w:rPr>
          <w:i/>
          <w:szCs w:val="24"/>
        </w:rPr>
        <w:t>ik 2018)</w:t>
      </w:r>
      <w:r>
        <w:rPr>
          <w:i/>
        </w:rPr>
      </w:r>
      <w:r>
        <w:fldChar w:fldCharType="end"/>
      </w:r>
      <w:bookmarkEnd w:id="1002"/>
      <w:bookmarkEnd w:id="1003"/>
      <w:bookmarkEnd w:id="1004"/>
      <w:bookmarkEnd w:id="1005"/>
      <w:r>
        <w:rPr/>
        <w:t xml:space="preserve"> y se generan los componentes principales, identificándose los atributos del conjunto </w:t>
      </w:r>
      <w:r>
        <w:rPr>
          <w:i/>
        </w:rPr>
        <w:t>H</w:t>
      </w:r>
      <w:r>
        <w:rPr/>
        <w:t xml:space="preserve"> que se relacionan a partir del análisis del conjunto de datos </w:t>
      </w:r>
      <w:r>
        <w:rPr>
          <w:i/>
        </w:rPr>
        <w:t>U</w:t>
      </w:r>
      <w:r>
        <w:rPr/>
        <w:t xml:space="preserve">. Internamente el </w:t>
      </w:r>
      <w:r>
        <w:rPr>
          <w:i/>
        </w:rPr>
        <w:t>PCA</w:t>
      </w:r>
      <w:r>
        <w:rPr/>
        <w:t xml:space="preserve"> calcula una matriz de covarianza de complejidad </w:t>
      </w:r>
      <w:r>
        <w:rPr>
          <w:i/>
        </w:rPr>
        <w:t>O(p</w:t>
      </w:r>
      <w:r>
        <w:rPr>
          <w:i/>
          <w:vertAlign w:val="superscript"/>
        </w:rPr>
        <w:t>2</w:t>
      </w:r>
      <w:r>
        <w:rPr>
          <w:i/>
        </w:rPr>
        <w:t>n)</w:t>
      </w:r>
      <w:r>
        <w:rPr/>
        <w:t xml:space="preserve"> y la descompone en autovalores, con una complejidad </w:t>
      </w:r>
      <w:r>
        <w:rPr>
          <w:i/>
        </w:rPr>
        <w:t>O(p</w:t>
      </w:r>
      <w:r>
        <w:rPr>
          <w:i/>
          <w:vertAlign w:val="superscript"/>
        </w:rPr>
        <w:t>3</w:t>
      </w:r>
      <w:r>
        <w:rPr>
          <w:i/>
        </w:rPr>
        <w:t>).</w:t>
      </w:r>
      <w:r>
        <w:rPr/>
        <w:t xml:space="preserve"> Siendo así, la complejidad de este paso es </w:t>
      </w:r>
      <w:r>
        <w:rPr>
          <w:i/>
        </w:rPr>
        <w:t>O(p</w:t>
      </w:r>
      <w:r>
        <w:rPr>
          <w:i/>
          <w:vertAlign w:val="superscript"/>
        </w:rPr>
        <w:t>2</w:t>
      </w:r>
      <w:r>
        <w:rPr>
          <w:i/>
        </w:rPr>
        <w:t>n + p</w:t>
      </w:r>
      <w:r>
        <w:rPr>
          <w:i/>
          <w:vertAlign w:val="superscript"/>
        </w:rPr>
        <w:t>3</w:t>
      </w:r>
      <w:r>
        <w:rPr>
          <w:i/>
        </w:rPr>
        <w:t>).</w:t>
      </w:r>
    </w:p>
    <w:p>
      <w:pPr>
        <w:pStyle w:val="Normal"/>
        <w:spacing w:before="120" w:after="120"/>
        <w:rPr/>
      </w:pPr>
      <w:r>
        <w:rPr/>
        <w:t>En el paso 3 se recibe un conjunto de datos (</w:t>
      </w:r>
      <w:r>
        <w:rPr>
          <w:i/>
        </w:rPr>
        <w:t>U</w:t>
      </w:r>
      <w:r>
        <w:rPr/>
        <w:t xml:space="preserve">) como entrada y el conjunto de variables lingüísticas </w:t>
      </w:r>
      <w:r>
        <w:rPr>
          <w:i/>
        </w:rPr>
        <w:t>A</w:t>
      </w:r>
      <w:r>
        <w:rPr>
          <w:i/>
          <w:vertAlign w:val="subscript"/>
        </w:rPr>
        <w:t>LV</w:t>
      </w:r>
      <w:r>
        <w:rPr/>
        <w:t xml:space="preserve"> que describen cada uno de los atributos del problema en cuestión. Cada uno de los datos del conjunto de entrada </w:t>
      </w:r>
      <w:r>
        <w:rPr>
          <w:i/>
        </w:rPr>
        <w:t>U</w:t>
      </w:r>
      <w:r>
        <w:rPr/>
        <w:t xml:space="preserve"> son transformados en etiquetas lingüísticas a partir de aplicar el principio de máxima membresía, considerando la pertenencia de cada dato a los conjuntos borrosos de la variable lingüística que representa al atributo en cuestión. De este proceso se obtiene el conjunto de datos transformado (</w:t>
      </w:r>
      <w:r>
        <w:rPr>
          <w:i/>
        </w:rPr>
        <w:t>U</w:t>
      </w:r>
      <w:r>
        <w:rPr>
          <w:i/>
          <w:vertAlign w:val="subscript"/>
        </w:rPr>
        <w:t>B</w:t>
      </w:r>
      <w:r>
        <w:rPr/>
        <w:t xml:space="preserve">). Este paso tiene una complejidad </w:t>
      </w:r>
      <w:r>
        <w:rPr>
          <w:i/>
        </w:rPr>
        <w:t>O(p·n·m)</w:t>
      </w:r>
      <w:r>
        <w:rPr/>
        <w:t>.</w:t>
      </w:r>
    </w:p>
    <w:p>
      <w:pPr>
        <w:pStyle w:val="Normal"/>
        <w:spacing w:before="120" w:after="120"/>
        <w:rPr>
          <w:szCs w:val="18"/>
        </w:rPr>
      </w:pPr>
      <w:r>
        <w:rPr/>
        <w:t xml:space="preserve">En el paso 4, se calcula el umbral </w:t>
      </w:r>
      <w:r>
        <w:rPr>
          <w:rFonts w:eastAsia="Symbol" w:cs="Symbol" w:ascii="Symbol" w:hAnsi="Symbol"/>
          <w:i/>
          <w:iCs/>
          <w:sz w:val="24"/>
          <w:szCs w:val="24"/>
        </w:rPr>
        <w:t></w:t>
      </w:r>
      <w:r>
        <w:rPr>
          <w:i/>
          <w:iCs/>
          <w:sz w:val="24"/>
          <w:szCs w:val="24"/>
        </w:rPr>
        <w:t xml:space="preserve"> </w:t>
      </w:r>
      <w:r>
        <w:rPr/>
        <w:t xml:space="preserve">a partir de los componentes calculados en </w:t>
      </w:r>
      <w:r>
        <w:rPr>
          <w:i/>
        </w:rPr>
        <w:t xml:space="preserve">components </w:t>
      </w:r>
      <w:r>
        <w:rPr/>
        <w:t xml:space="preserve">(variable generada en el paso 2) y el parámetro </w:t>
      </w:r>
      <w:r>
        <w:rPr>
          <w:i/>
          <w:iCs/>
          <w:szCs w:val="18"/>
        </w:rPr>
        <w:t>percentil_component</w:t>
      </w:r>
      <w:r>
        <w:rPr/>
        <w:t xml:space="preserve"> establecido en la entrada. La definición del parámetro </w:t>
      </w:r>
      <w:r>
        <w:rPr>
          <w:i/>
          <w:iCs/>
          <w:szCs w:val="18"/>
        </w:rPr>
        <w:t xml:space="preserve">percentil_component </w:t>
      </w:r>
      <w:r>
        <w:rPr>
          <w:szCs w:val="18"/>
        </w:rPr>
        <w:t xml:space="preserve">dependerá del escenario en cuestión. Un enfoque común en diferentes contextos es la identificación del percentil 80, que representa la selección del 20% de los factores más importantes bajo el supuesto que, estos factores pueden impactar en el 80% de los problemas. </w:t>
      </w:r>
    </w:p>
    <w:p>
      <w:pPr>
        <w:pStyle w:val="Normal"/>
        <w:spacing w:before="120" w:after="120"/>
        <w:rPr/>
      </w:pPr>
      <w:r>
        <w:rPr/>
        <w:t xml:space="preserve">Luego en el paso 5, se emplea </w:t>
      </w:r>
      <w:r>
        <w:rPr>
          <w:rFonts w:eastAsia="Symbol" w:cs="Symbol" w:ascii="Symbol" w:hAnsi="Symbol"/>
          <w:i/>
          <w:iCs/>
          <w:sz w:val="24"/>
          <w:szCs w:val="24"/>
        </w:rPr>
        <w:t></w:t>
      </w:r>
      <w:r>
        <w:rPr/>
        <w:t xml:space="preserve"> para seleccionar las componentes principales cuyo valor de fortaleza sea mayor que este umbral. La selección de las componentes relevantes permite la reducción del espacio de búsqueda. Continuando el ejemplo anterior, este umbral podría ser el valor correspondiente al percentil 80 de las componentes, lo que representaría la selección del 20% de las componentes más relevantes. En este proceso de selección, se necesita realizar un ordenamiento cuya complejidad es </w:t>
      </w:r>
      <w:r>
        <w:rPr>
          <w:i/>
        </w:rPr>
        <w:t>O(p</w:t>
      </w:r>
      <w:r>
        <w:rPr/>
        <w:t xml:space="preserve"> log </w:t>
      </w:r>
      <w:r>
        <w:rPr>
          <w:i/>
        </w:rPr>
        <w:t>p)</w:t>
      </w:r>
      <w:r>
        <w:rPr/>
        <w:t>.</w:t>
      </w:r>
    </w:p>
    <w:p>
      <w:pPr>
        <w:pStyle w:val="Normal"/>
        <w:spacing w:before="120" w:after="120"/>
        <w:rPr/>
      </w:pPr>
      <w:r>
        <w:rPr/>
        <w:t>Entre los pasos 6 y 12, a partir de cada una de las componentes seleccionadas, se generan resúmenes lingüísticos como se explica a continuación:</w:t>
      </w:r>
    </w:p>
    <w:p>
      <w:pPr>
        <w:pStyle w:val="Normal"/>
        <w:spacing w:before="120" w:after="120"/>
        <w:rPr/>
      </w:pPr>
      <w:r>
        <w:rPr/>
        <w:t xml:space="preserve">En el paso 6.1, para cada </w:t>
      </w:r>
      <w:r>
        <w:rPr>
          <w:i/>
          <w:iCs/>
        </w:rPr>
        <w:t>i</w:t>
      </w:r>
      <w:r>
        <w:rPr/>
        <w:t xml:space="preserve">-ésima componente se calcula un umbral que llamaremos </w:t>
      </w:r>
      <w:r>
        <w:rPr>
          <w:i/>
        </w:rPr>
        <w:t>“codo” (V</w:t>
      </w:r>
      <w:r>
        <w:rPr>
          <w:i/>
          <w:vertAlign w:val="subscript"/>
        </w:rPr>
        <w:t>elbow</w:t>
      </w:r>
      <w:r>
        <w:rPr>
          <w:i/>
        </w:rPr>
        <w:t>)</w:t>
      </w:r>
      <w:r>
        <w:rPr/>
        <w:t xml:space="preserve">, el cual en el paso 6.2 se usa para seleccionar los atributos </w:t>
      </w:r>
      <w:r>
        <w:rPr/>
      </w:r>
      <m:oMath xmlns:m="http://schemas.openxmlformats.org/officeDocument/2006/math">
        <m:sSub>
          <m:e>
            <m:r>
              <w:rPr>
                <w:rFonts w:ascii="Cambria Math" w:hAnsi="Cambria Math"/>
              </w:rPr>
              <m:t xml:space="preserve">A</m:t>
            </m:r>
          </m:e>
          <m:sub>
            <m:sSub>
              <m:e>
                <m:r>
                  <w:rPr>
                    <w:rFonts w:ascii="Cambria Math" w:hAnsi="Cambria Math"/>
                  </w:rPr>
                  <m:t xml:space="preserve">C</m:t>
                </m:r>
              </m:e>
              <m:sub>
                <m:r>
                  <w:rPr>
                    <w:rFonts w:ascii="Cambria Math" w:hAnsi="Cambria Math"/>
                  </w:rPr>
                  <m:t xml:space="preserve">i</m:t>
                </m:r>
              </m:sub>
            </m:sSub>
          </m:sub>
        </m:sSub>
      </m:oMath>
      <w:r>
        <w:rPr/>
        <w:t xml:space="preserve"> que representan las variables más relevantes del componente en cuestión. Luego en el paso 6.3 se recupera para la </w:t>
      </w:r>
      <w:bookmarkStart w:id="1006" w:name="_Hlk79138392"/>
      <w:r>
        <w:rPr>
          <w:i/>
          <w:iCs/>
        </w:rPr>
        <w:t>i</w:t>
      </w:r>
      <w:r>
        <w:rPr/>
        <w:t xml:space="preserve">-ésima componente, </w:t>
      </w:r>
      <w:bookmarkEnd w:id="1006"/>
      <w:r>
        <w:rPr/>
        <w:t xml:space="preserve">el conjunto de datos </w:t>
      </w:r>
      <w:r>
        <w:rPr/>
      </w:r>
      <m:oMath xmlns:m="http://schemas.openxmlformats.org/officeDocument/2006/math">
        <m:sSub>
          <m:e>
            <m:r>
              <w:rPr>
                <w:rFonts w:ascii="Cambria Math" w:hAnsi="Cambria Math"/>
              </w:rPr>
              <m:t xml:space="preserve">U</m:t>
            </m:r>
          </m:e>
          <m:sub>
            <m:sSub>
              <m:e>
                <m:r>
                  <w:rPr>
                    <w:rFonts w:ascii="Cambria Math" w:hAnsi="Cambria Math"/>
                  </w:rPr>
                  <m:t xml:space="preserve">C</m:t>
                </m:r>
              </m:e>
              <m:sub>
                <m:r>
                  <w:rPr>
                    <w:rFonts w:ascii="Cambria Math" w:hAnsi="Cambria Math"/>
                  </w:rPr>
                  <m:t xml:space="preserve">i</m:t>
                </m:r>
              </m:sub>
            </m:sSub>
          </m:sub>
        </m:sSub>
      </m:oMath>
      <w:r>
        <w:rPr/>
        <w:t xml:space="preserve">, que representa la proyección de los objetos del conjunto </w:t>
      </w:r>
      <w:r>
        <w:rPr>
          <w:i/>
        </w:rPr>
        <w:t xml:space="preserve">U </w:t>
      </w:r>
      <w:r>
        <w:rPr/>
        <w:t xml:space="preserve">respecto a los atributos </w:t>
      </w:r>
      <w:r>
        <w:rPr/>
      </w:r>
      <m:oMath xmlns:m="http://schemas.openxmlformats.org/officeDocument/2006/math">
        <m:sSub>
          <m:e>
            <m:r>
              <w:rPr>
                <w:rFonts w:ascii="Cambria Math" w:hAnsi="Cambria Math"/>
              </w:rPr>
              <m:t xml:space="preserve">A</m:t>
            </m:r>
          </m:e>
          <m:sub>
            <m:sSub>
              <m:e>
                <m:r>
                  <w:rPr>
                    <w:rFonts w:ascii="Cambria Math" w:hAnsi="Cambria Math"/>
                  </w:rPr>
                  <m:t xml:space="preserve">C</m:t>
                </m:r>
              </m:e>
              <m:sub>
                <m:r>
                  <w:rPr>
                    <w:rFonts w:ascii="Cambria Math" w:hAnsi="Cambria Math"/>
                  </w:rPr>
                  <m:t xml:space="preserve">i</m:t>
                </m:r>
              </m:sub>
            </m:sSub>
          </m:sub>
        </m:sSub>
      </m:oMath>
      <w:r>
        <w:rPr/>
        <w:t xml:space="preserve">. De esta forma se logra la reducción del espacio de búsqueda, porque solo se trabajará con las variables representativas según la componente que se esté analizando. La complejidad de estos pasos está acotada superiormente por </w:t>
      </w:r>
      <w:r>
        <w:rPr>
          <w:i/>
        </w:rPr>
        <w:t>O(n·p)</w:t>
      </w:r>
      <w:r>
        <w:rPr/>
        <w:t>.</w:t>
      </w:r>
    </w:p>
    <w:p>
      <w:pPr>
        <w:pStyle w:val="Normal"/>
        <w:spacing w:before="120" w:after="120"/>
        <w:rPr/>
      </w:pPr>
      <w:r>
        <w:rPr/>
        <w:t xml:space="preserve">Luego en el paso 6.4 se aplica una técnica para la generación de reglas de asociación, pero solo sobre los datos del conjunto </w:t>
      </w:r>
      <w:r>
        <w:rPr/>
      </w:r>
      <m:oMath xmlns:m="http://schemas.openxmlformats.org/officeDocument/2006/math">
        <m:sSub>
          <m:e>
            <m:r>
              <w:rPr>
                <w:rFonts w:ascii="Cambria Math" w:hAnsi="Cambria Math"/>
              </w:rPr>
              <m:t xml:space="preserve">U</m:t>
            </m:r>
          </m:e>
          <m:sub>
            <m:sSub>
              <m:e>
                <m:r>
                  <w:rPr>
                    <w:rFonts w:ascii="Cambria Math" w:hAnsi="Cambria Math"/>
                  </w:rPr>
                  <m:t xml:space="preserve">C</m:t>
                </m:r>
              </m:e>
              <m:sub>
                <m:r>
                  <w:rPr>
                    <w:rFonts w:ascii="Cambria Math" w:hAnsi="Cambria Math"/>
                  </w:rPr>
                  <m:t xml:space="preserve">i</m:t>
                </m:r>
              </m:sub>
            </m:sSub>
          </m:sub>
        </m:sSub>
      </m:oMath>
      <w:r>
        <w:rPr/>
        <w:t xml:space="preserve">, lo que permite reducir el espacio de búsqueda. En este paso del algoritmo, no se preestablece ninguna técnica de generación de reglas de asociación en particular, pero se recomienda que en la implementación práctica del algoritmo </w:t>
      </w:r>
      <w:r>
        <w:rPr>
          <w:i/>
          <w:iCs/>
        </w:rPr>
        <w:t xml:space="preserve">PCA_LDS, </w:t>
      </w:r>
      <w:r>
        <w:rPr/>
        <w:t xml:space="preserve">se consideren las ventajas y limitaciones de diferentes técnicas para la generación de las reglas de asociación </w:t>
      </w:r>
      <w:r>
        <w:fldChar w:fldCharType="begin"/>
      </w:r>
      <w:r>
        <w:instrText>ADDIN ZOTERO_ITEM CSL_CITATION {"citationID":"QqQQH4OU","properties":{"formattedCitation":"(Medina et\\uc0\\u160{}al. 2007)","plainCitation":"(Medina et al. 2007)","noteIndex":0},"citationItems":[{"id":3461,"uris":["http://zotero.org/users/local/EJ15hJE2/items/SW2BVL8K"],"uri":["http://zotero.org/users/local/EJ15hJE2/items/SW2BVL8K"],"itemData":{"id":3461,"type":"report","collection-title":"Serie Gris","event-place":"Cenatav","genre":"Reporte técnico sobre minería de datos","number":"2143","publisher-place":"Cenatav","title":"Generación de conjuntos de ítems y reglas de asociación","URL":"www.cenatav.co.cu","author":[{"family":"Medina","given":"José E."},{"family":"Hernández","given":"José"},{"family":"Hernández","given":"Raudel"},{"family":"Pérez","given":"Airel"},{"family":"Hechavarría.","given":"Abdel"},{"family":"González","given":"Ricardo"}],"issued":{"date-parts":[["2007"]]}}}],"schema":"https://github.com/citation-style-language/schema/raw/master/csl-citation.json"}</w:instrText>
      </w:r>
      <w:r>
        <w:fldChar w:fldCharType="separate"/>
      </w:r>
      <w:bookmarkStart w:id="1007" w:name="__Fieldmark__7484_2067855929"/>
      <w:r>
        <w:rPr/>
        <w:t>(</w:t>
      </w:r>
      <w:bookmarkStart w:id="1008" w:name="__Fieldmark__6424_498839314"/>
      <w:r>
        <w:rPr/>
        <w:t>M</w:t>
      </w:r>
      <w:bookmarkStart w:id="1009" w:name="__Fieldmark__5676_998588997"/>
      <w:r>
        <w:rPr/>
        <w:t>e</w:t>
      </w:r>
      <w:bookmarkStart w:id="1010" w:name="__Fieldmark__8925_118561941"/>
      <w:r>
        <w:rPr/>
        <w:t>dina et al. 2007)</w:t>
      </w:r>
      <w:r>
        <w:rPr/>
      </w:r>
      <w:r>
        <w:fldChar w:fldCharType="end"/>
      </w:r>
      <w:bookmarkEnd w:id="1007"/>
      <w:bookmarkEnd w:id="1008"/>
      <w:bookmarkEnd w:id="1009"/>
      <w:bookmarkEnd w:id="1010"/>
      <w:r>
        <w:rPr/>
        <w:t xml:space="preserve">. </w:t>
      </w:r>
    </w:p>
    <w:p>
      <w:pPr>
        <w:pStyle w:val="Normal"/>
        <w:spacing w:before="120" w:after="120"/>
        <w:rPr/>
      </w:pPr>
      <w:r>
        <w:rPr/>
        <w:t xml:space="preserve">En la experimentación de esta investigación se decide emplear </w:t>
      </w:r>
      <w:r>
        <w:rPr>
          <w:i/>
        </w:rPr>
        <w:t xml:space="preserve">Apriori </w:t>
      </w:r>
      <w:r>
        <w:fldChar w:fldCharType="begin"/>
      </w:r>
      <w:r>
        <w:instrText>ADDIN ZOTERO_ITEM CSL_CITATION {"citationID":"asvvm064ks","properties":{"formattedCitation":"(Wasilewska 2007)","plainCitation":"(Wasilewska 2007)","noteIndex":0},"citationItems":[{"id":509,"uris":["http://zotero.org/users/local/EJ15hJE2/items/99RVEWPF"],"uri":["http://zotero.org/users/local/EJ15hJE2/items/99RVEWPF"],"itemData":{"id":509,"type":"article-journal","container-title":"Lecture Notes, http://www. cs. sunysb. edu/∼ cse634/lecture_notes/07apriori. pdf, accessed","title":"Apriori algorithm","URL":"https://www3.cs.stonybrook.edu/ cse634/lecture_notes/07apriori.pdf","volume":"10","author":[{"family":"Wasilewska","given":"Anita"}],"issued":{"date-parts":[["2007"]]}}}],"schema":"https://github.com/citation-style-language/schema/raw/master/csl-citation.json"}</w:instrText>
      </w:r>
      <w:r>
        <w:fldChar w:fldCharType="separate"/>
      </w:r>
      <w:bookmarkStart w:id="1011" w:name="__Fieldmark__7502_2067855929"/>
      <w:r>
        <w:rPr>
          <w:i/>
        </w:rPr>
      </w:r>
      <w:r>
        <w:rPr>
          <w:i/>
          <w:szCs w:val="24"/>
        </w:rPr>
        <w:t>(</w:t>
      </w:r>
      <w:bookmarkStart w:id="1012" w:name="__Fieldmark__6438_498839314"/>
      <w:r>
        <w:rPr>
          <w:i/>
          <w:szCs w:val="24"/>
        </w:rPr>
        <w:t>W</w:t>
      </w:r>
      <w:bookmarkStart w:id="1013" w:name="__Fieldmark__5686_998588997"/>
      <w:r>
        <w:rPr>
          <w:i/>
          <w:szCs w:val="24"/>
        </w:rPr>
        <w:t>a</w:t>
      </w:r>
      <w:bookmarkStart w:id="1014" w:name="__Fieldmark__8937_118561941"/>
      <w:r>
        <w:rPr>
          <w:i/>
          <w:szCs w:val="24"/>
        </w:rPr>
        <w:t>silewska 2007)</w:t>
      </w:r>
      <w:r>
        <w:rPr>
          <w:i/>
        </w:rPr>
      </w:r>
      <w:r>
        <w:fldChar w:fldCharType="end"/>
      </w:r>
      <w:bookmarkEnd w:id="1011"/>
      <w:bookmarkEnd w:id="1012"/>
      <w:bookmarkEnd w:id="1013"/>
      <w:bookmarkEnd w:id="1014"/>
      <w:r>
        <w:rPr>
          <w:i/>
        </w:rPr>
        <w:t xml:space="preserve"> </w:t>
      </w:r>
      <w:r>
        <w:rPr>
          <w:iCs/>
        </w:rPr>
        <w:t xml:space="preserve">para la generación de reglas de asociación. Esta decisión estuvo motivada porque en la bibliografía consultada </w:t>
      </w:r>
      <w:r>
        <w:fldChar w:fldCharType="begin"/>
      </w:r>
      <w:r>
        <w:instrText>ADDIN ZOTERO_ITEM CSL_CITATION {"citationID":"XFhT5g09","properties":{"formattedCitation":"(Dijkman y Wilbik 2017)","plainCitation":"(Dijkman y Wilbik 2017)","noteIndex":0},"citationItems":[{"id":"NJclqhNX/tUNDshry","uris":["http://zotero.org/users/local/rsuvzjK6/items/8GWFVIKD"],"uri":["http://zotero.org/users/local/rsuvzjK6/items/8GWFVIKD"],"itemData":{"id":3297,"type":"article-journal","abstract":"The amount of data that is generated during the execution of a business process is growing. As a consequence it is increasingly hard to extract useful information from the large amount of data that is produced. Linguistic summarization helps to point business analysts in the direction of useful information, by verbalizing interesting patterns that exist in the data. In previous work we showed how linguistic summarization can be used to automatically generate diagnostic statements about event logs, such as ‘for most cases that contained the sequence ABC, the throughput time was long’. However, we also showed that our technique produced too many of these statements to be useful in a practical setting. Therefore this paper presents a novel technique for linguistic summarization of event logs, which generates linguistic summaries that are concise enough to be used in a practical setting, while at the same time enriching the summaries that are produced by also enabling conjunctive statements. The improved technique is based on pruning and clustering of linguistic summaries. We show that it can be used to reduce the number of summary statements 80–100% compared to previous work. In a survey among 51 practitioners, we found that practitioners consider linguistic summarization useful and easy to use and intend to use it if it were commercially available.","container-title":"Information Systems","DOI":"10.1016/j.is.2017.03.009","ISSN":"0306-4379","language":"en","page":"114–125","title":"Linguistic summarization of event logs – A practical approach","volume":"67","author":[{"family":"Dijkman","given":"Remco"},{"family":"Wilbik","given":"Anna"}],"issued":{"date-parts":[["2017",7]]}}}],"schema":"https://github.com/citation-style-language/schema/raw/master/csl-citation.json"}</w:instrText>
      </w:r>
      <w:r>
        <w:fldChar w:fldCharType="separate"/>
      </w:r>
      <w:bookmarkStart w:id="1015" w:name="__Fieldmark__7519_2067855929"/>
      <w:r>
        <w:rPr>
          <w:iCs/>
        </w:rPr>
        <w:t>(</w:t>
      </w:r>
      <w:bookmarkStart w:id="1016" w:name="__Fieldmark__6450_498839314"/>
      <w:r>
        <w:rPr>
          <w:iCs/>
        </w:rPr>
        <w:t>D</w:t>
      </w:r>
      <w:bookmarkStart w:id="1017" w:name="__Fieldmark__5694_998588997"/>
      <w:r>
        <w:rPr>
          <w:iCs/>
        </w:rPr>
        <w:t>i</w:t>
      </w:r>
      <w:bookmarkStart w:id="1018" w:name="__Fieldmark__8945_118561941"/>
      <w:r>
        <w:rPr>
          <w:iCs/>
        </w:rPr>
        <w:t>jkman y Wilbik 2017)</w:t>
      </w:r>
      <w:r>
        <w:rPr>
          <w:iCs/>
        </w:rPr>
      </w:r>
      <w:r>
        <w:fldChar w:fldCharType="end"/>
      </w:r>
      <w:bookmarkEnd w:id="1015"/>
      <w:bookmarkEnd w:id="1016"/>
      <w:bookmarkEnd w:id="1017"/>
      <w:bookmarkEnd w:id="1018"/>
      <w:r>
        <w:rPr/>
        <w:t xml:space="preserve"> </w:t>
      </w:r>
      <w:r>
        <w:rPr>
          <w:iCs/>
        </w:rPr>
        <w:t xml:space="preserve">usan </w:t>
      </w:r>
      <w:r>
        <w:rPr>
          <w:i/>
        </w:rPr>
        <w:t>Apriori</w:t>
      </w:r>
      <w:r>
        <w:rPr>
          <w:iCs/>
        </w:rPr>
        <w:t xml:space="preserve"> para la generación de resúmenes lingüísticos</w:t>
      </w:r>
      <w:r>
        <w:rPr/>
        <w:t xml:space="preserve"> y es interés de esta investigación, evitar posibles sesgos en la comparación por el uso de una u otra técnica de aprendizaje de reglas de asociación.</w:t>
      </w:r>
      <w:r>
        <w:rPr>
          <w:iCs/>
        </w:rPr>
        <w:t xml:space="preserve"> La </w:t>
      </w:r>
      <w:r>
        <w:rPr/>
        <w:t>construcción de reglas de asociación tiene complejidad</w:t>
      </w:r>
      <w:r>
        <w:rPr>
          <w:i/>
        </w:rPr>
        <w:t xml:space="preserve"> O(2</w:t>
      </w:r>
      <w:r>
        <w:rPr>
          <w:i/>
          <w:vertAlign w:val="superscript"/>
        </w:rPr>
        <w:t>p+1</w:t>
      </w:r>
      <w:r>
        <w:rPr>
          <w:i/>
        </w:rPr>
        <w:t xml:space="preserve">), </w:t>
      </w:r>
      <w:r>
        <w:rPr/>
        <w:t xml:space="preserve">tomando en consideración la complejidad del algoritmo </w:t>
      </w:r>
      <w:r>
        <w:rPr>
          <w:i/>
        </w:rPr>
        <w:t xml:space="preserve">Apriori </w:t>
      </w:r>
      <w:r>
        <w:fldChar w:fldCharType="begin"/>
      </w:r>
      <w:r>
        <w:instrText>ADDIN ZOTERO_ITEM CSL_CITATION {"citationID":"dca1RLsY","properties":{"formattedCitation":"(Tahyudin, Haviluddin y Nambo 2019)","plainCitation":"(Tahyudin, Haviluddin y Nambo 2019)","noteIndex":0},"citationItems":[{"id":"NJclqhNX/GvwVMtTm","uris":["http://zotero.org/users/local/rsuvzjK6/items/MG277K2X"],"uri":["http://zotero.org/users/local/rsuvzjK6/items/MG277K2X"],"itemData":{"id":3460,"type":"article-journal","abstract":"Some of the solutions for solving numerical Association rule mining problem are by discretization and optimization methods. The popular algorithms of optimization are A priori algorithms, Genetic algorithms (GA) and Particle swarm optimization (PSO). This research has aim to study time complexity of those optimization algorithms. The results show that the time complexity of evolutionary algorithms such as GA and PSO are faster than the time complexity of A priori algorithms.","ISSN":"2277-8616","language":"en","source":"repository.unmul.ac.id","title":"Time Complexity Of A Priori And Evolutionary Algorithm For Numerical Association Rule Mining Optimization","URL":"http://repository.unmul.ac.id/handle/123456789/3898","author":[{"family":"Tahyudin","given":"Imam"},{"family":"Haviluddin","given":"Haviluddin"},{"family":"Nambo","given":"Hidetaka"}],"accessed":{"date-parts":[["2021",3,29]]},"issued":{"date-parts":[["2019",11,8]]}}}],"schema":"https://github.com/citation-style-language/schema/raw/master/csl-citation.json"}</w:instrText>
      </w:r>
      <w:r>
        <w:fldChar w:fldCharType="separate"/>
      </w:r>
      <w:bookmarkStart w:id="1019" w:name="__Fieldmark__7547_2067855929"/>
      <w:r>
        <w:rPr>
          <w:i/>
        </w:rPr>
        <w:t>(</w:t>
      </w:r>
      <w:bookmarkStart w:id="1020" w:name="__Fieldmark__6472_498839314"/>
      <w:r>
        <w:rPr>
          <w:i/>
        </w:rPr>
        <w:t>T</w:t>
      </w:r>
      <w:bookmarkStart w:id="1021" w:name="__Fieldmark__5712_998588997"/>
      <w:r>
        <w:rPr>
          <w:i/>
        </w:rPr>
        <w:t>a</w:t>
      </w:r>
      <w:bookmarkStart w:id="1022" w:name="__Fieldmark__8971_118561941"/>
      <w:r>
        <w:rPr>
          <w:i/>
        </w:rPr>
        <w:t>hyudin, Haviluddin y Nambo 2019)</w:t>
      </w:r>
      <w:r>
        <w:rPr>
          <w:i/>
        </w:rPr>
      </w:r>
      <w:r>
        <w:fldChar w:fldCharType="end"/>
      </w:r>
      <w:bookmarkEnd w:id="1019"/>
      <w:bookmarkEnd w:id="1020"/>
      <w:bookmarkEnd w:id="1021"/>
      <w:bookmarkEnd w:id="1022"/>
      <w:r>
        <w:rPr/>
        <w:t xml:space="preserve">. </w:t>
      </w:r>
    </w:p>
    <w:p>
      <w:pPr>
        <w:pStyle w:val="Normal"/>
        <w:spacing w:before="120" w:after="120"/>
        <w:rPr/>
      </w:pPr>
      <w:r>
        <w:rPr/>
        <w:t xml:space="preserve">Considerando las complejidades computacionales de los pasos independientes que conforman el paso 6, se deduce que la complejidad de este paso es </w:t>
      </w:r>
      <w:r>
        <w:rPr>
          <w:i/>
        </w:rPr>
        <w:t>O(p· [(p</w:t>
      </w:r>
      <w:r>
        <w:rPr/>
        <w:t xml:space="preserve"> log </w:t>
      </w:r>
      <w:r>
        <w:rPr>
          <w:i/>
        </w:rPr>
        <w:t xml:space="preserve">p) </w:t>
      </w:r>
      <w:r>
        <w:rPr/>
        <w:t>+</w:t>
      </w:r>
      <w:r>
        <w:rPr>
          <w:i/>
        </w:rPr>
        <w:t xml:space="preserve"> 2</w:t>
      </w:r>
      <w:r>
        <w:rPr>
          <w:i/>
          <w:vertAlign w:val="superscript"/>
        </w:rPr>
        <w:t>p+1</w:t>
      </w:r>
      <w:r>
        <w:rPr>
          <w:i/>
        </w:rPr>
        <w:t>])</w:t>
      </w:r>
      <w:r>
        <w:rPr/>
        <w:t xml:space="preserve">, acotada superiormente por </w:t>
      </w:r>
      <w:r>
        <w:rPr>
          <w:i/>
        </w:rPr>
        <w:t>O(p·2</w:t>
      </w:r>
      <w:r>
        <w:rPr>
          <w:i/>
          <w:vertAlign w:val="superscript"/>
        </w:rPr>
        <w:t>p+1</w:t>
      </w:r>
      <w:r>
        <w:rPr>
          <w:i/>
        </w:rPr>
        <w:t>)</w:t>
      </w:r>
      <w:r>
        <w:rPr/>
        <w:t>.</w:t>
      </w:r>
    </w:p>
    <w:p>
      <w:pPr>
        <w:pStyle w:val="Normal"/>
        <w:spacing w:before="120" w:after="120"/>
        <w:rPr>
          <w:i/>
          <w:i/>
        </w:rPr>
      </w:pPr>
      <w:r>
        <w:rPr/>
        <w:t xml:space="preserve">En el paso 7 se procede a generar resúmenes candidatos a partir del conjunto de reglas generado en los pasos anteriores. En este proceso, los antecedentes de las reglas son convertidos en filtros </w:t>
      </w:r>
      <w:r>
        <w:rPr>
          <w:i/>
          <w:iCs/>
        </w:rPr>
        <w:t>R</w:t>
      </w:r>
      <w:r>
        <w:rPr/>
        <w:t xml:space="preserve"> y los consecuentes en sumarizadores </w:t>
      </w:r>
      <w:r>
        <w:rPr>
          <w:i/>
          <w:iCs/>
        </w:rPr>
        <w:t>S</w:t>
      </w:r>
      <w:r>
        <w:rPr/>
        <w:t xml:space="preserve">; por tanto, en este momento cada resumen candidato tiene la forma </w:t>
      </w:r>
      <w:r>
        <w:rPr>
          <w:i/>
          <w:iCs/>
          <w:szCs w:val="18"/>
        </w:rPr>
        <w:t>(R, S)</w:t>
      </w:r>
      <w:r>
        <w:rPr/>
        <w:t xml:space="preserve">. Es de interés señalar que este algoritmo permite tanto la generación de resúmenes sin filtros cubriendo las protoformas 1 y 3, como la generación de resúmenes con filtros, cubriendo el resto de las protoformas. La cantidad de reglas generadas está acotada superiormente por la cantidad total de casos </w:t>
      </w:r>
      <w:r>
        <w:rPr>
          <w:i/>
        </w:rPr>
        <w:t>n,</w:t>
      </w:r>
      <w:r>
        <w:rPr/>
        <w:t xml:space="preserve"> y la cantidad de elementos en filtros y sumarizadores está acotada superiormente por la cantidad total de atributos </w:t>
      </w:r>
      <w:r>
        <w:rPr>
          <w:i/>
        </w:rPr>
        <w:t>p</w:t>
      </w:r>
      <w:r>
        <w:rPr/>
        <w:t xml:space="preserve">; por tanto, la complejidad de este paso está acotada por </w:t>
      </w:r>
      <w:r>
        <w:rPr>
          <w:i/>
        </w:rPr>
        <w:t>O(n·p).</w:t>
      </w:r>
    </w:p>
    <w:p>
      <w:pPr>
        <w:pStyle w:val="Normal"/>
        <w:spacing w:lineRule="auto" w:line="288" w:before="120" w:after="120"/>
        <w:rPr/>
      </w:pPr>
      <w:r>
        <w:rPr>
          <w:iCs/>
          <w:szCs w:val="18"/>
        </w:rPr>
        <w:t xml:space="preserve">En el paso 8, para cada uno de los resúmenes candidatos se procede a determinar el cuantificador, para ello se aplica el </w:t>
      </w:r>
      <w:r>
        <w:rPr>
          <w:iCs/>
          <w:szCs w:val="18"/>
        </w:rPr>
        <w:fldChar w:fldCharType="begin"/>
      </w:r>
      <w:r>
        <w:instrText> REF _Ref68500542 \h </w:instrText>
      </w:r>
      <w:r>
        <w:fldChar w:fldCharType="separate"/>
      </w:r>
      <w:r>
        <w:t>Algoritmo 3</w:t>
      </w:r>
      <w:r>
        <w:fldChar w:fldCharType="end"/>
      </w:r>
      <w:r>
        <w:rPr/>
        <w:t xml:space="preserve"> con una complejidad </w:t>
      </w:r>
      <w:r>
        <w:rPr>
          <w:i/>
        </w:rPr>
        <w:t>O(n</w:t>
      </w:r>
      <w:r>
        <w:rPr>
          <w:i/>
          <w:vertAlign w:val="superscript"/>
        </w:rPr>
        <w:t>2</w:t>
      </w:r>
      <w:r>
        <w:rPr>
          <w:i/>
        </w:rPr>
        <w:t>·p)</w:t>
      </w:r>
      <w:r>
        <w:rPr>
          <w:iCs/>
          <w:szCs w:val="18"/>
        </w:rPr>
        <w:t xml:space="preserve">. </w:t>
      </w:r>
    </w:p>
    <w:p>
      <w:pPr>
        <w:pStyle w:val="Normal"/>
        <w:spacing w:lineRule="auto" w:line="288" w:before="120" w:after="120"/>
        <w:rPr/>
      </w:pPr>
      <w:r>
        <w:rPr/>
        <w:t xml:space="preserve">En el paso 9 del </w:t>
      </w:r>
      <w:r>
        <w:rPr/>
        <w:fldChar w:fldCharType="begin"/>
      </w:r>
      <w:r>
        <w:instrText> REF _Ref67268662 \h </w:instrText>
      </w:r>
      <w:r>
        <w:fldChar w:fldCharType="separate"/>
      </w:r>
      <w:r>
        <w:t>Algoritmo 2</w:t>
      </w:r>
      <w:r>
        <w:fldChar w:fldCharType="end"/>
      </w:r>
      <w:r>
        <w:rPr>
          <w:i/>
          <w:iCs/>
          <w:szCs w:val="18"/>
        </w:rPr>
        <w:t>,</w:t>
      </w:r>
      <w:r>
        <w:rPr/>
        <w:t xml:space="preserve"> se procede al cálculo de los indicadores </w:t>
      </w:r>
      <w:r>
        <w:rPr>
          <w:i/>
        </w:rPr>
        <w:t>T</w:t>
      </w:r>
      <w:r>
        <w:rPr/>
        <w:t xml:space="preserve">, que permiten evaluar la calidad de los resúmenes lingüísticos obtenidos. La complejidad computacional de este paso está acotada superiormente por </w:t>
      </w:r>
      <w:r>
        <w:rPr>
          <w:i/>
        </w:rPr>
        <w:t>O(n·p),</w:t>
      </w:r>
      <w:r>
        <w:rPr/>
        <w:t xml:space="preserve"> y está dada por la complejidad de los métodos de cálculo de los indicadores.</w:t>
      </w:r>
    </w:p>
    <w:p>
      <w:pPr>
        <w:pStyle w:val="Normal"/>
        <w:spacing w:lineRule="auto" w:line="288" w:before="120" w:after="120"/>
        <w:rPr>
          <w:iCs/>
          <w:szCs w:val="18"/>
        </w:rPr>
      </w:pPr>
      <w:r>
        <w:rPr/>
        <w:t xml:space="preserve">Al concluir los pasos 8 y 9 del algoritmo </w:t>
      </w:r>
      <w:r>
        <w:rPr>
          <w:i/>
          <w:iCs/>
          <w:szCs w:val="18"/>
        </w:rPr>
        <w:t>PCA_LDS,</w:t>
      </w:r>
      <w:r>
        <w:rPr/>
        <w:t xml:space="preserve"> se tiene el conjunto de resúmenes candidatos </w:t>
      </w:r>
      <w:r>
        <w:rPr>
          <w:i/>
          <w:iCs/>
          <w:szCs w:val="18"/>
        </w:rPr>
        <w:t xml:space="preserve">Candidates, </w:t>
      </w:r>
      <w:r>
        <w:rPr>
          <w:szCs w:val="18"/>
        </w:rPr>
        <w:t>donde</w:t>
      </w:r>
      <w:r>
        <w:rPr>
          <w:i/>
          <w:iCs/>
          <w:szCs w:val="18"/>
        </w:rPr>
        <w:t xml:space="preserve"> </w:t>
      </w:r>
      <w:r>
        <w:rPr>
          <w:szCs w:val="18"/>
        </w:rPr>
        <w:t>cada</w:t>
      </w:r>
      <w:r>
        <w:rPr/>
        <w:t xml:space="preserve"> candidato cumple con la estructura </w:t>
      </w:r>
      <w:r>
        <w:rPr>
          <w:i/>
          <w:iCs/>
        </w:rPr>
        <w:t>P(Q, R, S, T)</w:t>
      </w:r>
      <w:r>
        <w:rPr/>
        <w:t>.</w:t>
      </w:r>
    </w:p>
    <w:p>
      <w:pPr>
        <w:pStyle w:val="Normal"/>
        <w:spacing w:lineRule="auto" w:line="288" w:before="120" w:after="57"/>
        <w:rPr/>
      </w:pPr>
      <w:bookmarkStart w:id="1023" w:name="_Ref68500542"/>
      <w:r>
        <w:rPr>
          <w:i/>
          <w:iCs/>
          <w:szCs w:val="18"/>
        </w:rPr>
        <w:t xml:space="preserve">Algoritmo </w:t>
      </w:r>
      <w:r>
        <w:rPr>
          <w:i/>
          <w:iCs/>
          <w:szCs w:val="18"/>
        </w:rPr>
        <w:fldChar w:fldCharType="begin"/>
      </w:r>
      <w:r>
        <w:instrText> SEQ Algoritmo \* ARABIC </w:instrText>
      </w:r>
      <w:r>
        <w:fldChar w:fldCharType="separate"/>
      </w:r>
      <w:r>
        <w:t>3</w:t>
      </w:r>
      <w:r>
        <w:fldChar w:fldCharType="end"/>
      </w:r>
      <w:bookmarkEnd w:id="1023"/>
      <w:r>
        <w:rPr>
          <w:i/>
          <w:iCs/>
          <w:szCs w:val="18"/>
        </w:rPr>
        <w:t xml:space="preserve"> calculate_quantifiers(CandidatesSummaries, LV</w:t>
      </w:r>
      <w:r>
        <w:rPr>
          <w:i/>
          <w:iCs/>
          <w:szCs w:val="18"/>
          <w:vertAlign w:val="subscript"/>
        </w:rPr>
        <w:t>Q</w:t>
      </w:r>
      <w:r>
        <w:rPr>
          <w:i/>
          <w:iCs/>
          <w:szCs w:val="18"/>
        </w:rPr>
        <w:t xml:space="preserve">)  </w:t>
      </w:r>
    </w:p>
    <w:p>
      <w:pPr>
        <w:pStyle w:val="Normal"/>
        <w:spacing w:before="113" w:after="57"/>
        <w:ind w:left="142" w:hanging="0"/>
        <w:rPr>
          <w:rFonts w:eastAsia="MS Gothic"/>
          <w:i/>
          <w:i/>
          <w:iCs/>
          <w:szCs w:val="18"/>
        </w:rPr>
      </w:pPr>
      <w:r>
        <w:rPr>
          <w:rFonts w:eastAsia="MS Gothic"/>
          <w:i/>
          <w:iCs/>
          <w:szCs w:val="18"/>
        </w:rPr>
        <w:t>Entradas</w:t>
      </w:r>
    </w:p>
    <w:p>
      <w:pPr>
        <w:pStyle w:val="Normal"/>
        <w:spacing w:lineRule="auto" w:line="288" w:before="120" w:after="120"/>
        <w:ind w:left="426" w:hanging="0"/>
        <w:rPr>
          <w:i/>
          <w:i/>
          <w:iCs/>
        </w:rPr>
      </w:pPr>
      <w:r>
        <w:rPr>
          <w:i/>
          <w:iCs/>
        </w:rPr>
        <w:t>CandidateSummaries: listado de resúmenes candidatos, cada uno con la forma (R, S)</w:t>
      </w:r>
    </w:p>
    <w:p>
      <w:pPr>
        <w:pStyle w:val="Normal"/>
        <w:spacing w:before="0" w:after="0"/>
        <w:ind w:left="993" w:hanging="567"/>
        <w:rPr>
          <w:i/>
          <w:i/>
          <w:iCs/>
        </w:rPr>
      </w:pPr>
      <w:r>
        <w:rPr>
          <w:i/>
          <w:iCs/>
        </w:rPr>
        <w:t>LV</w:t>
      </w:r>
      <w:r>
        <w:rPr>
          <w:i/>
          <w:iCs/>
          <w:vertAlign w:val="subscript"/>
        </w:rPr>
        <w:t>Q</w:t>
      </w:r>
      <w:r>
        <w:rPr>
          <w:i/>
          <w:iCs/>
        </w:rPr>
        <w:t xml:space="preserve">: parámetros definidos en la </w:t>
      </w:r>
      <w:r>
        <w:rPr>
          <w:i/>
        </w:rPr>
        <w:t>sección 2.1 sobre notaciones</w:t>
      </w:r>
      <w:r>
        <w:rPr>
          <w:i/>
          <w:iCs/>
        </w:rPr>
        <w:t>.</w:t>
      </w:r>
    </w:p>
    <w:p>
      <w:pPr>
        <w:pStyle w:val="Normal"/>
        <w:spacing w:before="113" w:after="57"/>
        <w:ind w:left="142" w:hanging="0"/>
        <w:rPr>
          <w:rFonts w:eastAsia="MS Gothic"/>
          <w:i/>
          <w:i/>
          <w:iCs/>
          <w:sz w:val="20"/>
          <w:szCs w:val="18"/>
        </w:rPr>
      </w:pPr>
      <w:r>
        <w:rPr>
          <w:rFonts w:eastAsia="MS Gothic"/>
          <w:i/>
          <w:iCs/>
          <w:szCs w:val="18"/>
        </w:rPr>
        <w:t>Inicio</w:t>
      </w:r>
      <w:r>
        <w:rPr>
          <w:rFonts w:eastAsia="MS Gothic"/>
          <w:i/>
          <w:iCs/>
          <w:sz w:val="20"/>
          <w:szCs w:val="18"/>
        </w:rPr>
        <w:t>:</w:t>
      </w:r>
    </w:p>
    <w:p>
      <w:pPr>
        <w:pStyle w:val="Normal"/>
        <w:numPr>
          <w:ilvl w:val="0"/>
          <w:numId w:val="48"/>
        </w:numPr>
        <w:spacing w:lineRule="auto" w:line="288" w:before="120" w:after="120"/>
        <w:ind w:left="1134" w:hanging="916"/>
        <w:rPr>
          <w:iCs/>
          <w:szCs w:val="18"/>
        </w:rPr>
      </w:pPr>
      <w:r>
        <w:rPr>
          <w:i/>
          <w:iCs/>
          <w:szCs w:val="18"/>
        </w:rPr>
        <w:t>Para cada Candidate</w:t>
      </w:r>
      <w:r>
        <w:rPr>
          <w:rFonts w:eastAsia="Symbol" w:cs="Symbol" w:ascii="Symbol" w:hAnsi="Symbol"/>
          <w:i/>
          <w:iCs/>
          <w:szCs w:val="18"/>
        </w:rPr>
        <w:t></w:t>
      </w:r>
      <w:r>
        <w:rPr>
          <w:i/>
          <w:iCs/>
          <w:szCs w:val="18"/>
        </w:rPr>
        <w:t xml:space="preserve"> CandidatesSummaries hacer   //</w:t>
      </w:r>
    </w:p>
    <w:p>
      <w:pPr>
        <w:pStyle w:val="Normal"/>
        <w:numPr>
          <w:ilvl w:val="0"/>
          <w:numId w:val="49"/>
        </w:numPr>
        <w:spacing w:lineRule="auto" w:line="288" w:before="120" w:after="120"/>
        <w:ind w:left="1560" w:hanging="1342"/>
        <w:rPr>
          <w:i/>
          <w:i/>
          <w:iCs/>
          <w:szCs w:val="18"/>
        </w:rPr>
      </w:pPr>
      <w:r>
        <w:rPr>
          <w:i/>
          <w:iCs/>
          <w:szCs w:val="18"/>
        </w:rPr>
        <w:t xml:space="preserve">R </w:t>
      </w:r>
      <w:r>
        <w:rPr>
          <w:i/>
          <w:iCs/>
          <w:szCs w:val="18"/>
          <w:lang w:eastAsia="ja-JP"/>
        </w:rPr>
        <w:t>= Candidate.filters</w:t>
      </w:r>
    </w:p>
    <w:p>
      <w:pPr>
        <w:pStyle w:val="Normal"/>
        <w:numPr>
          <w:ilvl w:val="0"/>
          <w:numId w:val="49"/>
        </w:numPr>
        <w:spacing w:lineRule="auto" w:line="288" w:before="120" w:after="120"/>
        <w:ind w:left="1560" w:hanging="1342"/>
        <w:rPr>
          <w:i/>
          <w:i/>
          <w:iCs/>
          <w:szCs w:val="18"/>
        </w:rPr>
      </w:pPr>
      <w:r>
        <w:rPr>
          <w:i/>
          <w:iCs/>
          <w:szCs w:val="18"/>
        </w:rPr>
        <w:t xml:space="preserve">S </w:t>
      </w:r>
      <w:r>
        <w:rPr>
          <w:i/>
          <w:iCs/>
          <w:szCs w:val="18"/>
          <w:lang w:eastAsia="ja-JP"/>
        </w:rPr>
        <w:t>= Candidate.summaries</w:t>
      </w:r>
    </w:p>
    <w:p>
      <w:pPr>
        <w:pStyle w:val="Normal"/>
        <w:numPr>
          <w:ilvl w:val="0"/>
          <w:numId w:val="49"/>
        </w:numPr>
        <w:spacing w:lineRule="auto" w:line="288" w:before="120" w:after="120"/>
        <w:ind w:left="1560" w:hanging="1342"/>
        <w:rPr>
          <w:i/>
          <w:i/>
          <w:iCs/>
          <w:szCs w:val="18"/>
        </w:rPr>
      </w:pPr>
      <w:r>
        <w:rPr>
          <w:i/>
          <w:iCs/>
        </w:rPr>
        <w:t xml:space="preserve">Si </w:t>
      </w:r>
      <w:r>
        <w:rPr>
          <w:i/>
          <w:iCs/>
          <w:szCs w:val="18"/>
        </w:rPr>
        <w:t>R</w:t>
      </w:r>
      <w:r>
        <w:rPr>
          <w:i/>
          <w:iCs/>
        </w:rPr>
        <w:t xml:space="preserve"> = </w:t>
      </w:r>
      <w:r>
        <w:rPr>
          <w:rFonts w:eastAsia="Symbol" w:cs="Symbol" w:ascii="Symbol" w:hAnsi="Symbol"/>
          <w:i/>
          <w:iCs/>
        </w:rPr>
        <w:t></w:t>
      </w:r>
      <w:r>
        <w:rPr>
          <w:i/>
          <w:iCs/>
        </w:rPr>
        <w:t xml:space="preserve">  </w:t>
      </w:r>
    </w:p>
    <w:p>
      <w:pPr>
        <w:pStyle w:val="Normal"/>
        <w:numPr>
          <w:ilvl w:val="0"/>
          <w:numId w:val="49"/>
        </w:numPr>
        <w:spacing w:lineRule="auto" w:line="288" w:before="120" w:after="120"/>
        <w:ind w:left="1560" w:hanging="1342"/>
        <w:rPr>
          <w:i/>
          <w:i/>
          <w:iCs/>
          <w:szCs w:val="18"/>
        </w:rPr>
      </w:pPr>
      <w:r>
        <w:rPr>
          <w:i/>
          <w:iCs/>
        </w:rPr>
        <w:t xml:space="preserve">    </w:t>
      </w:r>
      <w:r>
        <w:rPr>
          <w:i/>
          <w:iCs/>
        </w:rPr>
        <w:t xml:space="preserve">F = calculate_F(frecuencia de aparición del sumarizador S en </w:t>
      </w:r>
      <w:r>
        <w:rPr>
          <w:i/>
          <w:iCs/>
          <w:szCs w:val="18"/>
        </w:rPr>
        <w:t>U</w:t>
      </w:r>
      <w:r>
        <w:rPr>
          <w:i/>
          <w:iCs/>
          <w:szCs w:val="18"/>
          <w:vertAlign w:val="subscript"/>
        </w:rPr>
        <w:t>B</w:t>
      </w:r>
      <w:r>
        <w:rPr>
          <w:i/>
          <w:iCs/>
          <w:szCs w:val="18"/>
        </w:rPr>
        <w:t xml:space="preserve">) </w:t>
      </w:r>
    </w:p>
    <w:p>
      <w:pPr>
        <w:pStyle w:val="Normal"/>
        <w:numPr>
          <w:ilvl w:val="0"/>
          <w:numId w:val="49"/>
        </w:numPr>
        <w:spacing w:lineRule="auto" w:line="288" w:before="120" w:after="120"/>
        <w:ind w:left="1560" w:hanging="1342"/>
        <w:rPr>
          <w:i/>
          <w:i/>
          <w:iCs/>
          <w:szCs w:val="18"/>
        </w:rPr>
      </w:pPr>
      <w:r>
        <w:rPr>
          <w:i/>
          <w:iCs/>
        </w:rPr>
        <w:t xml:space="preserve">    </w:t>
      </w:r>
      <w:r>
        <w:rPr>
          <w:i/>
          <w:iCs/>
        </w:rPr>
        <w:t>relative_frequency</w:t>
      </w:r>
      <w:r>
        <w:rPr>
          <w:i/>
          <w:iCs/>
          <w:lang w:eastAsia="ja-JP"/>
        </w:rPr>
        <w:t xml:space="preserve"> = F / |</w:t>
      </w:r>
      <w:r>
        <w:rPr>
          <w:i/>
          <w:iCs/>
          <w:szCs w:val="18"/>
        </w:rPr>
        <w:t xml:space="preserve"> U</w:t>
      </w:r>
      <w:r>
        <w:rPr>
          <w:i/>
          <w:iCs/>
          <w:szCs w:val="18"/>
          <w:vertAlign w:val="subscript"/>
        </w:rPr>
        <w:t>B</w:t>
      </w:r>
      <w:r>
        <w:rPr>
          <w:i/>
          <w:iCs/>
          <w:lang w:eastAsia="ja-JP"/>
        </w:rPr>
        <w:t xml:space="preserve"> |</w:t>
      </w:r>
    </w:p>
    <w:p>
      <w:pPr>
        <w:pStyle w:val="Normal"/>
        <w:numPr>
          <w:ilvl w:val="0"/>
          <w:numId w:val="49"/>
        </w:numPr>
        <w:spacing w:lineRule="auto" w:line="288" w:before="120" w:after="120"/>
        <w:ind w:left="1560" w:hanging="1342"/>
        <w:rPr>
          <w:i/>
          <w:i/>
          <w:iCs/>
          <w:szCs w:val="18"/>
        </w:rPr>
      </w:pPr>
      <w:r>
        <w:rPr>
          <w:i/>
          <w:iCs/>
          <w:lang w:eastAsia="ja-JP"/>
        </w:rPr>
        <w:t xml:space="preserve"> </w:t>
      </w:r>
      <w:r>
        <w:rPr>
          <w:i/>
          <w:iCs/>
          <w:lang w:eastAsia="ja-JP"/>
        </w:rPr>
        <w:t xml:space="preserve">sino </w:t>
      </w:r>
    </w:p>
    <w:p>
      <w:pPr>
        <w:pStyle w:val="Normal"/>
        <w:numPr>
          <w:ilvl w:val="0"/>
          <w:numId w:val="49"/>
        </w:numPr>
        <w:spacing w:lineRule="auto" w:line="288" w:before="120" w:after="120"/>
        <w:ind w:left="1560" w:hanging="1342"/>
        <w:rPr>
          <w:i/>
          <w:i/>
          <w:iCs/>
          <w:szCs w:val="18"/>
        </w:rPr>
      </w:pPr>
      <w:r>
        <w:rPr>
          <w:i/>
          <w:iCs/>
        </w:rPr>
        <w:t xml:space="preserve">    </w:t>
      </w:r>
      <w:r>
        <w:rPr>
          <w:i/>
          <w:iCs/>
        </w:rPr>
        <w:t xml:space="preserve">F = calculate_F (frecuencia de aparición del par R, S en el conjunto </w:t>
      </w:r>
      <w:r>
        <w:rPr>
          <w:i/>
          <w:iCs/>
          <w:szCs w:val="18"/>
        </w:rPr>
        <w:t>U</w:t>
      </w:r>
      <w:r>
        <w:rPr>
          <w:i/>
          <w:iCs/>
          <w:szCs w:val="18"/>
          <w:vertAlign w:val="subscript"/>
        </w:rPr>
        <w:t>B</w:t>
      </w:r>
      <w:r>
        <w:rPr>
          <w:i/>
          <w:iCs/>
          <w:szCs w:val="18"/>
        </w:rPr>
        <w:t xml:space="preserve">) </w:t>
      </w:r>
    </w:p>
    <w:p>
      <w:pPr>
        <w:pStyle w:val="Normal"/>
        <w:numPr>
          <w:ilvl w:val="0"/>
          <w:numId w:val="49"/>
        </w:numPr>
        <w:spacing w:lineRule="auto" w:line="288" w:before="120" w:after="120"/>
        <w:ind w:left="1560" w:hanging="1342"/>
        <w:rPr>
          <w:i/>
          <w:i/>
          <w:iCs/>
          <w:szCs w:val="18"/>
        </w:rPr>
      </w:pPr>
      <w:r>
        <w:rPr>
          <w:i/>
          <w:iCs/>
        </w:rPr>
        <w:t xml:space="preserve">    </w:t>
      </w:r>
      <w:r>
        <w:rPr>
          <w:i/>
          <w:iCs/>
        </w:rPr>
        <w:t>relative_frequency</w:t>
      </w:r>
      <w:r>
        <w:rPr>
          <w:i/>
          <w:iCs/>
          <w:lang w:eastAsia="ja-JP"/>
        </w:rPr>
        <w:t xml:space="preserve"> = F / |</w:t>
      </w:r>
      <w:r>
        <w:rPr>
          <w:i/>
          <w:iCs/>
          <w:szCs w:val="18"/>
        </w:rPr>
        <w:t xml:space="preserve"> U</w:t>
      </w:r>
      <w:r>
        <w:rPr>
          <w:i/>
          <w:iCs/>
          <w:szCs w:val="18"/>
          <w:vertAlign w:val="subscript"/>
        </w:rPr>
        <w:t>B</w:t>
      </w:r>
      <w:r>
        <w:rPr>
          <w:i/>
          <w:iCs/>
          <w:lang w:eastAsia="ja-JP"/>
        </w:rPr>
        <w:t xml:space="preserve"> | </w:t>
      </w:r>
    </w:p>
    <w:p>
      <w:pPr>
        <w:pStyle w:val="Normal"/>
        <w:numPr>
          <w:ilvl w:val="0"/>
          <w:numId w:val="49"/>
        </w:numPr>
        <w:spacing w:lineRule="auto" w:line="288" w:before="120" w:after="120"/>
        <w:ind w:left="1560" w:hanging="1342"/>
        <w:rPr>
          <w:i/>
          <w:i/>
          <w:iCs/>
          <w:szCs w:val="18"/>
        </w:rPr>
      </w:pPr>
      <w:r>
        <w:rPr>
          <w:i/>
          <w:iCs/>
          <w:lang w:eastAsia="ja-JP"/>
        </w:rPr>
        <w:t xml:space="preserve"> </w:t>
      </w:r>
      <w:r>
        <w:rPr>
          <w:i/>
          <w:iCs/>
          <w:lang w:eastAsia="ja-JP"/>
        </w:rPr>
        <w:t xml:space="preserve">Fin del paso condicional 1.3 </w:t>
      </w:r>
    </w:p>
    <w:p>
      <w:pPr>
        <w:pStyle w:val="Normal"/>
        <w:numPr>
          <w:ilvl w:val="0"/>
          <w:numId w:val="49"/>
        </w:numPr>
        <w:spacing w:lineRule="auto" w:line="288" w:before="120" w:after="120"/>
        <w:ind w:left="1560" w:hanging="1342"/>
        <w:rPr>
          <w:i/>
          <w:i/>
          <w:iCs/>
          <w:szCs w:val="18"/>
        </w:rPr>
      </w:pPr>
      <w:r>
        <w:rPr>
          <w:i/>
          <w:iCs/>
          <w:szCs w:val="18"/>
        </w:rPr>
        <w:t xml:space="preserve">Determinar el cuantificador Q a partir de aplicar el criterio de máxima membresía de la </w:t>
      </w:r>
      <w:r>
        <w:rPr>
          <w:i/>
          <w:iCs/>
        </w:rPr>
        <w:t>frecuencia relativa en la variable lingüística</w:t>
      </w:r>
      <w:r>
        <w:rPr>
          <w:i/>
          <w:iCs/>
          <w:szCs w:val="18"/>
        </w:rPr>
        <w:t>, LV</w:t>
      </w:r>
      <w:r>
        <w:rPr>
          <w:i/>
          <w:iCs/>
          <w:szCs w:val="18"/>
          <w:vertAlign w:val="subscript"/>
        </w:rPr>
        <w:t>Q</w:t>
      </w:r>
      <w:r>
        <w:rPr>
          <w:i/>
          <w:iCs/>
        </w:rPr>
        <w:t xml:space="preserve"> </w:t>
      </w:r>
    </w:p>
    <w:p>
      <w:pPr>
        <w:pStyle w:val="Normal"/>
        <w:numPr>
          <w:ilvl w:val="0"/>
          <w:numId w:val="49"/>
        </w:numPr>
        <w:spacing w:lineRule="auto" w:line="288" w:before="120" w:after="120"/>
        <w:ind w:left="1560" w:hanging="1342"/>
        <w:rPr>
          <w:i/>
          <w:i/>
          <w:iCs/>
          <w:szCs w:val="18"/>
        </w:rPr>
      </w:pPr>
      <w:r>
        <w:rPr>
          <w:i/>
          <w:iCs/>
          <w:szCs w:val="18"/>
        </w:rPr>
        <w:t xml:space="preserve">Candidate(R, S) </w:t>
      </w:r>
      <w:r>
        <w:rPr>
          <w:rFonts w:eastAsia="Symbol" w:cs="Symbol" w:ascii="Symbol" w:hAnsi="Symbol"/>
          <w:i/>
          <w:iCs/>
        </w:rPr>
        <w:t></w:t>
      </w:r>
      <w:r>
        <w:rPr>
          <w:i/>
          <w:iCs/>
          <w:szCs w:val="18"/>
        </w:rPr>
        <w:t xml:space="preserve"> Q</w:t>
      </w:r>
    </w:p>
    <w:p>
      <w:pPr>
        <w:pStyle w:val="Normal"/>
        <w:numPr>
          <w:ilvl w:val="0"/>
          <w:numId w:val="48"/>
        </w:numPr>
        <w:spacing w:lineRule="auto" w:line="288" w:before="120" w:after="120"/>
        <w:ind w:left="993" w:hanging="850"/>
        <w:rPr>
          <w:i/>
          <w:i/>
          <w:iCs/>
        </w:rPr>
      </w:pPr>
      <w:r>
        <w:rPr>
          <w:i/>
          <w:iCs/>
        </w:rPr>
        <w:t>Fin del ciclo iniciado en paso 1</w:t>
      </w:r>
    </w:p>
    <w:p>
      <w:pPr>
        <w:pStyle w:val="Normal"/>
        <w:numPr>
          <w:ilvl w:val="0"/>
          <w:numId w:val="48"/>
        </w:numPr>
        <w:spacing w:lineRule="auto" w:line="288" w:before="120" w:after="120"/>
        <w:ind w:left="993" w:hanging="850"/>
        <w:rPr>
          <w:i/>
          <w:i/>
          <w:iCs/>
        </w:rPr>
      </w:pPr>
      <w:r>
        <w:rPr>
          <w:i/>
          <w:iCs/>
        </w:rPr>
        <w:t xml:space="preserve">Return </w:t>
      </w:r>
      <w:r>
        <w:rPr>
          <w:i/>
          <w:iCs/>
          <w:szCs w:val="18"/>
        </w:rPr>
        <w:t>CandidateSummaries</w:t>
      </w:r>
    </w:p>
    <w:p>
      <w:pPr>
        <w:pStyle w:val="Normal"/>
        <w:spacing w:before="120" w:after="120"/>
        <w:rPr/>
      </w:pPr>
      <w:r>
        <w:rPr/>
        <w:t xml:space="preserve">Luego en el paso 10 se generan los resúmenes finales </w:t>
      </w:r>
      <w:r>
        <w:rPr>
          <w:i/>
          <w:iCs/>
        </w:rPr>
        <w:t>Summaries</w:t>
      </w:r>
      <w:r>
        <w:rPr/>
        <w:t xml:space="preserve"> a partir de humanizar los resúmenes candidatos </w:t>
      </w:r>
      <w:r>
        <w:rPr>
          <w:i/>
          <w:iCs/>
          <w:szCs w:val="18"/>
        </w:rPr>
        <w:t>humanize_summaries(Candidates, A</w:t>
      </w:r>
      <w:r>
        <w:rPr>
          <w:i/>
          <w:iCs/>
          <w:szCs w:val="18"/>
          <w:vertAlign w:val="subscript"/>
        </w:rPr>
        <w:t>LV</w:t>
      </w:r>
      <w:r>
        <w:rPr>
          <w:i/>
          <w:iCs/>
          <w:szCs w:val="18"/>
        </w:rPr>
        <w:t>, LV</w:t>
      </w:r>
      <w:r>
        <w:rPr>
          <w:i/>
          <w:iCs/>
          <w:szCs w:val="18"/>
          <w:vertAlign w:val="subscript"/>
        </w:rPr>
        <w:t>Q</w:t>
      </w:r>
      <w:r>
        <w:rPr>
          <w:i/>
          <w:iCs/>
          <w:szCs w:val="18"/>
        </w:rPr>
        <w:t xml:space="preserve">, </w:t>
      </w:r>
      <w:r>
        <w:rPr>
          <w:i/>
        </w:rPr>
        <w:t>LNC</w:t>
      </w:r>
      <w:r>
        <w:rPr>
          <w:i/>
          <w:iCs/>
          <w:szCs w:val="18"/>
        </w:rPr>
        <w:t>)</w:t>
      </w:r>
      <w:r>
        <w:rPr>
          <w:iCs/>
          <w:szCs w:val="18"/>
        </w:rPr>
        <w:t xml:space="preserve"> </w:t>
      </w:r>
      <w:r>
        <w:rPr/>
        <w:t xml:space="preserve">usando el </w:t>
      </w:r>
      <w:r>
        <w:rPr/>
        <w:fldChar w:fldCharType="begin"/>
      </w:r>
      <w:r>
        <w:instrText> REF _Ref79149875 \h </w:instrText>
      </w:r>
      <w:r>
        <w:fldChar w:fldCharType="separate"/>
      </w:r>
      <w:r>
        <w:t>Algoritmo 1</w:t>
      </w:r>
      <w:r>
        <w:fldChar w:fldCharType="end"/>
      </w:r>
      <w:r>
        <w:rPr/>
        <w:t xml:space="preserve"> con una complejidad </w:t>
      </w:r>
      <w:r>
        <w:rPr>
          <w:i/>
        </w:rPr>
        <w:t>O(n·m·p</w:t>
      </w:r>
      <w:r>
        <w:rPr>
          <w:i/>
          <w:vertAlign w:val="superscript"/>
        </w:rPr>
        <w:t>2</w:t>
      </w:r>
      <w:r>
        <w:rPr>
          <w:i/>
        </w:rPr>
        <w:t>)</w:t>
      </w:r>
      <w:r>
        <w:rPr/>
        <w:t xml:space="preserve">. </w:t>
      </w:r>
    </w:p>
    <w:p>
      <w:pPr>
        <w:pStyle w:val="Normal"/>
        <w:spacing w:before="120" w:after="120"/>
        <w:rPr>
          <w:rFonts w:eastAsia="MS Gothic" w:cs="Times New Roman"/>
          <w:bCs w:val="false"/>
          <w:i/>
          <w:i/>
          <w:szCs w:val="24"/>
          <w:lang w:val="en-US"/>
        </w:rPr>
      </w:pPr>
      <w:r>
        <w:rPr/>
        <w:t xml:space="preserve">En el paso 11 los resúmenes son ordenados en función de los valores de </w:t>
      </w:r>
      <w:r>
        <w:rPr>
          <w:i/>
        </w:rPr>
        <w:t>T</w:t>
      </w:r>
      <w:r>
        <w:rPr/>
        <w:t xml:space="preserve"> según se especifique y retornados en un ranking. La complejidad computacional de este paso está acotada superiormente por </w:t>
      </w:r>
      <w:r>
        <w:rPr>
          <w:i/>
        </w:rPr>
        <w:t>O(n</w:t>
      </w:r>
      <w:r>
        <w:rPr/>
        <w:t xml:space="preserve"> log </w:t>
      </w:r>
      <w:bookmarkStart w:id="1024" w:name="_Toc58849552"/>
      <w:r>
        <w:rPr>
          <w:i/>
        </w:rPr>
        <w:t>n).</w:t>
      </w:r>
    </w:p>
    <w:p>
      <w:pPr>
        <w:pStyle w:val="Normal"/>
        <w:spacing w:before="120" w:after="120"/>
        <w:rPr>
          <w:i/>
          <w:i/>
        </w:rPr>
      </w:pPr>
      <w:r>
        <w:rPr>
          <w:rFonts w:eastAsia="MS Gothic" w:cs="Times New Roman"/>
          <w:bCs w:val="false"/>
          <w:szCs w:val="24"/>
          <w:lang w:val="en-US"/>
        </w:rPr>
        <w:t>Finalmente, la</w:t>
      </w:r>
      <w:r>
        <w:rPr/>
        <w:t xml:space="preserve"> complejidad computacional del </w:t>
      </w:r>
      <w:r>
        <w:rPr>
          <w:i/>
        </w:rPr>
        <w:t>PCA_LDS</w:t>
      </w:r>
      <w:r>
        <w:rPr>
          <w:rFonts w:eastAsia="MS Gothic"/>
          <w:b/>
          <w:bCs w:val="false"/>
          <w:color w:val="00000A"/>
        </w:rPr>
        <w:t xml:space="preserve"> </w:t>
      </w:r>
      <w:r>
        <w:rPr/>
        <w:t xml:space="preserve">es </w:t>
      </w:r>
      <w:r>
        <w:rPr>
          <w:i/>
        </w:rPr>
        <w:t>O(max(p·2</w:t>
      </w:r>
      <w:r>
        <w:rPr>
          <w:i/>
          <w:vertAlign w:val="superscript"/>
        </w:rPr>
        <w:t>p+1</w:t>
      </w:r>
      <w:r>
        <w:rPr>
          <w:i/>
        </w:rPr>
        <w:t>, n</w:t>
      </w:r>
      <w:r>
        <w:rPr>
          <w:i/>
          <w:vertAlign w:val="superscript"/>
        </w:rPr>
        <w:t>2</w:t>
      </w:r>
      <w:r>
        <w:rPr>
          <w:i/>
        </w:rPr>
        <w:t>·p, n·m·p</w:t>
      </w:r>
      <w:r>
        <w:rPr>
          <w:i/>
          <w:vertAlign w:val="superscript"/>
        </w:rPr>
        <w:t>2</w:t>
      </w:r>
      <w:r>
        <w:rPr>
          <w:i/>
        </w:rPr>
        <w:t xml:space="preserve">)). </w:t>
      </w:r>
    </w:p>
    <w:p>
      <w:pPr>
        <w:pStyle w:val="Normal"/>
        <w:spacing w:before="120" w:after="120"/>
        <w:rPr/>
      </w:pPr>
      <w:r>
        <w:rPr>
          <w:szCs w:val="24"/>
        </w:rPr>
        <w:t>Este algoritmo debe ser aplicado en escenarios con datos continuos, porque está basado en variantes tradicionales del algoritmo PCA. Constituye una línea abierta a la investigación identificar otras técnicas que puedan ser empleadas con formas similares al PCA, pero que permita el trabajo en dominios con datos heterogéneos.</w:t>
      </w:r>
    </w:p>
    <w:p>
      <w:pPr>
        <w:pStyle w:val="Heading2"/>
        <w:numPr>
          <w:ilvl w:val="1"/>
          <w:numId w:val="80"/>
        </w:numPr>
        <w:rPr/>
      </w:pPr>
      <w:bookmarkStart w:id="1025" w:name="_Toc84598932"/>
      <w:r>
        <w:rPr/>
        <w:t xml:space="preserve">Algoritmo </w:t>
      </w:r>
      <w:r>
        <w:rPr>
          <w:i/>
          <w:iCs/>
        </w:rPr>
        <w:t>LPA_LDS</w:t>
      </w:r>
      <w:bookmarkEnd w:id="1024"/>
      <w:bookmarkEnd w:id="1025"/>
      <w:r>
        <w:rPr/>
        <w:t xml:space="preserve"> basado en gráficos probabilísticos</w:t>
      </w:r>
    </w:p>
    <w:p>
      <w:pPr>
        <w:pStyle w:val="Normal"/>
        <w:spacing w:before="120" w:after="120"/>
        <w:rPr/>
      </w:pPr>
      <w:r>
        <w:rPr/>
        <w:t xml:space="preserve">En este algoritmo, el conjunto de datos de entrada es transformado en valores borrosos aplicando el principio de máxima membresía. Luego se aplican técnicas de aprendizaje de grafos probabilísticos </w:t>
      </w:r>
      <w:r>
        <w:fldChar w:fldCharType="begin"/>
      </w:r>
      <w:r>
        <w:instrText>ADDIN ZOTERO_ITEM CSL_CITATION {"citationID":"a1hv0h7tm7k","properties":{"formattedCitation":"(P\\uc0\\u233{}rez Pupo et\\uc0\\u160{}al. 2019)","plainCitation":"(Pérez Pupo et al. 2019)","noteIndex":0},"citationItems":[{"id":"NJclqhNX/B03nIoTG","uris":["http://zotero.org/users/local/rsuvzjK6/items/F9ECER9X"],"uri":["http://zotero.org/users/local/rsuvzjK6/items/F9ECER9X"],"itemData":{"id":3534,"type":"paper-conference","container-title":"XXII Ibero-American Conference on Software Engineering, CIbSE 2019","page":"633–640","publisher":"Springer","title":"Algorithms for linguistic data summarization, help in decision-making in project-oriented organizations","author":[{"family":"Pérez Pupo","given":"Iliana"},{"family":"Santos Acosta","given":"Osvaldo"},{"family":"Bello Pérez","given":"Rafael Esteban"},{"family":"Piñero Pérez","given":"Pedro"}],"issued":{"date-parts":[["2019"]]}}}],"schema":"https://github.com/citation-style-language/schema/raw/master/csl-citation.json"}</w:instrText>
      </w:r>
      <w:r>
        <w:fldChar w:fldCharType="separate"/>
      </w:r>
      <w:bookmarkStart w:id="1026" w:name="__Fieldmark__7733_2067855929"/>
      <w:r>
        <w:rPr/>
      </w:r>
      <w:r>
        <w:rPr>
          <w:szCs w:val="24"/>
        </w:rPr>
        <w:t>(</w:t>
      </w:r>
      <w:bookmarkStart w:id="1027" w:name="__Fieldmark__6652_498839314"/>
      <w:r>
        <w:rPr>
          <w:szCs w:val="24"/>
        </w:rPr>
        <w:t>P</w:t>
      </w:r>
      <w:bookmarkStart w:id="1028" w:name="__Fieldmark__5888_998588997"/>
      <w:r>
        <w:rPr>
          <w:szCs w:val="24"/>
        </w:rPr>
        <w:t>é</w:t>
      </w:r>
      <w:bookmarkStart w:id="1029" w:name="__Fieldmark__9347_118561941"/>
      <w:r>
        <w:rPr>
          <w:szCs w:val="24"/>
        </w:rPr>
        <w:t>rez Pupo et al. 2019)</w:t>
      </w:r>
      <w:r>
        <w:rPr/>
      </w:r>
      <w:r>
        <w:fldChar w:fldCharType="end"/>
      </w:r>
      <w:bookmarkEnd w:id="1026"/>
      <w:bookmarkEnd w:id="1027"/>
      <w:bookmarkEnd w:id="1028"/>
      <w:bookmarkEnd w:id="1029"/>
      <w:r>
        <w:rPr>
          <w:rFonts w:cs="Times New Roman"/>
        </w:rPr>
        <w:t xml:space="preserve"> </w:t>
      </w:r>
      <w:r>
        <w:fldChar w:fldCharType="begin"/>
      </w:r>
      <w:r>
        <w:instrText>ADDIN ZOTERO_ITEM CSL_CITATION {"citationID":"a1eotn1ug9","properties":{"formattedCitation":"(Chow y Liu 1968)","plainCitation":"(Chow y Liu 1968)","noteIndex":0},"citationItems":[{"id":"NJclqhNX/rmLMwiNb","uris":["http://zotero.org/users/local/EJ15hJE2/items/U9ZAJALV"],"uri":["http://zotero.org/users/local/EJ15hJE2/items/U9ZAJALV"],"itemData":{"id":437,"type":"article-journal","abstract":"A method is presented to approximate optimally ann-dimensional discrete probability distribution by a product of second-order distributions, or the distribution of the first-order tree dependence. The problem is to find an optimum set ofn - 1first order dependence relationship among thenvariables. It is shown that the procedure derived in this paper yields an approximation of a minimum difference in information. It is further shown that when this procedure is applied to empirical observations from an unknown distribution of tree dependence, the procedure is the maximum-likelihood estimate of the distribution.","container-title":"IEEE Transactions on Information Theory","DOI":"10.1109/TIT.1968.1054142","ISSN":"1557-9654","issue":"3","page":"462-467","source":"IEEE Xplore","title":"Approximating discrete probability distributions with dependence trees","volume":"14","author":[{"family":"Chow","given":"C."},{"family":"Liu","given":"C."}],"issued":{"date-parts":[["1968",5]]}}}],"schema":"https://github.com/citation-style-language/schema/raw/master/csl-citation.json"}</w:instrText>
      </w:r>
      <w:r>
        <w:fldChar w:fldCharType="separate"/>
      </w:r>
      <w:bookmarkStart w:id="1030" w:name="__Fieldmark__7748_2067855929"/>
      <w:r>
        <w:rPr>
          <w:rFonts w:cs="Times New Roman"/>
        </w:rPr>
        <w:t>(</w:t>
      </w:r>
      <w:bookmarkStart w:id="1031" w:name="__Fieldmark__6663_498839314"/>
      <w:r>
        <w:rPr>
          <w:rFonts w:cs="Times New Roman"/>
        </w:rPr>
        <w:t>C</w:t>
      </w:r>
      <w:bookmarkStart w:id="1032" w:name="__Fieldmark__5895_998588997"/>
      <w:r>
        <w:rPr>
          <w:rFonts w:cs="Times New Roman"/>
        </w:rPr>
        <w:t>h</w:t>
      </w:r>
      <w:bookmarkStart w:id="1033" w:name="__Fieldmark__9352_118561941"/>
      <w:r>
        <w:rPr>
          <w:rFonts w:cs="Times New Roman"/>
        </w:rPr>
        <w:t>ow y Liu 1968)</w:t>
      </w:r>
      <w:r>
        <w:rPr>
          <w:rFonts w:cs="Times New Roman"/>
        </w:rPr>
      </w:r>
      <w:r>
        <w:fldChar w:fldCharType="end"/>
      </w:r>
      <w:bookmarkEnd w:id="1030"/>
      <w:bookmarkEnd w:id="1031"/>
      <w:bookmarkEnd w:id="1032"/>
      <w:bookmarkEnd w:id="1033"/>
      <w:r>
        <w:rPr>
          <w:rFonts w:cs="Times New Roman"/>
        </w:rPr>
        <w:t xml:space="preserve"> </w:t>
      </w:r>
      <w:r>
        <w:rPr/>
        <w:t xml:space="preserve">que posibilitan el descubrimiento de relaciones entre variables. A partir del aprendizaje de los grafos, </w:t>
      </w:r>
      <w:bookmarkStart w:id="1034" w:name="_Hlk71019633"/>
      <w:r>
        <w:rPr/>
        <w:t xml:space="preserve">se genera un conjunto de árboles </w:t>
      </w:r>
      <w:bookmarkEnd w:id="1034"/>
      <w:r>
        <w:rPr/>
        <w:t xml:space="preserve">que son empleados para la construcción de resúmenes candidatos. Luego, los resúmenes lingüísticos candidatos </w:t>
      </w:r>
      <w:bookmarkStart w:id="1035" w:name="_Hlk79766165"/>
      <w:r>
        <w:rPr/>
        <w:t xml:space="preserve">son humanizados permitiendo la generación de los resúmenes lingüísticos con un enfoque multilingüe, </w:t>
      </w:r>
      <w:bookmarkEnd w:id="1035"/>
      <w:r>
        <w:rPr/>
        <w:t xml:space="preserve">ver </w:t>
      </w:r>
      <w:r>
        <w:rPr/>
        <w:fldChar w:fldCharType="begin"/>
      </w:r>
      <w:r>
        <w:instrText> REF _Ref67192071 \h </w:instrText>
      </w:r>
      <w:r>
        <w:fldChar w:fldCharType="separate"/>
      </w:r>
      <w:r>
        <w:t>Algoritmo 4</w:t>
      </w:r>
      <w:r>
        <w:fldChar w:fldCharType="end"/>
      </w:r>
      <w:r>
        <w:rPr/>
        <w:t>.</w:t>
      </w:r>
    </w:p>
    <w:p>
      <w:pPr>
        <w:pStyle w:val="Normal"/>
        <w:spacing w:lineRule="auto" w:line="432" w:before="120" w:after="40"/>
        <w:rPr/>
      </w:pPr>
      <w:bookmarkStart w:id="1036" w:name="_Ref67192071"/>
      <w:r>
        <w:rPr>
          <w:i/>
          <w:iCs/>
          <w:szCs w:val="18"/>
        </w:rPr>
        <w:t xml:space="preserve">Algoritmo </w:t>
      </w:r>
      <w:r>
        <w:rPr>
          <w:i/>
          <w:iCs/>
          <w:szCs w:val="18"/>
        </w:rPr>
        <w:fldChar w:fldCharType="begin"/>
      </w:r>
      <w:r>
        <w:instrText> SEQ Algoritmo \* ARABIC </w:instrText>
      </w:r>
      <w:r>
        <w:fldChar w:fldCharType="separate"/>
      </w:r>
      <w:r>
        <w:t>4</w:t>
      </w:r>
      <w:r>
        <w:fldChar w:fldCharType="end"/>
      </w:r>
      <w:bookmarkEnd w:id="1036"/>
      <w:r>
        <w:rPr>
          <w:i/>
          <w:iCs/>
          <w:szCs w:val="18"/>
        </w:rPr>
        <w:t xml:space="preserve"> LPA_LDS</w:t>
      </w:r>
    </w:p>
    <w:p>
      <w:pPr>
        <w:pStyle w:val="Normal"/>
        <w:spacing w:lineRule="auto" w:line="432" w:before="60" w:after="60"/>
        <w:ind w:left="550" w:hanging="360"/>
        <w:rPr>
          <w:rFonts w:eastAsia="MS Gothic"/>
          <w:i/>
          <w:i/>
          <w:iCs/>
          <w:szCs w:val="18"/>
        </w:rPr>
      </w:pPr>
      <w:r>
        <w:rPr>
          <w:rFonts w:eastAsia="MS Gothic"/>
          <w:i/>
          <w:iCs/>
          <w:szCs w:val="18"/>
        </w:rPr>
        <w:t>Entradas</w:t>
      </w:r>
    </w:p>
    <w:p>
      <w:pPr>
        <w:pStyle w:val="Normal"/>
        <w:spacing w:before="60" w:after="60"/>
        <w:ind w:left="993" w:hanging="567"/>
        <w:rPr>
          <w:i/>
          <w:i/>
          <w:iCs/>
        </w:rPr>
      </w:pPr>
      <w:r>
        <w:rPr>
          <w:i/>
          <w:iCs/>
        </w:rPr>
        <w:t>U, A</w:t>
      </w:r>
      <w:r>
        <w:rPr>
          <w:i/>
          <w:iCs/>
          <w:vertAlign w:val="subscript"/>
        </w:rPr>
        <w:t>LV</w:t>
      </w:r>
      <w:r>
        <w:rPr>
          <w:i/>
          <w:iCs/>
        </w:rPr>
        <w:t>,</w:t>
      </w:r>
      <w:r>
        <w:rPr>
          <w:i/>
          <w:iCs/>
          <w:vertAlign w:val="subscript"/>
        </w:rPr>
        <w:t xml:space="preserve"> </w:t>
      </w:r>
      <w:r>
        <w:rPr>
          <w:i/>
          <w:iCs/>
        </w:rPr>
        <w:t>LV</w:t>
      </w:r>
      <w:r>
        <w:rPr>
          <w:i/>
          <w:iCs/>
          <w:vertAlign w:val="subscript"/>
        </w:rPr>
        <w:t>Q</w:t>
      </w:r>
      <w:r>
        <w:rPr>
          <w:i/>
          <w:iCs/>
        </w:rPr>
        <w:t xml:space="preserve">, T, LNC, </w:t>
      </w:r>
      <w:r>
        <w:rPr>
          <w:rFonts w:eastAsia="Symbol" w:cs="Symbol" w:ascii="Symbol" w:hAnsi="Symbol"/>
          <w:i/>
          <w:iCs/>
        </w:rPr>
        <w:t></w:t>
      </w:r>
      <w:r>
        <w:rPr>
          <w:i/>
          <w:iCs/>
        </w:rPr>
        <w:t xml:space="preserve"> : parámetros definidos en la </w:t>
      </w:r>
      <w:r>
        <w:rPr>
          <w:i/>
        </w:rPr>
        <w:t>sección 2.1 sobre notaciones</w:t>
      </w:r>
      <w:r>
        <w:rPr>
          <w:i/>
          <w:iCs/>
        </w:rPr>
        <w:t>.</w:t>
      </w:r>
    </w:p>
    <w:p>
      <w:pPr>
        <w:pStyle w:val="Normal"/>
        <w:spacing w:before="113" w:after="57"/>
        <w:ind w:left="220" w:hanging="0"/>
        <w:rPr>
          <w:rFonts w:eastAsia="MS Gothic"/>
          <w:i/>
          <w:i/>
          <w:iCs/>
          <w:sz w:val="20"/>
          <w:szCs w:val="18"/>
        </w:rPr>
      </w:pPr>
      <w:r>
        <w:rPr>
          <w:rFonts w:eastAsia="MS Gothic"/>
          <w:i/>
          <w:iCs/>
          <w:szCs w:val="18"/>
        </w:rPr>
        <w:t>Inicio</w:t>
      </w:r>
      <w:r>
        <w:rPr>
          <w:rFonts w:eastAsia="MS Gothic"/>
          <w:i/>
          <w:iCs/>
          <w:sz w:val="20"/>
          <w:szCs w:val="18"/>
        </w:rPr>
        <w:t>:</w:t>
      </w:r>
    </w:p>
    <w:p>
      <w:pPr>
        <w:pStyle w:val="Normal"/>
        <w:numPr>
          <w:ilvl w:val="0"/>
          <w:numId w:val="7"/>
        </w:numPr>
        <w:spacing w:before="120" w:after="120"/>
        <w:rPr>
          <w:rFonts w:eastAsia="MS Gothic"/>
          <w:iCs/>
        </w:rPr>
      </w:pPr>
      <w:r>
        <w:rPr>
          <w:rFonts w:eastAsia="MS Gothic"/>
          <w:i/>
          <w:iCs/>
        </w:rPr>
        <w:t>Candidates</w:t>
      </w:r>
      <w:r>
        <w:rPr>
          <w:rFonts w:eastAsia="MS Gothic"/>
          <w:iCs/>
        </w:rPr>
        <w:t xml:space="preserve"> = </w:t>
      </w:r>
      <w:r>
        <w:rPr>
          <w:rFonts w:eastAsia="Symbol" w:cs="Symbol" w:ascii="Symbol" w:hAnsi="Symbol"/>
          <w:iCs/>
        </w:rPr>
        <w:t></w:t>
      </w:r>
    </w:p>
    <w:p>
      <w:pPr>
        <w:pStyle w:val="Normal"/>
        <w:numPr>
          <w:ilvl w:val="0"/>
          <w:numId w:val="7"/>
        </w:numPr>
        <w:spacing w:before="120" w:after="120"/>
        <w:ind w:left="1418" w:hanging="1058"/>
        <w:rPr>
          <w:rFonts w:eastAsia="MS Gothic"/>
          <w:iCs/>
        </w:rPr>
      </w:pPr>
      <w:r>
        <w:rPr>
          <w:i/>
          <w:iCs/>
          <w:szCs w:val="18"/>
        </w:rPr>
        <w:t>U</w:t>
      </w:r>
      <w:r>
        <w:rPr>
          <w:i/>
          <w:iCs/>
          <w:szCs w:val="18"/>
          <w:vertAlign w:val="subscript"/>
        </w:rPr>
        <w:t>B</w:t>
      </w:r>
      <w:r>
        <w:rPr>
          <w:i/>
          <w:iCs/>
          <w:szCs w:val="18"/>
        </w:rPr>
        <w:t xml:space="preserve"> = transform_fuzzy(U, A</w:t>
      </w:r>
      <w:r>
        <w:rPr>
          <w:i/>
          <w:iCs/>
          <w:szCs w:val="18"/>
          <w:vertAlign w:val="subscript"/>
        </w:rPr>
        <w:t>LV</w:t>
      </w:r>
      <w:r>
        <w:rPr>
          <w:i/>
          <w:iCs/>
          <w:szCs w:val="18"/>
        </w:rPr>
        <w:t>)</w:t>
      </w:r>
      <w:r>
        <w:rPr>
          <w:iCs/>
          <w:szCs w:val="18"/>
        </w:rPr>
        <w:t xml:space="preserve"> </w:t>
      </w:r>
    </w:p>
    <w:p>
      <w:pPr>
        <w:pStyle w:val="Normal"/>
        <w:numPr>
          <w:ilvl w:val="0"/>
          <w:numId w:val="7"/>
        </w:numPr>
        <w:spacing w:before="120" w:after="120"/>
        <w:rPr>
          <w:i/>
          <w:i/>
          <w:iCs/>
          <w:lang w:val="en-US"/>
        </w:rPr>
      </w:pPr>
      <w:r>
        <w:rPr>
          <w:i/>
          <w:iCs/>
          <w:lang w:val="en-US"/>
        </w:rPr>
        <w:t>prob_graph = do_probabilistic_graph(U</w:t>
      </w:r>
      <w:r>
        <w:rPr>
          <w:i/>
          <w:iCs/>
          <w:vertAlign w:val="subscript"/>
          <w:lang w:val="en-US"/>
        </w:rPr>
        <w:t>B</w:t>
      </w:r>
      <w:r>
        <w:rPr>
          <w:i/>
          <w:iCs/>
          <w:lang w:val="en-US"/>
        </w:rPr>
        <w:t xml:space="preserve">) </w:t>
      </w:r>
    </w:p>
    <w:p>
      <w:pPr>
        <w:pStyle w:val="Normal"/>
        <w:numPr>
          <w:ilvl w:val="0"/>
          <w:numId w:val="7"/>
        </w:numPr>
        <w:spacing w:before="120" w:after="120"/>
        <w:rPr>
          <w:i/>
          <w:i/>
        </w:rPr>
      </w:pPr>
      <w:r>
        <w:rPr>
          <w:i/>
        </w:rPr>
        <w:t>Por cada uno de los prob_graph</w:t>
      </w:r>
      <w:r>
        <w:rPr>
          <w:i/>
          <w:vertAlign w:val="subscript"/>
        </w:rPr>
        <w:t xml:space="preserve"> i </w:t>
      </w:r>
      <w:r>
        <w:rPr>
          <w:i/>
        </w:rPr>
        <w:t>árboles en prob_graph hacer</w:t>
      </w:r>
    </w:p>
    <w:p>
      <w:pPr>
        <w:pStyle w:val="Normal"/>
        <w:numPr>
          <w:ilvl w:val="0"/>
          <w:numId w:val="46"/>
        </w:numPr>
        <w:spacing w:before="120" w:after="120"/>
        <w:rPr>
          <w:i/>
          <w:i/>
        </w:rPr>
      </w:pPr>
      <w:r>
        <w:rPr>
          <w:i/>
        </w:rPr>
        <w:t xml:space="preserve">  </w:t>
      </w:r>
      <w:r>
        <w:rPr>
          <w:i/>
        </w:rPr>
        <w:t>Si prob_graph</w:t>
      </w:r>
      <w:r>
        <w:rPr>
          <w:i/>
          <w:vertAlign w:val="subscript"/>
        </w:rPr>
        <w:t xml:space="preserve"> i </w:t>
      </w:r>
      <w:r>
        <w:rPr>
          <w:i/>
        </w:rPr>
        <w:t xml:space="preserve">tiene más de un vértice </w:t>
      </w:r>
    </w:p>
    <w:p>
      <w:pPr>
        <w:pStyle w:val="Normal"/>
        <w:numPr>
          <w:ilvl w:val="0"/>
          <w:numId w:val="46"/>
        </w:numPr>
        <w:spacing w:before="120" w:after="120"/>
        <w:rPr>
          <w:i/>
          <w:i/>
          <w:iCs/>
          <w:lang w:val="en-US"/>
        </w:rPr>
      </w:pPr>
      <w:r>
        <w:rPr>
          <w:rFonts w:eastAsia="MS Gothic"/>
          <w:i/>
          <w:iCs/>
        </w:rPr>
        <w:t xml:space="preserve">     </w:t>
      </w:r>
      <w:r>
        <w:rPr>
          <w:rFonts w:eastAsia="MS Gothic"/>
          <w:i/>
          <w:iCs/>
          <w:lang w:val="en-US"/>
        </w:rPr>
        <w:t>candidate_summaries</w:t>
      </w:r>
      <w:r>
        <w:rPr>
          <w:rFonts w:eastAsia="MS Gothic"/>
          <w:i/>
          <w:iCs/>
          <w:vertAlign w:val="subscript"/>
          <w:lang w:val="en-US"/>
        </w:rPr>
        <w:t>i</w:t>
      </w:r>
      <w:r>
        <w:rPr>
          <w:i/>
          <w:iCs/>
          <w:lang w:val="en-US"/>
        </w:rPr>
        <w:t xml:space="preserve"> = do_candidate_from_branchs (prob_graph</w:t>
      </w:r>
      <w:r>
        <w:rPr>
          <w:i/>
          <w:iCs/>
          <w:vertAlign w:val="subscript"/>
          <w:lang w:val="en-US"/>
        </w:rPr>
        <w:t xml:space="preserve"> i</w:t>
      </w:r>
      <w:r>
        <w:rPr>
          <w:i/>
          <w:iCs/>
          <w:lang w:val="en-US"/>
        </w:rPr>
        <w:t xml:space="preserve">) </w:t>
      </w:r>
    </w:p>
    <w:p>
      <w:pPr>
        <w:pStyle w:val="Normal"/>
        <w:numPr>
          <w:ilvl w:val="0"/>
          <w:numId w:val="46"/>
        </w:numPr>
        <w:spacing w:before="120" w:after="120"/>
        <w:rPr>
          <w:iCs/>
        </w:rPr>
      </w:pPr>
      <w:r>
        <w:rPr>
          <w:i/>
          <w:iCs/>
          <w:lang w:val="en-US"/>
        </w:rPr>
        <w:t xml:space="preserve">     </w:t>
      </w:r>
      <w:r>
        <w:rPr>
          <w:rFonts w:eastAsia="MS Gothic"/>
          <w:i/>
          <w:iCs/>
        </w:rPr>
        <w:t xml:space="preserve">Candidates </w:t>
      </w:r>
      <w:r>
        <w:rPr>
          <w:rFonts w:eastAsia="Symbol" w:cs="Symbol" w:ascii="Symbol" w:hAnsi="Symbol"/>
          <w:i/>
          <w:iCs/>
        </w:rPr>
        <w:t></w:t>
      </w:r>
      <w:r>
        <w:rPr>
          <w:i/>
          <w:iCs/>
        </w:rPr>
        <w:t xml:space="preserve"> </w:t>
      </w:r>
      <w:r>
        <w:rPr>
          <w:rFonts w:eastAsia="MS Gothic"/>
          <w:i/>
          <w:iCs/>
        </w:rPr>
        <w:t>candidate_summaries</w:t>
      </w:r>
      <w:r>
        <w:rPr>
          <w:rFonts w:eastAsia="MS Gothic"/>
          <w:i/>
          <w:iCs/>
          <w:vertAlign w:val="subscript"/>
        </w:rPr>
        <w:t>i</w:t>
      </w:r>
      <w:r>
        <w:rPr>
          <w:i/>
          <w:iCs/>
        </w:rPr>
        <w:t xml:space="preserve"> </w:t>
      </w:r>
    </w:p>
    <w:p>
      <w:pPr>
        <w:pStyle w:val="Normal"/>
        <w:spacing w:before="120" w:after="120"/>
        <w:ind w:left="1701" w:hanging="0"/>
        <w:rPr>
          <w:i/>
          <w:i/>
        </w:rPr>
      </w:pPr>
      <w:r>
        <w:rPr>
          <w:i/>
        </w:rPr>
        <w:t>Fin de la condicional iniciada en paso 4.1</w:t>
      </w:r>
    </w:p>
    <w:p>
      <w:pPr>
        <w:pStyle w:val="Normal"/>
        <w:spacing w:before="120" w:after="120"/>
        <w:ind w:left="1134" w:hanging="0"/>
        <w:rPr>
          <w:i/>
          <w:i/>
        </w:rPr>
      </w:pPr>
      <w:r>
        <w:rPr>
          <w:i/>
        </w:rPr>
        <w:t xml:space="preserve">    </w:t>
      </w:r>
      <w:r>
        <w:rPr>
          <w:i/>
        </w:rPr>
        <w:t>Fin del ciclo iniciado en el paso 4</w:t>
      </w:r>
    </w:p>
    <w:p>
      <w:pPr>
        <w:pStyle w:val="Normal"/>
        <w:numPr>
          <w:ilvl w:val="0"/>
          <w:numId w:val="7"/>
        </w:numPr>
        <w:spacing w:lineRule="auto" w:line="288" w:before="120" w:after="120"/>
        <w:rPr>
          <w:i/>
          <w:i/>
          <w:iCs/>
          <w:szCs w:val="18"/>
          <w:lang w:val="en-US"/>
        </w:rPr>
      </w:pPr>
      <w:r>
        <w:rPr>
          <w:i/>
          <w:iCs/>
          <w:szCs w:val="18"/>
          <w:lang w:val="en-US"/>
        </w:rPr>
        <w:t>CandidateSummaries</w:t>
      </w:r>
      <w:r>
        <w:rPr>
          <w:i/>
          <w:iCs/>
          <w:lang w:val="en-US"/>
        </w:rPr>
        <w:t xml:space="preserve"> =</w:t>
      </w:r>
      <w:r>
        <w:rPr>
          <w:iCs/>
          <w:lang w:val="en-US"/>
        </w:rPr>
        <w:t xml:space="preserve"> </w:t>
      </w:r>
      <w:r>
        <w:rPr>
          <w:i/>
          <w:iCs/>
          <w:lang w:val="en-US"/>
        </w:rPr>
        <w:t xml:space="preserve">generate_summaries(U, </w:t>
      </w:r>
      <w:r>
        <w:rPr>
          <w:rFonts w:eastAsia="MS Gothic"/>
          <w:i/>
          <w:iCs/>
          <w:lang w:val="en-US"/>
        </w:rPr>
        <w:t>Candidates</w:t>
      </w:r>
      <w:r>
        <w:rPr>
          <w:i/>
          <w:iCs/>
          <w:lang w:val="en-US"/>
        </w:rPr>
        <w:t>, A</w:t>
      </w:r>
      <w:r>
        <w:rPr>
          <w:i/>
          <w:iCs/>
          <w:vertAlign w:val="subscript"/>
          <w:lang w:val="en-US"/>
        </w:rPr>
        <w:t>LV</w:t>
      </w:r>
      <w:r>
        <w:rPr>
          <w:i/>
          <w:iCs/>
          <w:lang w:val="en-US"/>
        </w:rPr>
        <w:t xml:space="preserve">, </w:t>
      </w:r>
      <w:r>
        <w:rPr>
          <w:i/>
          <w:iCs/>
          <w:szCs w:val="18"/>
        </w:rPr>
        <w:t>LV</w:t>
      </w:r>
      <w:r>
        <w:rPr>
          <w:i/>
          <w:iCs/>
          <w:szCs w:val="18"/>
          <w:vertAlign w:val="subscript"/>
        </w:rPr>
        <w:t>Q</w:t>
      </w:r>
      <w:r>
        <w:rPr>
          <w:i/>
          <w:iCs/>
          <w:lang w:val="en-US"/>
        </w:rPr>
        <w:t>, T</w:t>
      </w:r>
      <w:r>
        <w:rPr>
          <w:iCs/>
          <w:lang w:val="en-US"/>
        </w:rPr>
        <w:t xml:space="preserve">) </w:t>
      </w:r>
    </w:p>
    <w:p>
      <w:pPr>
        <w:pStyle w:val="Normal"/>
        <w:numPr>
          <w:ilvl w:val="0"/>
          <w:numId w:val="7"/>
        </w:numPr>
        <w:spacing w:lineRule="auto" w:line="288" w:before="120" w:after="120"/>
        <w:rPr>
          <w:i/>
          <w:i/>
          <w:iCs/>
          <w:szCs w:val="18"/>
        </w:rPr>
      </w:pPr>
      <w:r>
        <w:rPr>
          <w:i/>
          <w:iCs/>
          <w:szCs w:val="18"/>
        </w:rPr>
        <w:t>calculate_quantifiers(CandidateSummaries, LV</w:t>
      </w:r>
      <w:r>
        <w:rPr>
          <w:i/>
          <w:iCs/>
          <w:szCs w:val="18"/>
          <w:vertAlign w:val="subscript"/>
        </w:rPr>
        <w:t>Q</w:t>
      </w:r>
      <w:r>
        <w:rPr>
          <w:i/>
          <w:iCs/>
          <w:szCs w:val="18"/>
        </w:rPr>
        <w:t>)</w:t>
      </w:r>
    </w:p>
    <w:p>
      <w:pPr>
        <w:pStyle w:val="Normal"/>
        <w:numPr>
          <w:ilvl w:val="0"/>
          <w:numId w:val="7"/>
        </w:numPr>
        <w:spacing w:lineRule="auto" w:line="288" w:before="120" w:after="120"/>
        <w:rPr>
          <w:i/>
          <w:i/>
          <w:iCs/>
          <w:szCs w:val="18"/>
        </w:rPr>
      </w:pPr>
      <w:r>
        <w:rPr>
          <w:i/>
          <w:iCs/>
          <w:szCs w:val="18"/>
        </w:rPr>
        <w:t xml:space="preserve">calculate_T(CandidateSummaries, </w:t>
      </w:r>
      <w:r>
        <w:rPr>
          <w:rFonts w:eastAsia="Symbol" w:cs="Symbol" w:ascii="Symbol" w:hAnsi="Symbol"/>
          <w:i/>
          <w:iCs/>
          <w:szCs w:val="18"/>
        </w:rPr>
        <w:t></w:t>
      </w:r>
      <w:r>
        <w:rPr>
          <w:i/>
          <w:iCs/>
          <w:szCs w:val="18"/>
        </w:rPr>
        <w:t>)</w:t>
      </w:r>
    </w:p>
    <w:p>
      <w:pPr>
        <w:pStyle w:val="Normal"/>
        <w:numPr>
          <w:ilvl w:val="0"/>
          <w:numId w:val="7"/>
        </w:numPr>
        <w:spacing w:lineRule="auto" w:line="288" w:before="120" w:after="120"/>
        <w:ind w:left="1418" w:hanging="1058"/>
        <w:rPr>
          <w:i/>
          <w:i/>
          <w:iCs/>
          <w:szCs w:val="18"/>
          <w:lang w:val="en-US"/>
        </w:rPr>
      </w:pPr>
      <w:r>
        <w:rPr>
          <w:i/>
          <w:iCs/>
          <w:szCs w:val="18"/>
          <w:lang w:val="en-US"/>
        </w:rPr>
        <w:t>Summaries = humanize_summaries(CandidateSummaries, A</w:t>
      </w:r>
      <w:r>
        <w:rPr>
          <w:i/>
          <w:iCs/>
          <w:szCs w:val="18"/>
          <w:vertAlign w:val="subscript"/>
          <w:lang w:val="en-US"/>
        </w:rPr>
        <w:t>LV</w:t>
      </w:r>
      <w:r>
        <w:rPr>
          <w:i/>
          <w:iCs/>
          <w:szCs w:val="18"/>
          <w:lang w:val="en-US"/>
        </w:rPr>
        <w:t>, LV</w:t>
      </w:r>
      <w:r>
        <w:rPr>
          <w:i/>
          <w:iCs/>
          <w:szCs w:val="18"/>
          <w:vertAlign w:val="subscript"/>
          <w:lang w:val="en-US"/>
        </w:rPr>
        <w:t>Q</w:t>
      </w:r>
      <w:r>
        <w:rPr>
          <w:i/>
          <w:lang w:val="en-US"/>
        </w:rPr>
        <w:t>, LNC</w:t>
      </w:r>
      <w:r>
        <w:rPr>
          <w:i/>
          <w:iCs/>
          <w:szCs w:val="18"/>
          <w:lang w:val="en-US"/>
        </w:rPr>
        <w:t xml:space="preserve">) </w:t>
      </w:r>
    </w:p>
    <w:p>
      <w:pPr>
        <w:pStyle w:val="Normal"/>
        <w:numPr>
          <w:ilvl w:val="0"/>
          <w:numId w:val="7"/>
        </w:numPr>
        <w:spacing w:lineRule="auto" w:line="288" w:before="120" w:after="120"/>
        <w:ind w:left="1418" w:hanging="1058"/>
        <w:rPr>
          <w:iCs/>
          <w:szCs w:val="18"/>
          <w:lang w:val="en-US"/>
        </w:rPr>
      </w:pPr>
      <w:r>
        <w:rPr>
          <w:i/>
          <w:szCs w:val="18"/>
          <w:lang w:val="en-US"/>
        </w:rPr>
        <w:t>ranking_summaries</w:t>
      </w:r>
      <w:r>
        <w:rPr>
          <w:iCs/>
          <w:szCs w:val="18"/>
          <w:lang w:val="en-US"/>
        </w:rPr>
        <w:t xml:space="preserve"> = </w:t>
      </w:r>
      <w:r>
        <w:rPr>
          <w:i/>
          <w:szCs w:val="18"/>
          <w:lang w:val="en-US"/>
        </w:rPr>
        <w:t>sort_</w:t>
      </w:r>
      <w:r>
        <w:rPr>
          <w:i/>
          <w:iCs/>
          <w:szCs w:val="18"/>
          <w:lang w:val="en-US"/>
        </w:rPr>
        <w:t>summaries(Summaries)</w:t>
      </w:r>
      <w:r>
        <w:rPr>
          <w:iCs/>
          <w:szCs w:val="18"/>
          <w:lang w:val="en-US"/>
        </w:rPr>
        <w:t xml:space="preserve"> </w:t>
      </w:r>
    </w:p>
    <w:p>
      <w:pPr>
        <w:pStyle w:val="Normal"/>
        <w:numPr>
          <w:ilvl w:val="0"/>
          <w:numId w:val="7"/>
        </w:numPr>
        <w:spacing w:lineRule="auto" w:line="288" w:before="120" w:after="120"/>
        <w:rPr>
          <w:iCs/>
        </w:rPr>
      </w:pPr>
      <w:r>
        <w:rPr>
          <w:i/>
          <w:szCs w:val="18"/>
        </w:rPr>
        <w:t>Return</w:t>
      </w:r>
      <w:r>
        <w:rPr>
          <w:iCs/>
          <w:szCs w:val="18"/>
        </w:rPr>
        <w:t xml:space="preserve"> </w:t>
      </w:r>
      <w:r>
        <w:rPr>
          <w:i/>
          <w:szCs w:val="18"/>
        </w:rPr>
        <w:t>ranking_</w:t>
      </w:r>
      <w:r>
        <w:rPr>
          <w:i/>
          <w:iCs/>
          <w:szCs w:val="18"/>
        </w:rPr>
        <w:t>summaries</w:t>
      </w:r>
    </w:p>
    <w:p>
      <w:pPr>
        <w:pStyle w:val="Normal"/>
        <w:rPr/>
      </w:pPr>
      <w:r>
        <w:rPr/>
        <w:t xml:space="preserve">En esencia, el algoritmo en el paso 2 transforma los datos de entrada empleando variables lingüísticas </w:t>
      </w:r>
      <w:r>
        <w:rPr>
          <w:i/>
        </w:rPr>
        <w:t>A</w:t>
      </w:r>
      <w:r>
        <w:rPr>
          <w:i/>
          <w:vertAlign w:val="subscript"/>
        </w:rPr>
        <w:t>LV</w:t>
      </w:r>
      <w:r>
        <w:rPr>
          <w:i/>
        </w:rPr>
        <w:t xml:space="preserve">, </w:t>
      </w:r>
      <w:r>
        <w:rPr/>
        <w:t xml:space="preserve">de forma similar a como se hizo en el paso 3 del </w:t>
      </w:r>
      <w:r>
        <w:rPr/>
        <w:fldChar w:fldCharType="begin"/>
      </w:r>
      <w:r>
        <w:instrText> REF _Ref67268662 \h </w:instrText>
      </w:r>
      <w:r>
        <w:fldChar w:fldCharType="separate"/>
      </w:r>
      <w:r>
        <w:t>Algoritmo 2</w:t>
      </w:r>
      <w:r>
        <w:fldChar w:fldCharType="end"/>
      </w:r>
      <w:r>
        <w:rPr/>
        <w:t xml:space="preserve">, cuya complejidad es </w:t>
      </w:r>
      <w:r>
        <w:rPr>
          <w:i/>
        </w:rPr>
        <w:t>O(p·n·q)</w:t>
      </w:r>
      <w:r>
        <w:rPr/>
        <w:t>.</w:t>
      </w:r>
    </w:p>
    <w:p>
      <w:pPr>
        <w:pStyle w:val="Normal"/>
        <w:spacing w:before="120" w:after="120"/>
        <w:rPr/>
      </w:pPr>
      <w:r>
        <w:rPr/>
        <w:t xml:space="preserve">Luego en el paso 3, al conjunto de datos transformados se le aplica un algoritmo para el aprendizaje del modelo probabilístico </w:t>
      </w:r>
      <w:r>
        <w:fldChar w:fldCharType="begin"/>
      </w:r>
      <w:r>
        <w:instrText>ADDIN ZOTERO_ITEM CSL_CITATION {"citationID":"a1ci90p979g","properties":{"formattedCitation":"(Soto 2003)","plainCitation":"(Soto 2003)","noteIndex":0},"citationItems":[{"id":"NJclqhNX/xzCfhuHa","uris":["http://zotero.org/users/local/rsuvzjK6/items/K9TL5QNH"],"uri":["http://zotero.org/users/local/rsuvzjK6/items/K9TL5QNH"],"itemData":{"id":3477,"type":"thesis","event-place":"Universidad de La Habana, Cuba","genre":"Doctorado","number-of-pages":"100","publisher":"Instituto de Cibernética, Matemática y Física. Departamento Matemática Interdisciplinaria","publisher-place":"Universidad de La Habana, Cuba","title":"A single connected factorized distribution algorithm and its cost of evaluation","author":[{"family":"Soto","given":"Marta"}],"issued":{"date-parts":[["2003"]]}}}],"schema":"https://github.com/citation-style-language/schema/raw/master/csl-citation.json"}</w:instrText>
      </w:r>
      <w:r>
        <w:fldChar w:fldCharType="separate"/>
      </w:r>
      <w:bookmarkStart w:id="1037" w:name="__Fieldmark__7880_2067855929"/>
      <w:r>
        <w:rPr/>
        <w:t>(</w:t>
      </w:r>
      <w:bookmarkStart w:id="1038" w:name="__Fieldmark__6788_498839314"/>
      <w:r>
        <w:rPr/>
        <w:t>S</w:t>
      </w:r>
      <w:bookmarkStart w:id="1039" w:name="__Fieldmark__6016_998588997"/>
      <w:r>
        <w:rPr/>
        <w:t>o</w:t>
      </w:r>
      <w:bookmarkStart w:id="1040" w:name="__Fieldmark__9530_118561941"/>
      <w:r>
        <w:rPr/>
        <w:t>to 2003)</w:t>
      </w:r>
      <w:r>
        <w:rPr/>
      </w:r>
      <w:r>
        <w:fldChar w:fldCharType="end"/>
      </w:r>
      <w:bookmarkEnd w:id="1037"/>
      <w:bookmarkEnd w:id="1038"/>
      <w:bookmarkEnd w:id="1039"/>
      <w:bookmarkEnd w:id="1040"/>
      <w:r>
        <w:rPr/>
        <w:t xml:space="preserve"> que mejor se aproxime al comportamiento de los datos. Ejemplos de algoritmos que pueden ser empleados en este paso se relacionan a continuación:</w:t>
      </w:r>
    </w:p>
    <w:p>
      <w:pPr>
        <w:pStyle w:val="Normal"/>
        <w:numPr>
          <w:ilvl w:val="0"/>
          <w:numId w:val="38"/>
        </w:numPr>
        <w:spacing w:before="120" w:after="85"/>
        <w:rPr/>
      </w:pPr>
      <w:r>
        <w:rPr>
          <w:rFonts w:cs="Times New Roman"/>
        </w:rPr>
        <w:t xml:space="preserve">Chow Liu, algoritmo desarrollado en 1968, inicialmente propuesto para la construcción de árboles a partir de datos </w:t>
      </w:r>
      <w:r>
        <w:fldChar w:fldCharType="begin"/>
      </w:r>
      <w:r>
        <w:instrText>ADDIN ZOTERO_ITEM CSL_CITATION {"citationID":"QoPs5lGs","properties":{"formattedCitation":"(Chow y Liu 1968)","plainCitation":"(Chow y Liu 1968)","noteIndex":0},"citationItems":[{"id":"NJclqhNX/rmLMwiNb","uris":["http://zotero.org/users/local/EJ15hJE2/items/U9ZAJALV"],"uri":["http://zotero.org/users/local/EJ15hJE2/items/U9ZAJALV"],"itemData":{"id":437,"type":"article-journal","abstract":"A method is presented to approximate optimally ann-dimensional discrete probability distribution by a product of second-order distributions, or the distribution of the first-order tree dependence. The problem is to find an optimum set ofn - 1first order dependence relationship among thenvariables. It is shown that the procedure derived in this paper yields an approximation of a minimum difference in information. It is further shown that when this procedure is applied to empirical observations from an unknown distribution of tree dependence, the procedure is the maximum-likelihood estimate of the distribution.","container-title":"IEEE Transactions on Information Theory","DOI":"10.1109/TIT.1968.1054142","ISSN":"1557-9654","issue":"3","page":"462-467","source":"IEEE Xplore","title":"Approximating discrete probability distributions with dependence trees","volume":"14","author":[{"family":"Chow","given":"C."},{"family":"Liu","given":"C."}],"issued":{"date-parts":[["1968",5]]}}}],"schema":"https://github.com/citation-style-language/schema/raw/master/csl-citation.json"}</w:instrText>
      </w:r>
      <w:r>
        <w:fldChar w:fldCharType="separate"/>
      </w:r>
      <w:bookmarkStart w:id="1041" w:name="__Fieldmark__7898_2067855929"/>
      <w:r>
        <w:rPr>
          <w:rFonts w:cs="Times New Roman"/>
        </w:rPr>
        <w:t>(</w:t>
      </w:r>
      <w:bookmarkStart w:id="1042" w:name="__Fieldmark__6801_498839314"/>
      <w:r>
        <w:rPr>
          <w:rFonts w:cs="Times New Roman"/>
        </w:rPr>
        <w:t>C</w:t>
      </w:r>
      <w:bookmarkStart w:id="1043" w:name="__Fieldmark__6025_998588997"/>
      <w:r>
        <w:rPr>
          <w:rFonts w:cs="Times New Roman"/>
        </w:rPr>
        <w:t>h</w:t>
      </w:r>
      <w:bookmarkStart w:id="1044" w:name="__Fieldmark__9546_118561941"/>
      <w:r>
        <w:rPr>
          <w:rFonts w:cs="Times New Roman"/>
        </w:rPr>
        <w:t>ow y Liu 1968)</w:t>
      </w:r>
      <w:r>
        <w:rPr>
          <w:rFonts w:cs="Times New Roman"/>
        </w:rPr>
      </w:r>
      <w:r>
        <w:fldChar w:fldCharType="end"/>
      </w:r>
      <w:bookmarkEnd w:id="1041"/>
      <w:bookmarkEnd w:id="1042"/>
      <w:bookmarkEnd w:id="1043"/>
      <w:bookmarkEnd w:id="1044"/>
      <w:r>
        <w:rPr>
          <w:rFonts w:cs="Times New Roman"/>
        </w:rPr>
        <w:t>.</w:t>
      </w:r>
    </w:p>
    <w:p>
      <w:pPr>
        <w:pStyle w:val="Normal"/>
        <w:numPr>
          <w:ilvl w:val="0"/>
          <w:numId w:val="38"/>
        </w:numPr>
        <w:spacing w:before="120" w:after="85"/>
        <w:rPr/>
      </w:pPr>
      <w:r>
        <w:rPr>
          <w:rFonts w:cs="Times New Roman"/>
        </w:rPr>
        <w:t xml:space="preserve">Algoritmo Rebane-Pearl </w:t>
      </w:r>
      <w:r>
        <w:fldChar w:fldCharType="begin"/>
      </w:r>
      <w:r>
        <w:instrText>ADDIN ZOTERO_ITEM CSL_CITATION {"citationID":"af5e46af3t","properties":{"formattedCitation":"(Rebane y Pearl 2013)","plainCitation":"(Rebane y Pearl 2013)","noteIndex":0},"citationItems":[{"id":"NJclqhNX/mbe51VFg","uris":["http://zotero.org/users/local/rsuvzjK6/items/KP4TYVQF"],"uri":["http://zotero.org/users/local/rsuvzjK6/items/KP4TYVQF"],"itemData":{"id":3473,"type":"paper-conference","abstract":"Poly-trees are singly connected causal networks in which variables may arise from multiple causes. This paper develops a method of recovering ply-trees from empirically measured probability distributions of pairs of variables. The method guarantees that, if the measured distributions are generated by a causal process structured as a ply-tree then the topological structure of such tree can be recovered precisely and, in addition, the causal directionality of the branches can be determined up to the maximum extent possible. The method also pinpoints the minimum (if any) external semantics required to determine the causal relationships among the variables considered.","container-title":"Third Conference on Uncertainty in Artificial Intelligence","event":"Artificial Intelligence","publisher":"AUAI Press, arXiv:1304.2736, ISBN: 978-0-444-87417-7","title":"The Recovery of Causal Poly-Trees from Statistical Data","URL":"http://arxiv.org/abs/1304.2736","author":[{"family":"Rebane","given":"George"},{"family":"Pearl","given":"Judea"}],"accessed":{"date-parts":[["2021",3,24]]},"issued":{"date-parts":[["2013"]]}}}],"schema":"https://github.com/citation-style-language/schema/raw/master/csl-citation.json"}</w:instrText>
      </w:r>
      <w:r>
        <w:fldChar w:fldCharType="separate"/>
      </w:r>
      <w:bookmarkStart w:id="1045" w:name="__Fieldmark__7915_2067855929"/>
      <w:r>
        <w:rPr>
          <w:rFonts w:cs="Times New Roman"/>
        </w:rPr>
        <w:t>(</w:t>
      </w:r>
      <w:bookmarkStart w:id="1046" w:name="__Fieldmark__6814_498839314"/>
      <w:r>
        <w:rPr>
          <w:rFonts w:cs="Times New Roman"/>
        </w:rPr>
        <w:t>R</w:t>
      </w:r>
      <w:bookmarkStart w:id="1047" w:name="__Fieldmark__6034_998588997"/>
      <w:r>
        <w:rPr>
          <w:rFonts w:cs="Times New Roman"/>
        </w:rPr>
        <w:t>e</w:t>
      </w:r>
      <w:bookmarkStart w:id="1048" w:name="__Fieldmark__9554_118561941"/>
      <w:r>
        <w:rPr>
          <w:rFonts w:cs="Times New Roman"/>
        </w:rPr>
        <w:t>bane y Pearl 2013)</w:t>
      </w:r>
      <w:r>
        <w:rPr>
          <w:rFonts w:cs="Times New Roman"/>
        </w:rPr>
      </w:r>
      <w:r>
        <w:fldChar w:fldCharType="end"/>
      </w:r>
      <w:bookmarkEnd w:id="1045"/>
      <w:bookmarkEnd w:id="1046"/>
      <w:bookmarkEnd w:id="1047"/>
      <w:bookmarkEnd w:id="1048"/>
      <w:r>
        <w:rPr>
          <w:rFonts w:cs="Times New Roman"/>
        </w:rPr>
        <w:t xml:space="preserve">, extiende el algoritmo Chow Liu y posibilita el aprendizaje de poli-árboles, permitiendo describir interacciones de mayor orden </w:t>
      </w:r>
      <w:r>
        <w:fldChar w:fldCharType="begin"/>
      </w:r>
      <w:r>
        <w:instrText>ADDIN ZOTERO_ITEM CSL_CITATION {"citationID":"J82dX6Za","properties":{"formattedCitation":"(Chow y Liu 1968)","plainCitation":"(Chow y Liu 1968)","noteIndex":0},"citationItems":[{"id":"NJclqhNX/rmLMwiNb","uris":["http://zotero.org/users/local/EJ15hJE2/items/U9ZAJALV"],"uri":["http://zotero.org/users/local/EJ15hJE2/items/U9ZAJALV"],"itemData":{"id":437,"type":"article-journal","abstract":"A method is presented to approximate optimally ann-dimensional discrete probability distribution by a product of second-order distributions, or the distribution of the first-order tree dependence. The problem is to find an optimum set ofn - 1first order dependence relationship among thenvariables. It is shown that the procedure derived in this paper yields an approximation of a minimum difference in information. It is further shown that when this procedure is applied to empirical observations from an unknown distribution of tree dependence, the procedure is the maximum-likelihood estimate of the distribution.","container-title":"IEEE Transactions on Information Theory","DOI":"10.1109/TIT.1968.1054142","ISSN":"1557-9654","issue":"3","page":"462-467","source":"IEEE Xplore","title":"Approximating discrete probability distributions with dependence trees","volume":"14","author":[{"family":"Chow","given":"C."},{"family":"Liu","given":"C."}],"issued":{"date-parts":[["1968",5]]}}}],"schema":"https://github.com/citation-style-language/schema/raw/master/csl-citation.json"}</w:instrText>
      </w:r>
      <w:r>
        <w:fldChar w:fldCharType="separate"/>
      </w:r>
      <w:bookmarkStart w:id="1049" w:name="__Fieldmark__7931_2067855929"/>
      <w:r>
        <w:rPr>
          <w:rFonts w:cs="Times New Roman"/>
        </w:rPr>
        <w:t>(</w:t>
      </w:r>
      <w:bookmarkStart w:id="1050" w:name="__Fieldmark__6825_498839314"/>
      <w:r>
        <w:rPr>
          <w:rFonts w:cs="Times New Roman"/>
        </w:rPr>
        <w:t>C</w:t>
      </w:r>
      <w:bookmarkStart w:id="1051" w:name="__Fieldmark__6041_998588997"/>
      <w:r>
        <w:rPr>
          <w:rFonts w:cs="Times New Roman"/>
        </w:rPr>
        <w:t>h</w:t>
      </w:r>
      <w:bookmarkStart w:id="1052" w:name="__Fieldmark__9562_118561941"/>
      <w:r>
        <w:rPr>
          <w:rFonts w:cs="Times New Roman"/>
        </w:rPr>
        <w:t>ow y Liu 1968)</w:t>
      </w:r>
      <w:r>
        <w:rPr>
          <w:rFonts w:cs="Times New Roman"/>
        </w:rPr>
      </w:r>
      <w:r>
        <w:fldChar w:fldCharType="end"/>
      </w:r>
      <w:bookmarkEnd w:id="1049"/>
      <w:bookmarkEnd w:id="1050"/>
      <w:bookmarkEnd w:id="1051"/>
      <w:bookmarkEnd w:id="1052"/>
      <w:r>
        <w:rPr>
          <w:rFonts w:cs="Times New Roman"/>
        </w:rPr>
        <w:t>.</w:t>
      </w:r>
    </w:p>
    <w:p>
      <w:pPr>
        <w:pStyle w:val="Normal"/>
        <w:numPr>
          <w:ilvl w:val="0"/>
          <w:numId w:val="38"/>
        </w:numPr>
        <w:spacing w:before="120" w:after="85"/>
        <w:rPr>
          <w:rFonts w:cs="Times New Roman"/>
          <w:lang w:val="x-none"/>
        </w:rPr>
      </w:pPr>
      <w:r>
        <w:rPr>
          <w:rFonts w:cs="Times New Roman"/>
        </w:rPr>
        <w:t xml:space="preserve">Algoritmo </w:t>
      </w:r>
      <w:r>
        <w:rPr>
          <w:rFonts w:cs="Times New Roman"/>
          <w:i/>
        </w:rPr>
        <w:t>Polytree Aproximation Algorithm</w:t>
      </w:r>
      <w:r>
        <w:rPr>
          <w:rFonts w:cs="Times New Roman"/>
        </w:rPr>
        <w:t xml:space="preserve"> (PA) 1998, que basa el aprendizaje en el cálculo de la información mutua marginal y la información mutua condicional.</w:t>
      </w:r>
    </w:p>
    <w:p>
      <w:pPr>
        <w:pStyle w:val="Normal"/>
        <w:numPr>
          <w:ilvl w:val="0"/>
          <w:numId w:val="38"/>
        </w:numPr>
        <w:spacing w:before="120" w:after="85"/>
        <w:rPr/>
      </w:pPr>
      <w:r>
        <w:rPr>
          <w:rFonts w:cs="Times New Roman"/>
        </w:rPr>
        <w:t xml:space="preserve">Algoritmo </w:t>
      </w:r>
      <w:r>
        <w:rPr>
          <w:rFonts w:cs="Times New Roman"/>
          <w:i/>
        </w:rPr>
        <w:t>Learning Polytree Algorithm (</w:t>
      </w:r>
      <w:r>
        <w:rPr>
          <w:rFonts w:cs="Times New Roman"/>
        </w:rPr>
        <w:t xml:space="preserve">LPA), es el empleado en la experimentación y el que se recomienda en esta investigación. Fue propuesto en </w:t>
      </w:r>
      <w:r>
        <w:fldChar w:fldCharType="begin"/>
      </w:r>
      <w:r>
        <w:instrText>ADDIN ZOTERO_ITEM CSL_CITATION {"citationID":"agnktgur6k","properties":{"formattedCitation":"(Soto y Ochoa 2000)","plainCitation":"(Soto y Ochoa 2000)","noteIndex":0},"citationItems":[{"id":"NJclqhNX/GqNb2O8O","uris":["http://zotero.org/users/local/EJ15hJE2/items/B2FZI855"],"uri":["http://zotero.org/users/local/EJ15hJE2/items/B2FZI855"],"itemData":{"id":440,"type":"paper-conference","abstract":"The class of factorized distribution algorithms (FDA) uses factorizations of the joint distribution of the best points. At each stage of the evolution, PDA algorithms build a model from which new points are efficiently sampled. This paper explores the class of single connected factorizations: polytrees. Using this class, we gain in efficiency and simplicity in the procedures for learning the networks. The price we have to pay is a less expressive power. However, sometimes the representation power of polytrees is adequate for optimization purposes.","container-title":"Proceedings of the 2000 Congress on Evolutionary Computation. CEC00 (Cat. No.00TH8512)","DOI":"10.1109/CEC.2000.870300","event":"Proceedings of the 2000 Congress on Evolutionary Computation. CEC00 (Cat. No.00TH8512)","page":"232-237 vol.1","source":"IEEE Xplore","title":"A factorized distribution algorithm based on polytrees","volume":"1","author":[{"family":"Soto","given":"M."},{"family":"Ochoa","given":"A."}],"issued":{"date-parts":[["2000",7]]}}}],"schema":"https://github.com/citation-style-language/schema/raw/master/csl-citation.json"}</w:instrText>
      </w:r>
      <w:r>
        <w:fldChar w:fldCharType="separate"/>
      </w:r>
      <w:bookmarkStart w:id="1053" w:name="__Fieldmark__7954_2067855929"/>
      <w:r>
        <w:rPr>
          <w:rFonts w:cs="Times New Roman"/>
        </w:rPr>
        <w:t>(</w:t>
      </w:r>
      <w:bookmarkStart w:id="1054" w:name="__Fieldmark__6843_498839314"/>
      <w:r>
        <w:rPr>
          <w:rFonts w:cs="Times New Roman"/>
        </w:rPr>
        <w:t>S</w:t>
      </w:r>
      <w:bookmarkStart w:id="1055" w:name="__Fieldmark__6055_998588997"/>
      <w:r>
        <w:rPr>
          <w:rFonts w:cs="Times New Roman"/>
        </w:rPr>
        <w:t>o</w:t>
      </w:r>
      <w:bookmarkStart w:id="1056" w:name="__Fieldmark__9584_118561941"/>
      <w:r>
        <w:rPr>
          <w:rFonts w:cs="Times New Roman"/>
        </w:rPr>
        <w:t>to y Ochoa 2000)</w:t>
      </w:r>
      <w:r>
        <w:rPr>
          <w:rFonts w:cs="Times New Roman"/>
        </w:rPr>
      </w:r>
      <w:r>
        <w:fldChar w:fldCharType="end"/>
      </w:r>
      <w:bookmarkEnd w:id="1053"/>
      <w:bookmarkEnd w:id="1054"/>
      <w:bookmarkEnd w:id="1055"/>
      <w:bookmarkEnd w:id="1056"/>
      <w:r>
        <w:rPr>
          <w:rFonts w:cs="Times New Roman"/>
        </w:rPr>
        <w:t xml:space="preserve"> y su principal aporte es la mejora de la eficiencia respecto a los algoritmos que le preceden </w:t>
      </w:r>
      <w:r>
        <w:fldChar w:fldCharType="begin"/>
      </w:r>
      <w:r>
        <w:instrText>ADDIN ZOTERO_ITEM CSL_CITATION {"citationID":"a21809qlmab","properties":{"formattedCitation":"(Soto 2003)","plainCitation":"(Soto 2003)","noteIndex":0},"citationItems":[{"id":"NJclqhNX/xzCfhuHa","uris":["http://zotero.org/users/local/rsuvzjK6/items/K9TL5QNH"],"uri":["http://zotero.org/users/local/rsuvzjK6/items/K9TL5QNH"],"itemData":{"id":3477,"type":"thesis","event-place":"Universidad de La Habana, Cuba","genre":"Doctorado","number-of-pages":"100","publisher":"Instituto de Cibernética, Matemática y Física. Departamento Matemática Interdisciplinaria","publisher-place":"Universidad de La Habana, Cuba","title":"A single connected factorized distribution algorithm and its cost of evaluation","author":[{"family":"Soto","given":"Marta"}],"issued":{"date-parts":[["2003"]]}}}],"schema":"https://github.com/citation-style-language/schema/raw/master/csl-citation.json"}</w:instrText>
      </w:r>
      <w:r>
        <w:fldChar w:fldCharType="separate"/>
      </w:r>
      <w:bookmarkStart w:id="1057" w:name="__Fieldmark__7969_2067855929"/>
      <w:r>
        <w:rPr>
          <w:rFonts w:cs="Times New Roman"/>
        </w:rPr>
        <w:t>(</w:t>
      </w:r>
      <w:bookmarkStart w:id="1058" w:name="__Fieldmark__6854_498839314"/>
      <w:r>
        <w:rPr>
          <w:rFonts w:cs="Times New Roman"/>
        </w:rPr>
        <w:t>S</w:t>
      </w:r>
      <w:bookmarkStart w:id="1059" w:name="__Fieldmark__6062_998588997"/>
      <w:r>
        <w:rPr>
          <w:rFonts w:cs="Times New Roman"/>
        </w:rPr>
        <w:t>o</w:t>
      </w:r>
      <w:bookmarkStart w:id="1060" w:name="__Fieldmark__9590_118561941"/>
      <w:r>
        <w:rPr>
          <w:rFonts w:cs="Times New Roman"/>
        </w:rPr>
        <w:t>to 2003)</w:t>
      </w:r>
      <w:r>
        <w:rPr>
          <w:rFonts w:cs="Times New Roman"/>
        </w:rPr>
      </w:r>
      <w:r>
        <w:fldChar w:fldCharType="end"/>
      </w:r>
      <w:bookmarkEnd w:id="1057"/>
      <w:bookmarkEnd w:id="1058"/>
      <w:bookmarkEnd w:id="1059"/>
      <w:bookmarkEnd w:id="1060"/>
      <w:r>
        <w:rPr>
          <w:rFonts w:cs="Times New Roman"/>
        </w:rPr>
        <w:t xml:space="preserve">. Este algoritmo calcula las dependencias marginales y condicionales empleando métodos de cálculo basados en el concepto de entropía. La complejidad de este algoritmo </w:t>
      </w:r>
      <w:r>
        <w:rPr/>
        <w:t xml:space="preserve">es </w:t>
      </w:r>
      <w:r>
        <w:rPr>
          <w:i/>
        </w:rPr>
        <w:t>O(n</w:t>
      </w:r>
      <w:r>
        <w:rPr>
          <w:i/>
          <w:vertAlign w:val="superscript"/>
        </w:rPr>
        <w:t>3</w:t>
      </w:r>
      <w:r>
        <w:rPr>
          <w:i/>
        </w:rPr>
        <w:t xml:space="preserve">) </w:t>
      </w:r>
      <w:r>
        <w:fldChar w:fldCharType="begin"/>
      </w:r>
      <w:r>
        <w:instrText>ADDIN ZOTERO_ITEM CSL_CITATION {"citationID":"a2kbpdsf6hl","properties":{"formattedCitation":"(Soto 2003)","plainCitation":"(Soto 2003)","noteIndex":0},"citationItems":[{"id":"NJclqhNX/xzCfhuHa","uris":["http://zotero.org/users/local/rsuvzjK6/items/K9TL5QNH"],"uri":["http://zotero.org/users/local/rsuvzjK6/items/K9TL5QNH"],"itemData":{"id":3477,"type":"thesis","event-place":"Universidad de La Habana, Cuba","genre":"Doctorado","number-of-pages":"100","publisher":"Instituto de Cibernética, Matemática y Física. Departamento Matemática Interdisciplinaria","publisher-place":"Universidad de La Habana, Cuba","title":"A single connected factorized distribution algorithm and its cost of evaluation","author":[{"family":"Soto","given":"Marta"}],"issued":{"date-parts":[["2003"]]}}}],"schema":"https://github.com/citation-style-language/schema/raw/master/csl-citation.json"}</w:instrText>
      </w:r>
      <w:r>
        <w:fldChar w:fldCharType="separate"/>
      </w:r>
      <w:bookmarkStart w:id="1061" w:name="__Fieldmark__7988_2067855929"/>
      <w:r>
        <w:rPr>
          <w:i/>
        </w:rPr>
        <w:t>(</w:t>
      </w:r>
      <w:bookmarkStart w:id="1062" w:name="__Fieldmark__6869_498839314"/>
      <w:r>
        <w:rPr>
          <w:i/>
        </w:rPr>
        <w:t>S</w:t>
      </w:r>
      <w:bookmarkStart w:id="1063" w:name="__Fieldmark__6073_998588997"/>
      <w:r>
        <w:rPr>
          <w:i/>
        </w:rPr>
        <w:t>o</w:t>
      </w:r>
      <w:bookmarkStart w:id="1064" w:name="__Fieldmark__9602_118561941"/>
      <w:r>
        <w:rPr>
          <w:i/>
        </w:rPr>
        <w:t>to 2003)</w:t>
      </w:r>
      <w:r>
        <w:rPr>
          <w:i/>
        </w:rPr>
      </w:r>
      <w:r>
        <w:fldChar w:fldCharType="end"/>
      </w:r>
      <w:bookmarkEnd w:id="1061"/>
      <w:bookmarkEnd w:id="1062"/>
      <w:bookmarkEnd w:id="1063"/>
      <w:bookmarkEnd w:id="1064"/>
      <w:r>
        <w:rPr/>
        <w:t>.</w:t>
      </w:r>
    </w:p>
    <w:p>
      <w:pPr>
        <w:pStyle w:val="Normal"/>
        <w:spacing w:before="120" w:after="120"/>
        <w:rPr>
          <w:i/>
          <w:i/>
          <w:iCs/>
        </w:rPr>
      </w:pPr>
      <w:r>
        <w:rPr/>
        <w:t xml:space="preserve">Los algoritmos del paso 3 que aprenden los modelos probabilísticos generan un poli-árbol donde cada árbol puede generar un resumen candidato. Luego en el paso 4, por cada uno de los árboles se genera un objeto candidato, de forma tal que el nodo en la raíz del árbol es identificado como el atributo sumarizador y los nodos en las ramas son identificados como filtros. La cantidad de árboles que se pueden generar está acotada superiormente por la cantidad total de atributos </w:t>
      </w:r>
      <w:r>
        <w:rPr>
          <w:i/>
        </w:rPr>
        <w:t>p,</w:t>
      </w:r>
      <w:r>
        <w:rPr/>
        <w:t xml:space="preserve"> la cantidad de elementos en filtros y sumarizadores máximo es </w:t>
      </w:r>
      <w:r>
        <w:rPr>
          <w:i/>
        </w:rPr>
        <w:t>p-1</w:t>
      </w:r>
      <w:r>
        <w:rPr/>
        <w:t xml:space="preserve">. Por tanto, la complejidad de este paso está acotada por </w:t>
      </w:r>
      <w:r>
        <w:rPr>
          <w:i/>
        </w:rPr>
        <w:t>p(p - 1),</w:t>
      </w:r>
      <w:r>
        <w:rPr/>
        <w:t xml:space="preserve"> siendo</w:t>
      </w:r>
      <w:r>
        <w:rPr>
          <w:i/>
        </w:rPr>
        <w:t xml:space="preserve"> O(p</w:t>
      </w:r>
      <w:r>
        <w:rPr>
          <w:i/>
          <w:vertAlign w:val="superscript"/>
        </w:rPr>
        <w:t>2</w:t>
      </w:r>
      <w:r>
        <w:rPr>
          <w:i/>
        </w:rPr>
        <w:t>)</w:t>
      </w:r>
      <w:r>
        <w:rPr/>
        <w:t>.</w:t>
      </w:r>
    </w:p>
    <w:p>
      <w:pPr>
        <w:pStyle w:val="Normal"/>
        <w:spacing w:before="120" w:after="120"/>
        <w:rPr/>
      </w:pPr>
      <w:r>
        <w:rPr/>
        <w:t xml:space="preserve">En el paso 5, se generan resúmenes candidatos a partir de la lista de objetos </w:t>
      </w:r>
      <w:r>
        <w:rPr>
          <w:rFonts w:eastAsia="MS Gothic"/>
          <w:i/>
          <w:iCs/>
        </w:rPr>
        <w:t>Candidates</w:t>
      </w:r>
      <w:r>
        <w:rPr/>
        <w:t xml:space="preserve"> transformando cada objeto en un objeto resumen cuyos atributos son filtros y sumarizadores.</w:t>
      </w:r>
    </w:p>
    <w:p>
      <w:pPr>
        <w:pStyle w:val="Normal"/>
        <w:spacing w:before="120" w:after="120"/>
        <w:rPr/>
      </w:pPr>
      <w:r>
        <w:rPr/>
        <w:t xml:space="preserve">Luego se aplican los pasos del 6 al 10 que coinciden con los pasos del 8 al 12, propuestos en el </w:t>
      </w:r>
      <w:r>
        <w:rPr/>
        <w:fldChar w:fldCharType="begin"/>
      </w:r>
      <w:r>
        <w:instrText> REF _Ref67268662 \h </w:instrText>
      </w:r>
      <w:r>
        <w:fldChar w:fldCharType="separate"/>
      </w:r>
      <w:r>
        <w:t>Algoritmo 2</w:t>
      </w:r>
      <w:r>
        <w:fldChar w:fldCharType="end"/>
      </w:r>
      <w:r>
        <w:rPr/>
        <w:t xml:space="preserve">. Al concluir los pasos 6 y 7 del algoritmo </w:t>
      </w:r>
      <w:r>
        <w:rPr>
          <w:i/>
          <w:iCs/>
        </w:rPr>
        <w:t>LPA</w:t>
      </w:r>
      <w:r>
        <w:rPr>
          <w:i/>
          <w:iCs/>
          <w:szCs w:val="18"/>
        </w:rPr>
        <w:t>_LDS,</w:t>
      </w:r>
      <w:r>
        <w:rPr/>
        <w:t xml:space="preserve"> se tiene un conjunto de resúmenes candidatos </w:t>
      </w:r>
      <w:r>
        <w:rPr>
          <w:i/>
          <w:iCs/>
          <w:szCs w:val="18"/>
        </w:rPr>
        <w:t xml:space="preserve">CandidateSummaries, </w:t>
      </w:r>
      <w:r>
        <w:rPr>
          <w:szCs w:val="18"/>
        </w:rPr>
        <w:t>donde</w:t>
      </w:r>
      <w:r>
        <w:rPr>
          <w:i/>
          <w:iCs/>
          <w:szCs w:val="18"/>
        </w:rPr>
        <w:t xml:space="preserve"> </w:t>
      </w:r>
      <w:r>
        <w:rPr>
          <w:szCs w:val="18"/>
        </w:rPr>
        <w:t>cada</w:t>
      </w:r>
      <w:r>
        <w:rPr/>
        <w:t xml:space="preserve"> resumen candidato tiene la estructura </w:t>
      </w:r>
      <w:r>
        <w:rPr>
          <w:i/>
          <w:iCs/>
        </w:rPr>
        <w:t xml:space="preserve">P(Q, R, S, T). </w:t>
      </w:r>
      <w:r>
        <w:rPr/>
        <w:t xml:space="preserve">Luego en el paso 8 se aplica el </w:t>
      </w:r>
      <w:r>
        <w:rPr/>
        <w:fldChar w:fldCharType="begin"/>
      </w:r>
      <w:r>
        <w:instrText> REF _Ref79149875 \h </w:instrText>
      </w:r>
      <w:r>
        <w:fldChar w:fldCharType="separate"/>
      </w:r>
      <w:r>
        <w:t>Algoritmo 1</w:t>
      </w:r>
      <w:r>
        <w:fldChar w:fldCharType="end"/>
      </w:r>
      <w:r>
        <w:rPr/>
        <w:t xml:space="preserve"> para generar los resúmenes lingüísticos con </w:t>
      </w:r>
      <w:r>
        <w:rPr>
          <w:i/>
          <w:iCs/>
          <w:szCs w:val="18"/>
        </w:rPr>
        <w:t>humanize_summaries(CandidateSummaries, A</w:t>
      </w:r>
      <w:r>
        <w:rPr>
          <w:i/>
          <w:iCs/>
          <w:szCs w:val="18"/>
          <w:vertAlign w:val="subscript"/>
        </w:rPr>
        <w:t>LV</w:t>
      </w:r>
      <w:r>
        <w:rPr>
          <w:i/>
          <w:iCs/>
          <w:szCs w:val="18"/>
        </w:rPr>
        <w:t>, LV</w:t>
      </w:r>
      <w:r>
        <w:rPr>
          <w:i/>
          <w:iCs/>
          <w:szCs w:val="18"/>
          <w:vertAlign w:val="subscript"/>
        </w:rPr>
        <w:t>Q</w:t>
      </w:r>
      <w:r>
        <w:rPr>
          <w:i/>
          <w:iCs/>
          <w:szCs w:val="18"/>
        </w:rPr>
        <w:t xml:space="preserve">, </w:t>
      </w:r>
      <w:r>
        <w:rPr>
          <w:i/>
        </w:rPr>
        <w:t>LNC</w:t>
      </w:r>
      <w:r>
        <w:rPr>
          <w:i/>
          <w:iCs/>
          <w:szCs w:val="18"/>
        </w:rPr>
        <w:t>)</w:t>
      </w:r>
      <w:r>
        <w:rPr>
          <w:iCs/>
          <w:szCs w:val="18"/>
        </w:rPr>
        <w:t xml:space="preserve">, la </w:t>
      </w:r>
      <w:r>
        <w:rPr/>
        <w:t xml:space="preserve">complejidad computacional de este paso es </w:t>
      </w:r>
      <w:r>
        <w:rPr>
          <w:i/>
        </w:rPr>
        <w:t>O(n·m·p</w:t>
      </w:r>
      <w:r>
        <w:rPr>
          <w:i/>
          <w:vertAlign w:val="superscript"/>
        </w:rPr>
        <w:t>2</w:t>
      </w:r>
      <w:r>
        <w:rPr>
          <w:i/>
        </w:rPr>
        <w:t>)</w:t>
      </w:r>
      <w:r>
        <w:rPr/>
        <w:t xml:space="preserve">. </w:t>
      </w:r>
    </w:p>
    <w:p>
      <w:pPr>
        <w:pStyle w:val="Normal"/>
        <w:spacing w:before="120" w:after="120"/>
        <w:rPr>
          <w:i/>
          <w:i/>
        </w:rPr>
      </w:pPr>
      <w:r>
        <w:rPr>
          <w:rFonts w:eastAsia="MS Gothic" w:cs="Times New Roman"/>
          <w:bCs w:val="false"/>
          <w:szCs w:val="24"/>
          <w:lang w:val="en-US"/>
        </w:rPr>
        <w:t>A modo general, la</w:t>
      </w:r>
      <w:r>
        <w:rPr/>
        <w:t xml:space="preserve"> complejidad del algoritmo </w:t>
      </w:r>
      <w:r>
        <w:rPr>
          <w:i/>
        </w:rPr>
        <w:t>LPA_LDS</w:t>
      </w:r>
      <w:r>
        <w:rPr/>
        <w:t xml:space="preserve"> es </w:t>
      </w:r>
      <w:r>
        <w:rPr>
          <w:i/>
        </w:rPr>
        <w:t>O(n</w:t>
      </w:r>
      <w:r>
        <w:rPr>
          <w:i/>
          <w:vertAlign w:val="superscript"/>
        </w:rPr>
        <w:t>3</w:t>
      </w:r>
      <w:r>
        <w:rPr>
          <w:i/>
        </w:rPr>
        <w:t>).</w:t>
      </w:r>
    </w:p>
    <w:p>
      <w:pPr>
        <w:pStyle w:val="Normal"/>
        <w:spacing w:before="120" w:after="120"/>
        <w:rPr/>
      </w:pPr>
      <w:r>
        <w:rPr>
          <w:szCs w:val="24"/>
        </w:rPr>
        <w:t xml:space="preserve">Este algoritmo supone obtener buenos resultados donde las variables del conjunto de datos a analizar estén relacionadas. El </w:t>
      </w:r>
      <w:r>
        <w:rPr>
          <w:i/>
        </w:rPr>
        <w:t>LPA_LDS</w:t>
      </w:r>
      <w:r>
        <w:rPr>
          <w:szCs w:val="24"/>
        </w:rPr>
        <w:t xml:space="preserve"> hereda las limitaciones de los algoritmos de aprendizaje de grafos probabilísticos que se use en el paso 3, que se concentran en el descubrimiento de relaciones entre variables de primer, segundo y tercer orden. S</w:t>
      </w:r>
      <w:r>
        <w:rPr/>
        <w:t>i se tienen en cuenta relaciones de orden superior, los requerimientos de espacio y tiempo aumentan exponencialmente con respecto al orden de las relaciones</w:t>
      </w:r>
      <w:r>
        <w:rPr>
          <w:i/>
        </w:rPr>
        <w:t xml:space="preserve"> </w:t>
      </w:r>
      <w:r>
        <w:fldChar w:fldCharType="begin"/>
      </w:r>
      <w:r>
        <w:instrText>ADDIN ZOTERO_ITEM CSL_CITATION {"citationID":"PTuVqLw4","properties":{"formattedCitation":"(Soto 2003)","plainCitation":"(Soto 2003)","noteIndex":0},"citationItems":[{"id":"NJclqhNX/xzCfhuHa","uris":["http://zotero.org/users/local/rsuvzjK6/items/K9TL5QNH"],"uri":["http://zotero.org/users/local/rsuvzjK6/items/K9TL5QNH"],"itemData":{"id":3477,"type":"thesis","event-place":"Universidad de La Habana, Cuba","genre":"Doctorado","number-of-pages":"100","publisher":"Instituto de Cibernética, Matemática y Física. Departamento Matemática Interdisciplinaria","publisher-place":"Universidad de La Habana, Cuba","title":"A single connected factorized distribution algorithm and its cost of evaluation","author":[{"family":"Soto","given":"Marta"}],"issued":{"date-parts":[["2003"]]}}}],"schema":"https://github.com/citation-style-language/schema/raw/master/csl-citation.json"}</w:instrText>
      </w:r>
      <w:r>
        <w:fldChar w:fldCharType="separate"/>
      </w:r>
      <w:bookmarkStart w:id="1065" w:name="__Fieldmark__8068_2067855929"/>
      <w:r>
        <w:rPr>
          <w:i/>
        </w:rPr>
        <w:t>(</w:t>
      </w:r>
      <w:bookmarkStart w:id="1066" w:name="__Fieldmark__6938_498839314"/>
      <w:r>
        <w:rPr>
          <w:i/>
        </w:rPr>
        <w:t>S</w:t>
      </w:r>
      <w:bookmarkStart w:id="1067" w:name="__Fieldmark__6138_998588997"/>
      <w:r>
        <w:rPr>
          <w:i/>
        </w:rPr>
        <w:t>o</w:t>
      </w:r>
      <w:bookmarkStart w:id="1068" w:name="__Fieldmark__9757_118561941"/>
      <w:r>
        <w:rPr>
          <w:i/>
        </w:rPr>
        <w:t>to 2003)</w:t>
      </w:r>
      <w:r>
        <w:rPr>
          <w:i/>
        </w:rPr>
      </w:r>
      <w:r>
        <w:fldChar w:fldCharType="end"/>
      </w:r>
      <w:bookmarkEnd w:id="1065"/>
      <w:bookmarkEnd w:id="1066"/>
      <w:bookmarkEnd w:id="1067"/>
      <w:bookmarkEnd w:id="1068"/>
      <w:r>
        <w:rPr/>
        <w:t>.</w:t>
      </w:r>
    </w:p>
    <w:p>
      <w:pPr>
        <w:pStyle w:val="Heading2"/>
        <w:numPr>
          <w:ilvl w:val="1"/>
          <w:numId w:val="80"/>
        </w:numPr>
        <w:rPr/>
      </w:pPr>
      <w:bookmarkStart w:id="1069" w:name="_Toc84598933"/>
      <w:bookmarkStart w:id="1070" w:name="_Toc58849553"/>
      <w:r>
        <w:rPr/>
        <w:t>Algoritmo RST_LDS</w:t>
      </w:r>
      <w:bookmarkEnd w:id="1069"/>
      <w:bookmarkEnd w:id="1070"/>
      <w:r>
        <w:rPr/>
        <w:t xml:space="preserve"> basado en conjuntos aproximados</w:t>
      </w:r>
    </w:p>
    <w:p>
      <w:pPr>
        <w:pStyle w:val="Normal"/>
        <w:spacing w:before="120" w:after="120"/>
        <w:rPr/>
      </w:pPr>
      <w:r>
        <w:rPr/>
        <w:t xml:space="preserve">La </w:t>
      </w:r>
      <w:bookmarkStart w:id="1071" w:name="_Hlk79766577"/>
      <w:r>
        <w:rPr/>
        <w:t xml:space="preserve">teoría de los conjuntos aproximados </w:t>
      </w:r>
      <w:bookmarkEnd w:id="1071"/>
      <w:r>
        <w:rPr/>
        <w:t xml:space="preserve">también se presenta como una alternativa válida para el </w:t>
      </w:r>
      <w:bookmarkStart w:id="1072" w:name="_Hlk79766641"/>
      <w:r>
        <w:rPr/>
        <w:t>descubrimiento de relaciones entre atributos en la generación de resúmenes lingüísticos</w:t>
      </w:r>
      <w:bookmarkEnd w:id="1072"/>
      <w:r>
        <w:rPr/>
        <w:t>.</w:t>
      </w:r>
    </w:p>
    <w:p>
      <w:pPr>
        <w:pStyle w:val="Normal"/>
        <w:spacing w:before="120" w:after="120"/>
        <w:rPr/>
      </w:pPr>
      <w:r>
        <w:rPr/>
        <w:t xml:space="preserve">Esta teoría fue propuesta en 1986 por Z. Pawlak para su aplicación en inconsistencia de datos. Por lo general, los conjuntos aproximados se utilizan en dos alternativas: para datos discretos </w:t>
      </w:r>
      <w:r>
        <w:fldChar w:fldCharType="begin"/>
      </w:r>
      <w:r>
        <w:instrText>ADDIN ZOTERO_ITEM CSL_CITATION {"citationID":"acluj8b92b","properties":{"formattedCitation":"(Pawlak y Skowron 2007)","plainCitation":"(Pawlak y Skowron 2007)","noteIndex":0},"citationItems":[{"id":"NJclqhNX/J6UwpC0F","uris":["http://zotero.org/users/local/EJ15hJE2/items/FMQ9PWGI"],"uri":["http://zotero.org/users/local/EJ15hJE2/items/FMQ9PWGI"],"itemData":{"id":445,"type":"article-journal","abstract":"In this article, we present some extensions of the rough set approach and we outline a challenge for the rough set based research.","collection-title":"Zdzis?aw Pawlak life and work (1926–2006)","container-title":"Information Sciences","DOI":"10.1016/j.ins.2006.06.006","ISSN":"0020-0255","issue":"1","journalAbbreviation":"Information Sciences","language":"en","page":"28-40","source":"ScienceDirect","title":"Rough sets: Some extensions","title-short":"Rough sets","volume":"177","author":[{"family":"Pawlak","given":"Zdzisław"},{"family":"Skowron","given":"Andrzej"}],"issued":{"date-parts":[["2007",1,1]]}}}],"schema":"https://github.com/citation-style-language/schema/raw/master/csl-citation.json"}</w:instrText>
      </w:r>
      <w:r>
        <w:fldChar w:fldCharType="separate"/>
      </w:r>
      <w:bookmarkStart w:id="1073" w:name="__Fieldmark__8101_2067855929"/>
      <w:r>
        <w:rPr/>
        <w:t>(</w:t>
      </w:r>
      <w:bookmarkStart w:id="1074" w:name="__Fieldmark__6966_498839314"/>
      <w:r>
        <w:rPr/>
        <w:t>P</w:t>
      </w:r>
      <w:bookmarkStart w:id="1075" w:name="__Fieldmark__6162_998588997"/>
      <w:r>
        <w:rPr/>
        <w:t>a</w:t>
      </w:r>
      <w:bookmarkStart w:id="1076" w:name="__Fieldmark__9793_118561941"/>
      <w:r>
        <w:rPr/>
        <w:t>wlak y Skowron 2007)</w:t>
      </w:r>
      <w:r>
        <w:rPr/>
      </w:r>
      <w:r>
        <w:fldChar w:fldCharType="end"/>
      </w:r>
      <w:bookmarkEnd w:id="1073"/>
      <w:bookmarkEnd w:id="1074"/>
      <w:bookmarkEnd w:id="1075"/>
      <w:bookmarkEnd w:id="1076"/>
      <w:r>
        <w:rPr/>
        <w:t xml:space="preserve"> basados ​​en relaciones de equivalencia, o para relaciones de indiscernibilidad extendidas </w:t>
      </w:r>
      <w:r>
        <w:fldChar w:fldCharType="begin"/>
      </w:r>
      <w:r>
        <w:instrText>ADDIN ZOTERO_ITEM CSL_CITATION {"citationID":"a1jt55jjqpr","properties":{"formattedCitation":"(Bello, Falcon y Verdegay 2019)","plainCitation":"(Bello, Falcon y Verdegay 2019)","noteIndex":0},"citationItems":[{"id":"NJclqhNX/qGwrAZnQ","uris":["http://zotero.org/users/local/EJ15hJE2/items/AA8D93FU"],"uri":["http://zotero.org/users/local/EJ15hJE2/items/AA8D93FU"],"itemData":{"id":447,"type":"book","abstract":"This book offers a timely overview of fuzzy and rough set theories and methods. Based on selected contributions presented at the International Symposium on Fuzzy and Rough Sets, ISFUROS 2017, held in Varadero, Cuba, on October 24-26, 2017, the book also covers related approaches, such as hybrid rough-fuzzy sets and hybrid fuzzy-rough sets and granular computing, as well as a number of applications, from big data analytics, to business intelligence, security, robotics, logistics, wireless sensor networks and many more. It is intended as a source of inspiration for PhD students and researchers in the field, fostering not only new ideas but also collaboration between young researchers and institutions and established ones.","ISBN":"978-3-030-10463-4","language":"en","note":"Google-Books-ID: Q92EDwAAQBAJ","number-of-pages":"424","publisher":"Springer","source":"Google Books","title":"Uncertainty Management with Fuzzy and Rough Sets: Recent Advances and Applications","title-short":"Uncertainty Management with Fuzzy and Rough Sets","author":[{"family":"Bello","given":"Rafael"},{"family":"Falcon","given":"Rafael"},{"family":"Verdegay","given":"José Luis"}],"issued":{"date-parts":[["2019",1,22]]}}}],"schema":"https://github.com/citation-style-language/schema/raw/master/csl-citation.json"}</w:instrText>
      </w:r>
      <w:r>
        <w:fldChar w:fldCharType="separate"/>
      </w:r>
      <w:bookmarkStart w:id="1077" w:name="__Fieldmark__8116_2067855929"/>
      <w:r>
        <w:rPr/>
        <w:t>(</w:t>
      </w:r>
      <w:bookmarkStart w:id="1078" w:name="__Fieldmark__6977_498839314"/>
      <w:r>
        <w:rPr/>
        <w:t>B</w:t>
      </w:r>
      <w:bookmarkStart w:id="1079" w:name="__Fieldmark__6169_998588997"/>
      <w:r>
        <w:rPr/>
        <w:t>e</w:t>
      </w:r>
      <w:bookmarkStart w:id="1080" w:name="__Fieldmark__9800_118561941"/>
      <w:r>
        <w:rPr/>
        <w:t>llo, Falcon y Verdegay 2019)</w:t>
      </w:r>
      <w:r>
        <w:rPr/>
      </w:r>
      <w:r>
        <w:fldChar w:fldCharType="end"/>
      </w:r>
      <w:bookmarkEnd w:id="1077"/>
      <w:bookmarkEnd w:id="1078"/>
      <w:bookmarkEnd w:id="1079"/>
      <w:bookmarkEnd w:id="1080"/>
      <w:r>
        <w:rPr/>
        <w:t xml:space="preserve">. Se exponen diferentes extensiones de aplicaciones de conjuntos aproximados en </w:t>
      </w:r>
      <w:r>
        <w:fldChar w:fldCharType="begin"/>
      </w:r>
      <w:r>
        <w:instrText>ADDIN ZOTERO_ITEM CSL_CITATION {"citationID":"a1rg0mjjd9f","properties":{"formattedCitation":"(Pawlak y Skowron 2007)","plainCitation":"(Pawlak y Skowron 2007)","noteIndex":0},"citationItems":[{"id":"NJclqhNX/J6UwpC0F","uris":["http://zotero.org/users/local/EJ15hJE2/items/FMQ9PWGI"],"uri":["http://zotero.org/users/local/EJ15hJE2/items/FMQ9PWGI"],"itemData":{"id":445,"type":"article-journal","abstract":"In this article, we present some extensions of the rough set approach and we outline a challenge for the rough set based research.","collection-title":"Zdzis?aw Pawlak life and work (1926–2006)","container-title":"Information Sciences","DOI":"10.1016/j.ins.2006.06.006","ISSN":"0020-0255","issue":"1","journalAbbreviation":"Information Sciences","language":"en","page":"28-40","source":"ScienceDirect","title":"Rough sets: Some extensions","title-short":"Rough sets","volume":"177","author":[{"family":"Pawlak","given":"Zdzisław"},{"family":"Skowron","given":"Andrzej"}],"issued":{"date-parts":[["2007",1,1]]}}}],"schema":"https://github.com/citation-style-language/schema/raw/master/csl-citation.json"}</w:instrText>
      </w:r>
      <w:r>
        <w:fldChar w:fldCharType="separate"/>
      </w:r>
      <w:bookmarkStart w:id="1081" w:name="__Fieldmark__8131_2067855929"/>
      <w:r>
        <w:rPr/>
        <w:t>(</w:t>
      </w:r>
      <w:bookmarkStart w:id="1082" w:name="__Fieldmark__6988_498839314"/>
      <w:r>
        <w:rPr/>
        <w:t>P</w:t>
      </w:r>
      <w:bookmarkStart w:id="1083" w:name="__Fieldmark__6176_998588997"/>
      <w:r>
        <w:rPr/>
        <w:t>a</w:t>
      </w:r>
      <w:bookmarkStart w:id="1084" w:name="__Fieldmark__9805_118561941"/>
      <w:r>
        <w:rPr/>
        <w:t>wlak y Skowron 2007)</w:t>
      </w:r>
      <w:r>
        <w:rPr/>
      </w:r>
      <w:r>
        <w:fldChar w:fldCharType="end"/>
      </w:r>
      <w:bookmarkEnd w:id="1081"/>
      <w:bookmarkEnd w:id="1082"/>
      <w:bookmarkEnd w:id="1083"/>
      <w:bookmarkEnd w:id="1084"/>
      <w:r>
        <w:rPr/>
        <w:t xml:space="preserve">, </w:t>
      </w:r>
      <w:r>
        <w:fldChar w:fldCharType="begin"/>
      </w:r>
      <w:r>
        <w:instrText>ADDIN ZOTERO_ITEM CSL_CITATION {"citationID":"aam8c83krd","properties":{"formattedCitation":"(Guoyin Wang 2002)","plainCitation":"(Guoyin Wang 2002)","noteIndex":0},"citationItems":[{"id":"NJclqhNX/aYYEM7jA","uris":["http://zotero.org/users/local/EJ15hJE2/items/T6G8B8TQ"],"uri":["http://zotero.org/users/local/EJ15hJE2/items/T6G8B8TQ"],"itemData":{"id":449,"type":"paper-conference","abstract":"The classical rough set theory is based on complete information systems. It classifies objects using upper-approximation and lower-approximation defined on an indiscernibility relation that is a kind of equivalent relation. In order to process incomplete information systems, the classical rough set theory needs to be extended, especially, the indiscernibility relation needs to be extended to some inequivalent relation. There are several extensions for the indiscernibility relation at present, such as tolerance relation, non-symmetric similarity relation, and valued tolerance relation. Unfortunately, these extensions have their own limitation. We develop a new extension of rough set theory that is based on a limited tolerance relation.","container-title":"2002 IEEE World Congress on Computational Intelligence. 2002 IEEE International Conference on Fuzzy Systems. FUZZ-IEEE'02. Proceedings (Cat. No.02CH37291)","DOI":"10.1109/FUZZ.2002.1006657","event":"2002 IEEE World Congress on Computational Intelligence. 2002 IEEE International Conference on Fuzzy Systems. FUZZ-IEEE'02. Proceedings (Cat. No.02CH37291)","page":"1098-1103 vol.2","source":"IEEE Xplore","title":"Extension of rough set under incomplete information systems","volume":"2","author":[{"literal":"Guoyin Wang"}],"issued":{"date-parts":[["2002",5]]}}}],"schema":"https://github.com/citation-style-language/schema/raw/master/csl-citation.json"}</w:instrText>
      </w:r>
      <w:r>
        <w:fldChar w:fldCharType="separate"/>
      </w:r>
      <w:bookmarkStart w:id="1085" w:name="__Fieldmark__8146_2067855929"/>
      <w:r>
        <w:rPr/>
        <w:t>(</w:t>
      </w:r>
      <w:bookmarkStart w:id="1086" w:name="__Fieldmark__6999_498839314"/>
      <w:r>
        <w:rPr/>
        <w:t>G</w:t>
      </w:r>
      <w:bookmarkStart w:id="1087" w:name="__Fieldmark__6183_998588997"/>
      <w:r>
        <w:rPr/>
        <w:t>u</w:t>
      </w:r>
      <w:bookmarkStart w:id="1088" w:name="__Fieldmark__9810_118561941"/>
      <w:r>
        <w:rPr/>
        <w:t>oyin Wang 2002)</w:t>
      </w:r>
      <w:r>
        <w:rPr/>
      </w:r>
      <w:r>
        <w:fldChar w:fldCharType="end"/>
      </w:r>
      <w:bookmarkEnd w:id="1085"/>
      <w:bookmarkEnd w:id="1086"/>
      <w:bookmarkEnd w:id="1087"/>
      <w:bookmarkEnd w:id="1088"/>
      <w:r>
        <w:rPr/>
        <w:t xml:space="preserve"> y </w:t>
      </w:r>
      <w:r>
        <w:fldChar w:fldCharType="begin"/>
      </w:r>
      <w:r>
        <w:instrText>ADDIN ZOTERO_ITEM CSL_CITATION {"citationID":"a2dmhi5qeq7","properties":{"formattedCitation":"(Zhai, Zhang y Zhang 2016)","plainCitation":"(Zhai, Zhang y Zhang 2016)","noteIndex":0},"citationItems":[{"id":"NJclqhNX/1m1WCCgr","uris":["http://zotero.org/users/local/EJ15hJE2/items/2NPYXV7Q"],"uri":["http://zotero.org/users/local/EJ15hJE2/items/2NPYXV7Q"],"itemData":{"id":450,"type":"article-journal","abstract":"In rough fuzzy set, equivalence relation is used for approximating the target concept, which is a fuzzy set. In this paper, we extend the equivalence relation in rough fuzzy set to tolerance relation, and propose an extended model named tolerance rou","container-title":"Journal of Intelligent &amp; Fuzzy Systems","DOI":"10.3233/IFS-152079","ISSN":"1064-1246","issue":"6","language":"en","page":"3311-3320","source":"content.iospress.com","title":"An extension of rough fuzzy set","volume":"30","author":[{"family":"Zhai","given":"Junhai"},{"family":"Zhang","given":"Sufang"},{"family":"Zhang","given":"Yao"}],"issued":{"date-parts":[["2016",1,1]]}}}],"schema":"https://github.com/citation-style-language/schema/raw/master/csl-citation.json"}</w:instrText>
      </w:r>
      <w:r>
        <w:fldChar w:fldCharType="separate"/>
      </w:r>
      <w:bookmarkStart w:id="1089" w:name="__Fieldmark__8161_2067855929"/>
      <w:r>
        <w:rPr/>
        <w:t>(</w:t>
      </w:r>
      <w:bookmarkStart w:id="1090" w:name="__Fieldmark__7010_498839314"/>
      <w:r>
        <w:rPr/>
        <w:t>Z</w:t>
      </w:r>
      <w:bookmarkStart w:id="1091" w:name="__Fieldmark__6190_998588997"/>
      <w:r>
        <w:rPr/>
        <w:t>h</w:t>
      </w:r>
      <w:bookmarkStart w:id="1092" w:name="__Fieldmark__9815_118561941"/>
      <w:r>
        <w:rPr/>
        <w:t>ai, Zhang y Zhang 2016)</w:t>
      </w:r>
      <w:r>
        <w:rPr/>
      </w:r>
      <w:r>
        <w:fldChar w:fldCharType="end"/>
      </w:r>
      <w:bookmarkEnd w:id="1089"/>
      <w:bookmarkEnd w:id="1090"/>
      <w:bookmarkEnd w:id="1091"/>
      <w:bookmarkEnd w:id="1092"/>
      <w:r>
        <w:rPr/>
        <w:t>.</w:t>
      </w:r>
    </w:p>
    <w:p>
      <w:pPr>
        <w:pStyle w:val="Normal"/>
        <w:spacing w:lineRule="auto" w:line="360" w:before="0" w:after="0"/>
        <w:rPr/>
      </w:pPr>
      <w:r>
        <w:rPr/>
        <w:t xml:space="preserve">Sea un sistema de información </w:t>
      </w:r>
      <w:r>
        <w:rPr>
          <w:i/>
        </w:rPr>
        <w:t>SI = (U, A</w:t>
      </w:r>
      <w:r>
        <w:rPr>
          <w:rFonts w:eastAsia="Symbol" w:cs="Symbol" w:ascii="Symbol" w:hAnsi="Symbol"/>
          <w:i/>
        </w:rPr>
        <w:t></w:t>
      </w:r>
      <w:r>
        <w:rPr>
          <w:i/>
        </w:rPr>
        <w:t>D)</w:t>
      </w:r>
      <w:r>
        <w:rPr/>
        <w:t xml:space="preserve"> donde </w:t>
      </w:r>
      <w:r>
        <w:rPr>
          <w:i/>
          <w:iCs/>
          <w:szCs w:val="20"/>
        </w:rPr>
        <w:t xml:space="preserve">U </w:t>
      </w:r>
      <w:r>
        <w:rPr>
          <w:iCs/>
          <w:szCs w:val="20"/>
        </w:rPr>
        <w:t>es un</w:t>
      </w:r>
      <w:r>
        <w:rPr>
          <w:i/>
          <w:iCs/>
          <w:szCs w:val="20"/>
        </w:rPr>
        <w:t xml:space="preserve"> </w:t>
      </w:r>
      <w:r>
        <w:rPr>
          <w:iCs/>
          <w:szCs w:val="20"/>
        </w:rPr>
        <w:t xml:space="preserve">conjunto de datos descrito formado por los conjuntos de atributos </w:t>
      </w:r>
      <w:r>
        <w:rPr>
          <w:i/>
          <w:iCs/>
          <w:szCs w:val="20"/>
        </w:rPr>
        <w:t>A</w:t>
      </w:r>
      <w:r>
        <w:rPr>
          <w:iCs/>
          <w:szCs w:val="20"/>
        </w:rPr>
        <w:t xml:space="preserve"> y </w:t>
      </w:r>
      <w:r>
        <w:rPr>
          <w:i/>
          <w:iCs/>
          <w:szCs w:val="20"/>
        </w:rPr>
        <w:t>D,</w:t>
      </w:r>
      <w:r>
        <w:rPr>
          <w:iCs/>
          <w:szCs w:val="20"/>
        </w:rPr>
        <w:t xml:space="preserve"> usualmente denominados en la teoría de conjuntos aproximados como atributos predictores y atributos de decisión respectivamente, se denomina </w:t>
      </w:r>
      <w:r>
        <w:rPr>
          <w:i/>
          <w:iCs/>
          <w:szCs w:val="20"/>
        </w:rPr>
        <w:t>H</w:t>
      </w:r>
      <w:r>
        <w:rPr>
          <w:iCs/>
          <w:szCs w:val="20"/>
        </w:rPr>
        <w:t xml:space="preserve"> al conjunto total de atributos del problema en cuestión, tal que </w:t>
      </w:r>
      <w:r>
        <w:rPr>
          <w:i/>
          <w:iCs/>
          <w:szCs w:val="20"/>
        </w:rPr>
        <w:t>H</w:t>
      </w:r>
      <w:r>
        <w:rPr>
          <w:iCs/>
          <w:szCs w:val="20"/>
        </w:rPr>
        <w:t xml:space="preserve"> = </w:t>
      </w:r>
      <w:r>
        <w:rPr>
          <w:i/>
        </w:rPr>
        <w:t>A</w:t>
      </w:r>
      <w:r>
        <w:rPr>
          <w:rFonts w:eastAsia="Symbol" w:cs="Symbol" w:ascii="Symbol" w:hAnsi="Symbol"/>
          <w:i/>
        </w:rPr>
        <w:t></w:t>
      </w:r>
      <w:r>
        <w:rPr>
          <w:i/>
        </w:rPr>
        <w:t>D, X</w:t>
      </w:r>
      <w:r>
        <w:rPr>
          <w:rFonts w:eastAsia="Symbol" w:cs="Symbol" w:ascii="Symbol" w:hAnsi="Symbol"/>
          <w:i/>
          <w:lang w:val="en-US"/>
        </w:rPr>
        <w:t></w:t>
      </w:r>
      <w:r>
        <w:rPr>
          <w:i/>
        </w:rPr>
        <w:t>U</w:t>
      </w:r>
      <w:r>
        <w:rPr/>
        <w:t xml:space="preserve"> es un conjunto de objetos y </w:t>
      </w:r>
      <w:r>
        <w:rPr>
          <w:i/>
        </w:rPr>
        <w:t>B</w:t>
      </w:r>
      <w:r>
        <w:rPr>
          <w:rFonts w:eastAsia="Symbol" w:cs="Symbol" w:ascii="Symbol" w:hAnsi="Symbol"/>
          <w:i/>
          <w:lang w:val="en-US"/>
        </w:rPr>
        <w:t></w:t>
      </w:r>
      <w:r>
        <w:rPr>
          <w:i/>
        </w:rPr>
        <w:t xml:space="preserve"> A</w:t>
      </w:r>
      <w:r>
        <w:rPr/>
        <w:t xml:space="preserve"> un conjunto seleccionado de atributos. De la información contenida en </w:t>
      </w:r>
      <w:r>
        <w:rPr>
          <w:i/>
        </w:rPr>
        <w:t xml:space="preserve">B, </w:t>
      </w:r>
      <w:r>
        <w:rPr/>
        <w:t>la variable</w:t>
      </w:r>
      <w:r>
        <w:rPr>
          <w:i/>
        </w:rPr>
        <w:t xml:space="preserve"> X</w:t>
      </w:r>
      <w:r>
        <w:rPr/>
        <w:t xml:space="preserve"> puede ser aproximada de la forma siguiente:</w:t>
      </w:r>
    </w:p>
    <w:p>
      <w:pPr>
        <w:pStyle w:val="Normal"/>
        <w:numPr>
          <w:ilvl w:val="0"/>
          <w:numId w:val="16"/>
        </w:numPr>
        <w:overflowPunct w:val="true"/>
        <w:spacing w:lineRule="auto" w:line="240" w:before="0" w:after="0"/>
        <w:textAlignment w:val="auto"/>
        <w:rPr>
          <w:rFonts w:cs="Times New Roman"/>
        </w:rPr>
      </w:pPr>
      <w:r>
        <w:rPr>
          <w:rFonts w:cs="Times New Roman"/>
        </w:rPr>
        <w:t xml:space="preserve">La aproximación inferior de </w:t>
      </w:r>
      <w:r>
        <w:rPr>
          <w:rFonts w:cs="Times New Roman"/>
          <w:i/>
        </w:rPr>
        <w:t>X</w:t>
      </w:r>
      <w:r>
        <w:rPr>
          <w:rFonts w:cs="Times New Roman"/>
        </w:rPr>
        <w:t xml:space="preserve"> con respecto a </w:t>
      </w:r>
      <w:r>
        <w:rPr>
          <w:rFonts w:cs="Times New Roman"/>
          <w:i/>
        </w:rPr>
        <w:t>B</w:t>
      </w:r>
      <w:r>
        <w:rPr>
          <w:rFonts w:cs="Times New Roman"/>
        </w:rPr>
        <w:t xml:space="preserve"> es:</w:t>
      </w:r>
    </w:p>
    <w:p>
      <w:pPr>
        <w:pStyle w:val="Normal"/>
        <w:spacing w:before="120" w:after="0"/>
        <w:ind w:left="947" w:hanging="0"/>
        <w:rPr/>
      </w:pPr>
      <w:r>
        <w:rPr>
          <w:i/>
        </w:rPr>
        <w:t>B</w:t>
      </w:r>
      <w:r>
        <w:rPr>
          <w:rFonts w:eastAsia="Cambria Math" w:cs="Cambria Math" w:ascii="Cambria Math" w:hAnsi="Cambria Math"/>
          <w:sz w:val="26"/>
          <w:vertAlign w:val="subscript"/>
        </w:rPr>
        <w:t>∗</w:t>
      </w:r>
      <w:r>
        <w:rPr>
          <w:i/>
        </w:rPr>
        <w:t xml:space="preserve">(X)= {x </w:t>
      </w:r>
      <w:r>
        <w:rPr>
          <w:rFonts w:eastAsia="Cambria Math" w:cs="Cambria Math" w:ascii="Cambria Math" w:hAnsi="Cambria Math"/>
          <w:sz w:val="21"/>
        </w:rPr>
        <w:t>∈</w:t>
      </w:r>
      <w:r>
        <w:rPr>
          <w:i/>
        </w:rPr>
        <w:t xml:space="preserve"> U: B(x) </w:t>
      </w:r>
      <w:r>
        <w:rPr>
          <w:rFonts w:eastAsia="Cambria Math" w:cs="Cambria Math" w:ascii="Cambria Math" w:hAnsi="Cambria Math"/>
          <w:sz w:val="21"/>
        </w:rPr>
        <w:t xml:space="preserve">⊆ </w:t>
      </w:r>
      <w:r>
        <w:rPr>
          <w:i/>
        </w:rPr>
        <w:t>X}</w:t>
      </w:r>
      <w:r>
        <w:rPr/>
        <w:t xml:space="preserve"> </w:t>
        <w:tab/>
        <w:tab/>
        <w:t xml:space="preserve">Ecuación </w:t>
      </w:r>
      <w:r>
        <w:rPr/>
        <w:fldChar w:fldCharType="begin"/>
      </w:r>
      <w:r>
        <w:instrText> SEQ Ecuación \* ARABIC </w:instrText>
      </w:r>
      <w:r>
        <w:fldChar w:fldCharType="separate"/>
      </w:r>
      <w:r>
        <w:t>3</w:t>
      </w:r>
      <w:r>
        <w:fldChar w:fldCharType="end"/>
      </w:r>
    </w:p>
    <w:p>
      <w:pPr>
        <w:pStyle w:val="Normal"/>
        <w:numPr>
          <w:ilvl w:val="0"/>
          <w:numId w:val="16"/>
        </w:numPr>
        <w:suppressAutoHyphens w:val="false"/>
        <w:overflowPunct w:val="true"/>
        <w:spacing w:lineRule="auto" w:line="247" w:before="0" w:after="5"/>
        <w:ind w:left="947" w:right="40" w:hanging="360"/>
        <w:textAlignment w:val="auto"/>
        <w:rPr/>
      </w:pPr>
      <w:r>
        <w:rPr/>
        <w:t xml:space="preserve">La aproximación superior de </w:t>
      </w:r>
      <w:r>
        <w:rPr>
          <w:i/>
        </w:rPr>
        <w:t>X</w:t>
      </w:r>
      <w:r>
        <w:rPr/>
        <w:t xml:space="preserve"> con respecto a </w:t>
      </w:r>
      <w:r>
        <w:rPr>
          <w:i/>
        </w:rPr>
        <w:t>B</w:t>
      </w:r>
      <w:r>
        <w:rPr/>
        <w:t xml:space="preserve"> es:</w:t>
      </w:r>
    </w:p>
    <w:p>
      <w:pPr>
        <w:pStyle w:val="Normal"/>
        <w:suppressAutoHyphens w:val="false"/>
        <w:spacing w:lineRule="auto" w:line="247" w:before="120" w:after="5"/>
        <w:ind w:left="947" w:right="40" w:hanging="0"/>
        <w:rPr/>
      </w:pPr>
      <w:r>
        <w:rPr>
          <w:i/>
        </w:rPr>
        <w:t>B</w:t>
      </w:r>
      <w:r>
        <w:rPr>
          <w:rFonts w:eastAsia="Cambria Math" w:cs="Cambria Math" w:ascii="Cambria Math" w:hAnsi="Cambria Math"/>
          <w:i/>
          <w:sz w:val="26"/>
          <w:vertAlign w:val="superscript"/>
        </w:rPr>
        <w:t>*</w:t>
      </w:r>
      <w:r>
        <w:rPr>
          <w:i/>
        </w:rPr>
        <w:t xml:space="preserve">(X) = {x </w:t>
      </w:r>
      <w:r>
        <w:rPr>
          <w:rFonts w:eastAsia="Cambria Math" w:cs="Cambria Math" w:ascii="Cambria Math" w:hAnsi="Cambria Math"/>
          <w:i/>
          <w:sz w:val="21"/>
        </w:rPr>
        <w:t>∈</w:t>
      </w:r>
      <w:r>
        <w:rPr>
          <w:i/>
        </w:rPr>
        <w:t xml:space="preserve"> U: B(x) </w:t>
      </w:r>
      <w:r>
        <w:rPr/>
        <w:t>∩</w:t>
      </w:r>
      <w:r>
        <w:rPr>
          <w:i/>
        </w:rPr>
        <w:t xml:space="preserve"> X </w:t>
      </w:r>
      <w:r>
        <w:rPr>
          <w:rFonts w:eastAsia="Symbol" w:cs="Symbol" w:ascii="Symbol" w:hAnsi="Symbol"/>
          <w:i/>
        </w:rPr>
        <w:t></w:t>
      </w:r>
      <w:r>
        <w:rPr>
          <w:i/>
        </w:rPr>
        <w:t xml:space="preserve"> </w:t>
      </w:r>
      <w:r>
        <w:rPr>
          <w:i/>
          <w:lang w:val="en-US"/>
        </w:rPr>
        <w:t>Φ</w:t>
      </w:r>
      <w:r>
        <w:rPr>
          <w:i/>
        </w:rPr>
        <w:t xml:space="preserve">} </w:t>
        <w:tab/>
      </w:r>
      <w:r>
        <w:rPr/>
        <w:t xml:space="preserve">Ecuación </w:t>
      </w:r>
      <w:r>
        <w:rPr/>
        <w:fldChar w:fldCharType="begin"/>
      </w:r>
      <w:r>
        <w:instrText> SEQ Ecuación \* ARABIC </w:instrText>
      </w:r>
      <w:r>
        <w:fldChar w:fldCharType="separate"/>
      </w:r>
      <w:r>
        <w:t>4</w:t>
      </w:r>
      <w:r>
        <w:fldChar w:fldCharType="end"/>
      </w:r>
    </w:p>
    <w:p>
      <w:pPr>
        <w:pStyle w:val="Normal"/>
        <w:numPr>
          <w:ilvl w:val="0"/>
          <w:numId w:val="16"/>
        </w:numPr>
        <w:suppressAutoHyphens w:val="false"/>
        <w:overflowPunct w:val="true"/>
        <w:spacing w:lineRule="auto" w:line="247" w:before="120" w:after="5"/>
        <w:ind w:left="947" w:right="40" w:hanging="357"/>
        <w:textAlignment w:val="auto"/>
        <w:rPr/>
      </w:pPr>
      <w:r>
        <w:rPr/>
        <w:t>La región frontera puede ser definida como:</w:t>
      </w:r>
    </w:p>
    <w:p>
      <w:pPr>
        <w:pStyle w:val="Normal"/>
        <w:suppressAutoHyphens w:val="false"/>
        <w:spacing w:lineRule="auto" w:line="247" w:before="120" w:after="5"/>
        <w:ind w:left="947" w:right="40" w:hanging="0"/>
        <w:rPr/>
      </w:pPr>
      <w:r>
        <w:rPr>
          <w:i/>
        </w:rPr>
        <w:t>BN</w:t>
      </w:r>
      <w:r>
        <w:rPr>
          <w:i/>
          <w:vertAlign w:val="subscript"/>
        </w:rPr>
        <w:t>B</w:t>
      </w:r>
      <w:r>
        <w:rPr>
          <w:i/>
        </w:rPr>
        <w:t>(X)= B*(X) - B</w:t>
      </w:r>
      <w:r>
        <w:rPr>
          <w:rFonts w:eastAsia="Cambria Math" w:cs="Cambria Math" w:ascii="Cambria Math" w:hAnsi="Cambria Math"/>
          <w:i/>
        </w:rPr>
        <w:t>∗</w:t>
      </w:r>
      <w:r>
        <w:rPr>
          <w:i/>
        </w:rPr>
        <w:t>(X)</w:t>
      </w:r>
      <w:r>
        <w:rPr/>
        <w:t xml:space="preserve"> </w:t>
        <w:tab/>
        <w:tab/>
        <w:t xml:space="preserve">    Ecuación </w:t>
      </w:r>
      <w:r>
        <w:rPr/>
        <w:fldChar w:fldCharType="begin"/>
      </w:r>
      <w:r>
        <w:instrText> SEQ Ecuación \* ARABIC </w:instrText>
      </w:r>
      <w:r>
        <w:fldChar w:fldCharType="separate"/>
      </w:r>
      <w:r>
        <w:t>5</w:t>
      </w:r>
      <w:r>
        <w:fldChar w:fldCharType="end"/>
      </w:r>
    </w:p>
    <w:p>
      <w:pPr>
        <w:pStyle w:val="Normal"/>
        <w:numPr>
          <w:ilvl w:val="0"/>
          <w:numId w:val="16"/>
        </w:numPr>
        <w:suppressAutoHyphens w:val="false"/>
        <w:overflowPunct w:val="true"/>
        <w:spacing w:lineRule="auto" w:line="247" w:before="120" w:after="5"/>
        <w:ind w:left="947" w:right="40" w:hanging="357"/>
        <w:textAlignment w:val="auto"/>
        <w:rPr/>
      </w:pPr>
      <w:r>
        <w:rPr/>
        <w:t xml:space="preserve">La región negativa de la decisión </w:t>
      </w:r>
      <w:r>
        <w:rPr>
          <w:i/>
        </w:rPr>
        <w:t>d</w:t>
      </w:r>
      <w:r>
        <w:rPr/>
        <w:t xml:space="preserve"> con respecto a </w:t>
      </w:r>
      <w:r>
        <w:rPr>
          <w:i/>
        </w:rPr>
        <w:t>B</w:t>
      </w:r>
      <w:r>
        <w:rPr/>
        <w:t xml:space="preserve"> es:</w:t>
      </w:r>
    </w:p>
    <w:p>
      <w:pPr>
        <w:pStyle w:val="Normal"/>
        <w:suppressAutoHyphens w:val="false"/>
        <w:spacing w:lineRule="auto" w:line="247" w:before="120" w:after="5"/>
        <w:ind w:left="947" w:right="40" w:hanging="0"/>
        <w:rPr/>
      </w:pPr>
      <w:r>
        <w:rPr>
          <w:i/>
        </w:rPr>
        <w:t>NEG</w:t>
      </w:r>
      <w:r>
        <w:rPr>
          <w:i/>
          <w:vertAlign w:val="subscript"/>
        </w:rPr>
        <w:t>B</w:t>
      </w:r>
      <w:r>
        <w:rPr>
          <w:i/>
        </w:rPr>
        <w:t>(X)= U – B</w:t>
      </w:r>
      <w:r>
        <w:rPr>
          <w:rFonts w:eastAsia="Cambria Math" w:cs="Cambria Math" w:ascii="Cambria Math" w:hAnsi="Cambria Math"/>
          <w:i/>
        </w:rPr>
        <w:t>∗</w:t>
      </w:r>
      <w:r>
        <w:rPr>
          <w:i/>
        </w:rPr>
        <w:t>(X)</w:t>
      </w:r>
      <w:r>
        <w:rPr/>
        <w:t xml:space="preserve"> </w:t>
        <w:tab/>
        <w:tab/>
        <w:tab/>
        <w:t xml:space="preserve">Ecuación </w:t>
      </w:r>
      <w:r>
        <w:rPr/>
        <w:fldChar w:fldCharType="begin"/>
      </w:r>
      <w:r>
        <w:instrText> SEQ Ecuación \* ARABIC </w:instrText>
      </w:r>
      <w:r>
        <w:fldChar w:fldCharType="separate"/>
      </w:r>
      <w:r>
        <w:t>6</w:t>
      </w:r>
      <w:r>
        <w:fldChar w:fldCharType="end"/>
      </w:r>
    </w:p>
    <w:p>
      <w:pPr>
        <w:pStyle w:val="Normal"/>
        <w:numPr>
          <w:ilvl w:val="0"/>
          <w:numId w:val="16"/>
        </w:numPr>
        <w:suppressAutoHyphens w:val="false"/>
        <w:overflowPunct w:val="true"/>
        <w:spacing w:before="120" w:after="5"/>
        <w:ind w:left="947" w:right="40" w:hanging="357"/>
        <w:textAlignment w:val="auto"/>
        <w:rPr/>
      </w:pPr>
      <w:r>
        <w:rPr/>
        <w:t xml:space="preserve">Relación de indiscernibilidad: define una relación de equivalencia </w:t>
      </w:r>
      <w:r>
        <w:rPr>
          <w:i/>
        </w:rPr>
        <w:t>IND</w:t>
      </w:r>
      <w:r>
        <w:rPr>
          <w:i/>
          <w:vertAlign w:val="subscript"/>
        </w:rPr>
        <w:t>B</w:t>
      </w:r>
      <w:r>
        <w:rPr/>
        <w:t xml:space="preserve"> </w:t>
      </w:r>
      <w:r>
        <w:fldChar w:fldCharType="begin"/>
      </w:r>
      <w:r>
        <w:instrText>ADDIN ZOTERO_ITEM CSL_CITATION {"citationID":"a12vck3ourj","properties":{"formattedCitation":"(Pawlak 1982)","plainCitation":"(Pawlak 1982)","noteIndex":0},"citationItems":[{"id":"NJclqhNX/Z80Xppio","uris":["http://zotero.org/users/local/EJ15hJE2/items/JYT5S4LN"],"uri":["http://zotero.org/users/local/EJ15hJE2/items/JYT5S4LN"],"itemData":{"id":451,"type":"article-journal","abstract":"We investigate in this paper approximate operations on sets, approximate equality of sets, and approximate inclusion of sets. The presented approach may be considered as an alternative to fuzzy sets theory and tolerance theory. Some applications are outlined.","container-title":"International Journal of Computer &amp; Information Sciences","DOI":"10.1007/BF01001956","ISSN":"1573-7640","issue":"5","journalAbbreviation":"International Journal of Computer and Information Sciences","language":"en","page":"341-356","source":"Springer Link","title":"Rough sets","volume":"11","author":[{"family":"Pawlak","given":"Zdzisław"}],"issued":{"date-parts":[["1982",10,1]]}}}],"schema":"https://github.com/citation-style-language/schema/raw/master/csl-citation.json"}</w:instrText>
      </w:r>
      <w:r>
        <w:fldChar w:fldCharType="separate"/>
      </w:r>
      <w:bookmarkStart w:id="1093" w:name="__Fieldmark__8287_2067855929"/>
      <w:r>
        <w:rPr/>
        <w:t>(</w:t>
      </w:r>
      <w:bookmarkStart w:id="1094" w:name="__Fieldmark__7128_498839314"/>
      <w:r>
        <w:rPr/>
        <w:t>P</w:t>
      </w:r>
      <w:bookmarkStart w:id="1095" w:name="__Fieldmark__6304_998588997"/>
      <w:r>
        <w:rPr/>
        <w:t>a</w:t>
      </w:r>
      <w:bookmarkStart w:id="1096" w:name="__Fieldmark__9949_118561941"/>
      <w:r>
        <w:rPr/>
        <w:t>wlak 1982)</w:t>
      </w:r>
      <w:r>
        <w:rPr/>
      </w:r>
      <w:r>
        <w:fldChar w:fldCharType="end"/>
      </w:r>
      <w:bookmarkEnd w:id="1093"/>
      <w:bookmarkEnd w:id="1094"/>
      <w:bookmarkEnd w:id="1095"/>
      <w:bookmarkEnd w:id="1096"/>
      <w:r>
        <w:rPr/>
        <w:t xml:space="preserve">, </w:t>
      </w:r>
      <w:r>
        <w:fldChar w:fldCharType="begin"/>
      </w:r>
      <w:r>
        <w:instrText>ADDIN ZOTERO_ITEM CSL_CITATION {"citationID":"arivn5a52k","properties":{"formattedCitation":"(Bello y Verdegay 2012)","plainCitation":"(Bello y Verdegay 2012)","noteIndex":0},"citationItems":[{"id":"NJclqhNX/FudetImu","uris":["http://zotero.org/users/local/rsuvzjK6/items/78C6ALHR"],"uri":["http://zotero.org/users/local/rsuvzjK6/items/78C6ALHR"],"itemData":{"id":2319,"type":"article-journal","abstract":"Problem-solving in situations of uncertainty is a key issue in achieving effective computational systems. Various techniques have been developed to address uncertainty, including Soft Computing, which has established itself as an area of significant interest. On the other hand, rough sets theory has become an effective means of dealing with uncertainty, particularly when it arises as a result of inconsistencies in the data. The present paper surveys an analysis of the relationship between rough sets and other components of Soft Computing, and of how this hybridization helps improve system performance.","container-title":"Information Sciences, ISSN 0020-0255","DOI":"10.1016/j.ins.2012.04.041","ISSN":"0020-0255","language":"en","page":"1–14","title":"Rough sets in the Soft Computing environment","volume":"212","author":[{"family":"Bello","given":"Rafael"},{"family":"Verdegay","given":"José Luis"}],"issued":{"date-parts":[["2012",12]]}}}],"schema":"https://github.com/citation-style-language/schema/raw/master/csl-citation.json"}</w:instrText>
      </w:r>
      <w:r>
        <w:fldChar w:fldCharType="separate"/>
      </w:r>
      <w:bookmarkStart w:id="1097" w:name="__Fieldmark__8302_2067855929"/>
      <w:r>
        <w:rPr/>
        <w:t>(</w:t>
      </w:r>
      <w:bookmarkStart w:id="1098" w:name="__Fieldmark__7139_498839314"/>
      <w:r>
        <w:rPr/>
        <w:t>B</w:t>
      </w:r>
      <w:bookmarkStart w:id="1099" w:name="__Fieldmark__6311_998588997"/>
      <w:r>
        <w:rPr/>
        <w:t>e</w:t>
      </w:r>
      <w:bookmarkStart w:id="1100" w:name="__Fieldmark__9954_118561941"/>
      <w:r>
        <w:rPr/>
        <w:t>llo y Verdegay 2012)</w:t>
      </w:r>
      <w:r>
        <w:rPr/>
      </w:r>
      <w:r>
        <w:fldChar w:fldCharType="end"/>
      </w:r>
      <w:bookmarkEnd w:id="1097"/>
      <w:bookmarkEnd w:id="1098"/>
      <w:bookmarkEnd w:id="1099"/>
      <w:bookmarkEnd w:id="1100"/>
      <w:r>
        <w:rPr/>
        <w:t xml:space="preserve"> y esta relación es denotada por:</w:t>
      </w:r>
    </w:p>
    <w:p>
      <w:pPr>
        <w:pStyle w:val="Normal"/>
        <w:suppressAutoHyphens w:val="false"/>
        <w:spacing w:lineRule="auto" w:line="247" w:before="120" w:after="5"/>
        <w:ind w:left="947" w:right="40" w:hanging="0"/>
        <w:rPr/>
      </w:pPr>
      <w:r>
        <w:rPr>
          <w:i/>
          <w:iCs/>
        </w:rPr>
        <w:t>IND</w:t>
      </w:r>
      <w:r>
        <w:rPr>
          <w:i/>
          <w:iCs/>
          <w:vertAlign w:val="subscript"/>
        </w:rPr>
        <w:t>B</w:t>
      </w:r>
      <w:r>
        <w:rPr/>
        <w:t>(</w:t>
      </w:r>
      <w:r>
        <w:rPr>
          <w:i/>
          <w:iCs/>
        </w:rPr>
        <w:t>B</w:t>
      </w:r>
      <w:r>
        <w:rPr/>
        <w:t>) = {(</w:t>
      </w:r>
      <w:r>
        <w:rPr>
          <w:i/>
          <w:iCs/>
        </w:rPr>
        <w:t>x</w:t>
      </w:r>
      <w:r>
        <w:rPr/>
        <w:t xml:space="preserve">, </w:t>
      </w:r>
      <w:r>
        <w:rPr>
          <w:i/>
          <w:iCs/>
        </w:rPr>
        <w:t>y</w:t>
      </w:r>
      <w:r>
        <w:rPr/>
        <w:t>) ∈</w:t>
      </w:r>
      <w:r>
        <w:rPr>
          <w:i/>
          <w:iCs/>
        </w:rPr>
        <w:t>U</w:t>
      </w:r>
      <w:r>
        <w:rPr/>
        <w:t>×</w:t>
      </w:r>
      <w:r>
        <w:rPr>
          <w:i/>
          <w:iCs/>
        </w:rPr>
        <w:t>U</w:t>
      </w:r>
      <w:r>
        <w:rPr/>
        <w:t xml:space="preserve">: </w:t>
      </w:r>
      <w:r>
        <w:rPr>
          <w:i/>
          <w:iCs/>
        </w:rPr>
        <w:t>a</w:t>
      </w:r>
      <w:r>
        <w:rPr/>
        <w:t>(</w:t>
      </w:r>
      <w:r>
        <w:rPr>
          <w:i/>
          <w:iCs/>
        </w:rPr>
        <w:t>x</w:t>
      </w:r>
      <w:r>
        <w:rPr/>
        <w:t xml:space="preserve">) = </w:t>
      </w:r>
      <w:r>
        <w:rPr>
          <w:i/>
          <w:iCs/>
        </w:rPr>
        <w:t>a</w:t>
      </w:r>
      <w:r>
        <w:rPr/>
        <w:t>(</w:t>
      </w:r>
      <w:r>
        <w:rPr>
          <w:i/>
          <w:iCs/>
        </w:rPr>
        <w:t>y</w:t>
      </w:r>
      <w:r>
        <w:rPr/>
        <w:t xml:space="preserve">) para cada </w:t>
      </w:r>
      <w:r>
        <w:rPr>
          <w:i/>
          <w:iCs/>
        </w:rPr>
        <w:t>a</w:t>
      </w:r>
      <w:r>
        <w:rPr/>
        <w:t>∈</w:t>
      </w:r>
      <w:r>
        <w:rPr>
          <w:i/>
          <w:iCs/>
        </w:rPr>
        <w:t>B</w:t>
      </w:r>
      <w:r>
        <w:rPr/>
        <w:t xml:space="preserve">}    </w:t>
      </w:r>
      <w:bookmarkStart w:id="1101" w:name="_Ref81292616"/>
      <w:r>
        <w:rPr/>
        <w:t xml:space="preserve">Ecuación </w:t>
      </w:r>
      <w:bookmarkEnd w:id="1101"/>
      <w:r>
        <w:rPr/>
        <w:fldChar w:fldCharType="begin"/>
      </w:r>
      <w:r>
        <w:instrText> SEQ Ecuación \* ARABIC </w:instrText>
      </w:r>
      <w:r>
        <w:fldChar w:fldCharType="separate"/>
      </w:r>
      <w:r>
        <w:t>7</w:t>
      </w:r>
      <w:r>
        <w:fldChar w:fldCharType="end"/>
      </w:r>
    </w:p>
    <w:p>
      <w:pPr>
        <w:pStyle w:val="Normal"/>
        <w:numPr>
          <w:ilvl w:val="0"/>
          <w:numId w:val="16"/>
        </w:numPr>
        <w:overflowPunct w:val="true"/>
        <w:spacing w:lineRule="auto" w:line="240" w:before="120" w:after="0"/>
        <w:ind w:left="947" w:hanging="357"/>
        <w:textAlignment w:val="auto"/>
        <w:rPr>
          <w:rFonts w:cs="Times New Roman"/>
        </w:rPr>
      </w:pPr>
      <w:r>
        <w:rPr>
          <w:rFonts w:cs="Times New Roman"/>
        </w:rPr>
        <w:t xml:space="preserve">La región positiva de la decisión </w:t>
      </w:r>
      <w:r>
        <w:rPr>
          <w:rFonts w:cs="Times New Roman"/>
          <w:i/>
        </w:rPr>
        <w:t>d</w:t>
      </w:r>
      <w:r>
        <w:rPr>
          <w:rFonts w:cs="Times New Roman"/>
        </w:rPr>
        <w:t xml:space="preserve"> con respecto a </w:t>
      </w:r>
      <w:r>
        <w:rPr>
          <w:rFonts w:cs="Times New Roman"/>
          <w:i/>
        </w:rPr>
        <w:t>B</w:t>
      </w:r>
      <w:r>
        <w:rPr>
          <w:rFonts w:cs="Times New Roman"/>
        </w:rPr>
        <w:t xml:space="preserve"> es:</w:t>
      </w:r>
    </w:p>
    <w:p>
      <w:pPr>
        <w:pStyle w:val="Normal"/>
        <w:spacing w:before="120" w:after="120"/>
        <w:ind w:left="947" w:hanging="0"/>
        <w:rPr/>
      </w:pPr>
      <w:r>
        <w:rPr>
          <w:i/>
        </w:rPr>
        <w:t>POS</w:t>
      </w:r>
      <w:r>
        <w:rPr>
          <w:i/>
          <w:vertAlign w:val="subscript"/>
        </w:rPr>
        <w:t>B</w:t>
      </w:r>
      <w:r>
        <w:rPr>
          <w:i/>
        </w:rPr>
        <w:t xml:space="preserve"> </w:t>
      </w:r>
      <w:r>
        <w:rPr/>
        <w:t>(</w:t>
      </w:r>
      <w:r>
        <w:rPr>
          <w:i/>
          <w:iCs/>
        </w:rPr>
        <w:t>d</w:t>
      </w:r>
      <w:r>
        <w:rPr/>
        <w:t xml:space="preserve">) </w:t>
      </w:r>
      <w:r>
        <w:rPr>
          <w:i/>
        </w:rPr>
        <w:t xml:space="preserve">= </w:t>
      </w:r>
      <w:r>
        <w:rPr>
          <w:rFonts w:eastAsia="Symbol" w:cs="Symbol" w:ascii="Symbol" w:hAnsi="Symbol"/>
          <w:iCs/>
          <w:lang w:val="en-US"/>
        </w:rPr>
        <w:t></w:t>
      </w:r>
      <w:r>
        <w:rPr>
          <w:iCs/>
        </w:rPr>
        <w:t xml:space="preserve"> {</w:t>
      </w:r>
      <w:r>
        <w:rPr>
          <w:i/>
        </w:rPr>
        <w:t>B</w:t>
      </w:r>
      <w:r>
        <w:rPr>
          <w:rFonts w:eastAsia="Cambria Math" w:cs="Cambria Math" w:ascii="Cambria Math" w:hAnsi="Cambria Math"/>
          <w:i/>
          <w:sz w:val="26"/>
          <w:vertAlign w:val="subscript"/>
        </w:rPr>
        <w:t>∗</w:t>
      </w:r>
      <w:r>
        <w:rPr/>
        <w:t>(</w:t>
      </w:r>
      <w:r>
        <w:rPr>
          <w:i/>
          <w:iCs/>
        </w:rPr>
        <w:t>X</w:t>
      </w:r>
      <w:r>
        <w:rPr/>
        <w:t>)</w:t>
      </w:r>
      <w:r>
        <w:rPr>
          <w:i/>
        </w:rPr>
        <w:t xml:space="preserve">: X </w:t>
      </w:r>
      <w:r>
        <w:rPr>
          <w:rFonts w:eastAsia="Cambria Math" w:cs="Cambria Math" w:ascii="Cambria Math" w:hAnsi="Cambria Math"/>
          <w:iCs/>
          <w:sz w:val="21"/>
        </w:rPr>
        <w:t>∈</w:t>
      </w:r>
      <w:r>
        <w:rPr>
          <w:i/>
        </w:rPr>
        <w:t xml:space="preserve"> U</w:t>
      </w:r>
      <w:r>
        <w:rPr>
          <w:iCs/>
        </w:rPr>
        <w:t>/</w:t>
      </w:r>
      <w:r>
        <w:rPr>
          <w:i/>
        </w:rPr>
        <w:t>IND</w:t>
      </w:r>
      <w:r>
        <w:rPr>
          <w:iCs/>
        </w:rPr>
        <w:t>(</w:t>
      </w:r>
      <w:r>
        <w:rPr>
          <w:i/>
        </w:rPr>
        <w:t>d</w:t>
      </w:r>
      <w:r>
        <w:rPr>
          <w:iCs/>
        </w:rPr>
        <w:t>)</w:t>
      </w:r>
      <w:r>
        <w:rPr>
          <w:i/>
        </w:rPr>
        <w:t xml:space="preserve">, d </w:t>
      </w:r>
      <w:r>
        <w:rPr>
          <w:rFonts w:eastAsia="Cambria Math" w:cs="Cambria Math" w:ascii="Cambria Math" w:hAnsi="Cambria Math"/>
          <w:iCs/>
          <w:sz w:val="21"/>
        </w:rPr>
        <w:t xml:space="preserve">∈ </w:t>
      </w:r>
      <w:r>
        <w:rPr>
          <w:rFonts w:eastAsia="Cambria Math" w:cs="Cambria Math" w:ascii="Cambria Math" w:hAnsi="Cambria Math"/>
          <w:i/>
          <w:sz w:val="21"/>
        </w:rPr>
        <w:t>D</w:t>
      </w:r>
      <w:r>
        <w:rPr>
          <w:iCs/>
        </w:rPr>
        <w:t>}</w:t>
      </w:r>
      <w:r>
        <w:rPr>
          <w:i/>
        </w:rPr>
        <w:tab/>
      </w:r>
      <w:bookmarkStart w:id="1102" w:name="_Ref81292802"/>
      <w:r>
        <w:rPr/>
        <w:t xml:space="preserve">Ecuación </w:t>
      </w:r>
      <w:bookmarkEnd w:id="1102"/>
      <w:r>
        <w:rPr/>
        <w:fldChar w:fldCharType="begin"/>
      </w:r>
      <w:r>
        <w:instrText> SEQ Ecuación \* ARABIC </w:instrText>
      </w:r>
      <w:r>
        <w:fldChar w:fldCharType="separate"/>
      </w:r>
      <w:r>
        <w:t>8</w:t>
      </w:r>
      <w:r>
        <w:fldChar w:fldCharType="end"/>
      </w:r>
    </w:p>
    <w:p>
      <w:pPr>
        <w:pStyle w:val="Normal"/>
        <w:spacing w:before="120" w:after="120"/>
        <w:ind w:right="40" w:firstLine="284"/>
        <w:rPr/>
      </w:pPr>
      <w:r>
        <w:rPr/>
        <w:t xml:space="preserve">Otro concepto útil es la dependencia en grado </w:t>
      </w:r>
      <w:r>
        <w:rPr>
          <w:i/>
        </w:rPr>
        <w:t>k</w:t>
      </w:r>
      <w:r>
        <w:rPr/>
        <w:t xml:space="preserve">, que se explica en la </w:t>
      </w:r>
      <w:r>
        <w:rPr/>
        <w:fldChar w:fldCharType="begin"/>
      </w:r>
      <w:r>
        <w:instrText> REF _Ref68504501 \h </w:instrText>
      </w:r>
      <w:r>
        <w:fldChar w:fldCharType="separate"/>
      </w:r>
      <w:r>
        <w:t>Definición 3</w:t>
      </w:r>
      <w:r>
        <w:fldChar w:fldCharType="end"/>
      </w:r>
      <w:r>
        <w:rPr/>
        <w:t>.</w:t>
      </w:r>
    </w:p>
    <w:p>
      <w:pPr>
        <w:pStyle w:val="Normal"/>
        <w:rPr/>
      </w:pPr>
      <w:bookmarkStart w:id="1103" w:name="_Ref68504501"/>
      <w:r>
        <w:rPr>
          <w:b/>
        </w:rPr>
        <w:t xml:space="preserve">Definición </w:t>
      </w:r>
      <w:r>
        <w:rPr>
          <w:b/>
        </w:rPr>
        <w:fldChar w:fldCharType="begin"/>
      </w:r>
      <w:r>
        <w:instrText> SEQ Definición \* ARABIC </w:instrText>
      </w:r>
      <w:r>
        <w:fldChar w:fldCharType="separate"/>
      </w:r>
      <w:r>
        <w:t>3</w:t>
      </w:r>
      <w:r>
        <w:fldChar w:fldCharType="end"/>
      </w:r>
      <w:bookmarkEnd w:id="1103"/>
      <w:r>
        <w:rPr>
          <w:b/>
        </w:rPr>
        <w:t>:</w:t>
      </w:r>
      <w:r>
        <w:rPr/>
        <w:t xml:space="preserve"> Intuitivamente, un conjunto de atributos de decisión </w:t>
      </w:r>
      <w:r>
        <w:rPr>
          <w:i/>
        </w:rPr>
        <w:t>D</w:t>
      </w:r>
      <w:r>
        <w:rPr/>
        <w:t xml:space="preserve">, depende totalmente de un conjunto de atributos </w:t>
      </w:r>
      <w:r>
        <w:rPr>
          <w:i/>
        </w:rPr>
        <w:t>B</w:t>
      </w:r>
      <w:r>
        <w:rPr/>
        <w:t xml:space="preserve">, denotados por </w:t>
      </w:r>
      <w:r>
        <w:rPr>
          <w:i/>
        </w:rPr>
        <w:t xml:space="preserve">B </w:t>
      </w:r>
      <w:r>
        <w:rPr>
          <w:rFonts w:eastAsia="Symbol" w:cs="Symbol" w:ascii="Symbol" w:hAnsi="Symbol"/>
          <w:i/>
          <w:lang w:val="en-US"/>
        </w:rPr>
        <w:t></w:t>
      </w:r>
      <w:r>
        <w:rPr>
          <w:i/>
        </w:rPr>
        <w:t xml:space="preserve"> D</w:t>
      </w:r>
      <w:r>
        <w:rPr/>
        <w:t xml:space="preserve">, si todos los valores de los atributos </w:t>
      </w:r>
      <w:r>
        <w:rPr>
          <w:i/>
        </w:rPr>
        <w:t>D</w:t>
      </w:r>
      <w:r>
        <w:rPr/>
        <w:t xml:space="preserve"> están determinados unívocamente por los valores del atributo en </w:t>
      </w:r>
      <w:r>
        <w:rPr>
          <w:i/>
        </w:rPr>
        <w:t>B</w:t>
      </w:r>
      <w:r>
        <w:rPr/>
        <w:t xml:space="preserve">. En otras palabras, </w:t>
      </w:r>
      <w:r>
        <w:rPr>
          <w:i/>
        </w:rPr>
        <w:t xml:space="preserve">D </w:t>
      </w:r>
      <w:r>
        <w:rPr/>
        <w:t xml:space="preserve">depende totalmente de </w:t>
      </w:r>
      <w:r>
        <w:rPr>
          <w:i/>
        </w:rPr>
        <w:t>B</w:t>
      </w:r>
      <w:r>
        <w:rPr/>
        <w:t xml:space="preserve">, si existe una dependencia funcional entre los valores de </w:t>
      </w:r>
      <w:r>
        <w:rPr>
          <w:i/>
        </w:rPr>
        <w:t>D</w:t>
      </w:r>
      <w:r>
        <w:rPr/>
        <w:t xml:space="preserve"> y </w:t>
      </w:r>
      <w:r>
        <w:rPr>
          <w:i/>
        </w:rPr>
        <w:t>B</w:t>
      </w:r>
      <w:r>
        <w:rPr/>
        <w:t xml:space="preserve"> </w:t>
      </w:r>
      <w:r>
        <w:fldChar w:fldCharType="begin"/>
      </w:r>
      <w:r>
        <w:instrText>ADDIN ZOTERO_ITEM CSL_CITATION {"citationID":"achJUuX4","properties":{"formattedCitation":"(Pawlak 1982)","plainCitation":"(Pawlak 1982)","noteIndex":0},"citationItems":[{"id":"NJclqhNX/Z80Xppio","uris":["http://zotero.org/users/local/EJ15hJE2/items/JYT5S4LN"],"uri":["http://zotero.org/users/local/EJ15hJE2/items/JYT5S4LN"],"itemData":{"id":451,"type":"article-journal","abstract":"We investigate in this paper approximate operations on sets, approximate equality of sets, and approximate inclusion of sets. The presented approach may be considered as an alternative to fuzzy sets theory and tolerance theory. Some applications are outlined.","container-title":"International Journal of Computer &amp; Information Sciences","DOI":"10.1007/BF01001956","ISSN":"1573-7640","issue":"5","journalAbbreviation":"International Journal of Computer and Information Sciences","language":"en","page":"341-356","source":"Springer Link","title":"Rough sets","volume":"11","author":[{"family":"Pawlak","given":"Zdzisław"}],"issued":{"date-parts":[["1982",10,1]]}}}],"schema":"https://github.com/citation-style-language/schema/raw/master/csl-citation.json"}</w:instrText>
      </w:r>
      <w:r>
        <w:fldChar w:fldCharType="separate"/>
      </w:r>
      <w:bookmarkStart w:id="1104" w:name="__Fieldmark__8423_2067855929"/>
      <w:r>
        <w:rPr/>
        <w:t>(</w:t>
      </w:r>
      <w:bookmarkStart w:id="1105" w:name="__Fieldmark__7254_498839314"/>
      <w:r>
        <w:rPr/>
        <w:t>P</w:t>
      </w:r>
      <w:bookmarkStart w:id="1106" w:name="__Fieldmark__6422_998588997"/>
      <w:r>
        <w:rPr/>
        <w:t>a</w:t>
      </w:r>
      <w:bookmarkStart w:id="1107" w:name="__Fieldmark__10070_118561941"/>
      <w:r>
        <w:rPr/>
        <w:t>wlak 1982)</w:t>
      </w:r>
      <w:r>
        <w:rPr/>
      </w:r>
      <w:r>
        <w:fldChar w:fldCharType="end"/>
      </w:r>
      <w:bookmarkEnd w:id="1104"/>
      <w:bookmarkEnd w:id="1105"/>
      <w:bookmarkEnd w:id="1106"/>
      <w:bookmarkEnd w:id="1107"/>
      <w:r>
        <w:rPr/>
        <w:t xml:space="preserve">. </w:t>
      </w:r>
      <w:r>
        <w:rPr>
          <w:i/>
        </w:rPr>
        <w:t>D</w:t>
      </w:r>
      <w:r>
        <w:rPr/>
        <w:t xml:space="preserve"> depende de </w:t>
      </w:r>
      <w:r>
        <w:rPr>
          <w:i/>
        </w:rPr>
        <w:t>B</w:t>
      </w:r>
      <w:r>
        <w:rPr/>
        <w:t xml:space="preserve"> en un grado </w:t>
      </w:r>
      <w:r>
        <w:rPr>
          <w:i/>
        </w:rPr>
        <w:t>k</w:t>
      </w:r>
      <w:r>
        <w:rPr/>
        <w:t xml:space="preserve"> donde </w:t>
      </w:r>
      <w:r>
        <w:rPr>
          <w:i/>
        </w:rPr>
        <w:t>k</w:t>
      </w:r>
      <w:r>
        <w:rPr/>
        <w:t xml:space="preserve"> </w:t>
      </w:r>
      <w:r>
        <w:rPr>
          <w:rFonts w:eastAsia="Symbol" w:cs="Symbol" w:ascii="Symbol" w:hAnsi="Symbol"/>
          <w:lang w:val="en-US"/>
        </w:rPr>
        <w:t></w:t>
      </w:r>
      <w:r>
        <w:rPr/>
        <w:t xml:space="preserve"> [0,1]</w:t>
      </w:r>
      <w:r>
        <w:rPr>
          <w:rFonts w:eastAsia="Arial"/>
        </w:rPr>
        <w:t xml:space="preserve"> </w:t>
      </w:r>
      <w:r>
        <w:rPr/>
        <w:t xml:space="preserve">y se denota por </w:t>
      </w:r>
      <w:r>
        <w:rPr>
          <w:i/>
        </w:rPr>
        <w:t>B</w:t>
      </w:r>
      <w:r>
        <w:rPr>
          <w:rFonts w:eastAsia="Arial"/>
          <w:i/>
        </w:rPr>
        <w:t xml:space="preserve"> </w:t>
      </w:r>
      <w:r>
        <w:rPr>
          <w:rFonts w:eastAsia="Symbol" w:cs="Symbol" w:ascii="Symbol" w:hAnsi="Symbol"/>
          <w:i/>
          <w:lang w:val="en-US"/>
        </w:rPr>
        <w:t></w:t>
      </w:r>
      <w:r>
        <w:rPr>
          <w:rFonts w:eastAsia="Arial"/>
          <w:i/>
          <w:sz w:val="21"/>
          <w:vertAlign w:val="subscript"/>
        </w:rPr>
        <w:t>k</w:t>
      </w:r>
      <w:r>
        <w:rPr>
          <w:rFonts w:eastAsia="Arial"/>
          <w:i/>
        </w:rPr>
        <w:t xml:space="preserve"> D</w:t>
      </w:r>
      <w:r>
        <w:rPr>
          <w:rFonts w:eastAsia="Arial"/>
        </w:rPr>
        <w:t xml:space="preserve">, </w:t>
      </w:r>
      <w:r>
        <w:rPr/>
        <w:t xml:space="preserve">ver </w:t>
      </w:r>
      <w:r>
        <w:rPr/>
        <w:fldChar w:fldCharType="begin"/>
      </w:r>
      <w:r>
        <w:instrText> REF _Ref68944810 \h </w:instrText>
      </w:r>
      <w:r>
        <w:fldChar w:fldCharType="separate"/>
      </w:r>
      <w:r>
        <w:t xml:space="preserve">Ecuación </w:t>
      </w:r>
      <w:r>
        <w:fldChar w:fldCharType="end"/>
      </w:r>
      <w:r>
        <w:rPr/>
        <w:t xml:space="preserve">. Si </w:t>
      </w:r>
      <w:r>
        <w:rPr>
          <w:i/>
        </w:rPr>
        <w:t xml:space="preserve">k </w:t>
      </w:r>
      <w:r>
        <w:rPr/>
        <w:t xml:space="preserve">= 1 entonces </w:t>
      </w:r>
      <w:r>
        <w:rPr>
          <w:i/>
        </w:rPr>
        <w:t>D</w:t>
      </w:r>
      <w:r>
        <w:rPr/>
        <w:t xml:space="preserve"> depende totalmente de </w:t>
      </w:r>
      <w:r>
        <w:rPr>
          <w:i/>
        </w:rPr>
        <w:t>B</w:t>
      </w:r>
      <w:r>
        <w:rPr/>
        <w:t xml:space="preserve">, mientras que si </w:t>
      </w:r>
      <w:r>
        <w:rPr>
          <w:i/>
        </w:rPr>
        <w:t>k&lt;1</w:t>
      </w:r>
      <w:r>
        <w:rPr/>
        <w:t xml:space="preserve"> entonces </w:t>
      </w:r>
      <w:r>
        <w:rPr>
          <w:i/>
        </w:rPr>
        <w:t>D</w:t>
      </w:r>
      <w:r>
        <w:rPr/>
        <w:t xml:space="preserve"> depende parcialmente de </w:t>
      </w:r>
      <w:r>
        <w:rPr>
          <w:i/>
        </w:rPr>
        <w:t>B</w:t>
      </w:r>
      <w:r>
        <w:rPr/>
        <w:t>.</w:t>
      </w:r>
    </w:p>
    <w:tbl>
      <w:tblPr>
        <w:tblStyle w:val="Tablaconcuadrcula"/>
        <w:tblW w:w="5000" w:type="pct"/>
        <w:jc w:val="left"/>
        <w:tblInd w:w="0" w:type="dxa"/>
        <w:tblCellMar>
          <w:top w:w="0" w:type="dxa"/>
          <w:left w:w="123" w:type="dxa"/>
          <w:bottom w:w="0" w:type="dxa"/>
          <w:right w:w="108" w:type="dxa"/>
        </w:tblCellMar>
        <w:tblLook w:val="04a0" w:noVBand="1" w:noHBand="0" w:lastColumn="0" w:firstColumn="1" w:lastRow="0" w:firstRow="1"/>
      </w:tblPr>
      <w:tblGrid>
        <w:gridCol w:w="1912"/>
        <w:gridCol w:w="1735"/>
        <w:gridCol w:w="855"/>
        <w:gridCol w:w="2480"/>
        <w:gridCol w:w="1997"/>
      </w:tblGrid>
      <w:tr>
        <w:trPr>
          <w:trHeight w:val="1156" w:hRule="atLeast"/>
        </w:trPr>
        <w:tc>
          <w:tcPr>
            <w:tcW w:w="1912" w:type="dxa"/>
            <w:tcBorders>
              <w:top w:val="nil"/>
              <w:left w:val="nil"/>
              <w:bottom w:val="nil"/>
              <w:right w:val="nil"/>
              <w:insideH w:val="nil"/>
              <w:insideV w:val="nil"/>
            </w:tcBorders>
            <w:shd w:color="auto" w:fill="auto" w:val="clear"/>
            <w:vAlign w:val="center"/>
          </w:tcPr>
          <w:p>
            <w:pPr>
              <w:pStyle w:val="Normal"/>
              <w:overflowPunct w:val="true"/>
              <w:spacing w:before="0" w:after="120"/>
              <w:jc w:val="left"/>
              <w:textAlignment w:val="auto"/>
              <w:rPr>
                <w:rFonts w:cs="Verdana"/>
                <w:sz w:val="20"/>
              </w:rPr>
            </w:pPr>
            <w:r>
              <w:rPr>
                <w:rFonts w:cs="Verdana"/>
                <w:sz w:val="20"/>
              </w:rPr>
              <w:t xml:space="preserve"> </w:t>
            </w:r>
            <w:r>
              <w:rPr>
                <w:rFonts w:cs="Verdana"/>
                <w:sz w:val="20"/>
              </w:rPr>
            </w:r>
            <m:oMath xmlns:m="http://schemas.openxmlformats.org/officeDocument/2006/math">
              <m:r>
                <w:rPr>
                  <w:rFonts w:ascii="Cambria Math" w:hAnsi="Cambria Math"/>
                </w:rPr>
                <m:t xml:space="preserve">k</m:t>
              </m:r>
              <m:r>
                <w:rPr>
                  <w:rFonts w:ascii="Cambria Math" w:hAnsi="Cambria Math"/>
                </w:rPr>
                <m:t xml:space="preserve">=</m:t>
              </m:r>
              <m:f>
                <m:num>
                  <m:d>
                    <m:dPr>
                      <m:begChr m:val="|"/>
                      <m:endChr m:val="|"/>
                    </m:dPr>
                    <m:e>
                      <m:sSub>
                        <m:e>
                          <m:r>
                            <m:rPr>
                              <m:lit/>
                              <m:nor/>
                            </m:rPr>
                            <w:rPr>
                              <w:rFonts w:ascii="Cambria Math" w:hAnsi="Cambria Math"/>
                            </w:rPr>
                            <m:t xml:space="preserve">POS</m:t>
                          </m:r>
                        </m:e>
                        <m:sub>
                          <m:r>
                            <w:rPr>
                              <w:rFonts w:ascii="Cambria Math" w:hAnsi="Cambria Math"/>
                            </w:rPr>
                            <m:t xml:space="preserve">B</m:t>
                          </m:r>
                        </m:sub>
                      </m:sSub>
                      <m:d>
                        <m:dPr>
                          <m:begChr m:val="("/>
                          <m:endChr m:val=")"/>
                        </m:dPr>
                        <m:e>
                          <m:r>
                            <w:rPr>
                              <w:rFonts w:ascii="Cambria Math" w:hAnsi="Cambria Math"/>
                            </w:rPr>
                            <m:t xml:space="preserve">D</m:t>
                          </m:r>
                        </m:e>
                      </m:d>
                    </m:e>
                  </m:d>
                </m:num>
                <m:den>
                  <m:d>
                    <m:dPr>
                      <m:begChr m:val="|"/>
                      <m:endChr m:val="|"/>
                    </m:dPr>
                    <m:e>
                      <m:r>
                        <w:rPr>
                          <w:rFonts w:ascii="Cambria Math" w:hAnsi="Cambria Math"/>
                        </w:rPr>
                        <m:t xml:space="preserve">U</m:t>
                      </m:r>
                    </m:e>
                  </m:d>
                </m:den>
              </m:f>
            </m:oMath>
          </w:p>
        </w:tc>
        <w:tc>
          <w:tcPr>
            <w:tcW w:w="1735" w:type="dxa"/>
            <w:tcBorders>
              <w:top w:val="nil"/>
              <w:left w:val="nil"/>
              <w:bottom w:val="nil"/>
              <w:right w:val="nil"/>
              <w:insideH w:val="nil"/>
              <w:insideV w:val="nil"/>
            </w:tcBorders>
            <w:shd w:color="auto" w:fill="auto" w:val="clear"/>
            <w:vAlign w:val="center"/>
          </w:tcPr>
          <w:p>
            <w:pPr>
              <w:pStyle w:val="Normal"/>
              <w:spacing w:before="120" w:after="120"/>
              <w:ind w:left="-111" w:hanging="0"/>
              <w:jc w:val="right"/>
              <w:rPr/>
            </w:pPr>
            <w:bookmarkStart w:id="1108" w:name="_Ref68944810"/>
            <w:r>
              <w:rPr/>
              <w:t xml:space="preserve">Ecuación </w:t>
            </w:r>
            <w:bookmarkEnd w:id="1108"/>
            <w:r>
              <w:rPr/>
              <w:fldChar w:fldCharType="begin"/>
            </w:r>
            <w:r>
              <w:instrText> SEQ Ecuación \* ARABIC </w:instrText>
            </w:r>
            <w:r>
              <w:fldChar w:fldCharType="separate"/>
            </w:r>
            <w:r>
              <w:t>9</w:t>
            </w:r>
            <w:r>
              <w:fldChar w:fldCharType="end"/>
            </w:r>
          </w:p>
        </w:tc>
        <w:tc>
          <w:tcPr>
            <w:tcW w:w="855" w:type="dxa"/>
            <w:tcBorders>
              <w:top w:val="nil"/>
              <w:left w:val="nil"/>
              <w:bottom w:val="nil"/>
              <w:right w:val="nil"/>
              <w:insideH w:val="nil"/>
              <w:insideV w:val="nil"/>
            </w:tcBorders>
            <w:shd w:color="auto" w:fill="auto" w:val="clear"/>
            <w:vAlign w:val="center"/>
          </w:tcPr>
          <w:p>
            <w:pPr>
              <w:pStyle w:val="Normal"/>
              <w:spacing w:before="120" w:after="120"/>
              <w:ind w:right="40" w:firstLine="284"/>
              <w:rPr/>
            </w:pPr>
            <w:r>
              <w:rPr/>
            </w:r>
          </w:p>
        </w:tc>
        <w:tc>
          <w:tcPr>
            <w:tcW w:w="2480" w:type="dxa"/>
            <w:tcBorders>
              <w:top w:val="nil"/>
              <w:left w:val="nil"/>
              <w:bottom w:val="nil"/>
              <w:right w:val="nil"/>
              <w:insideH w:val="nil"/>
              <w:insideV w:val="nil"/>
            </w:tcBorders>
            <w:shd w:color="auto" w:fill="auto" w:val="clear"/>
            <w:vAlign w:val="center"/>
          </w:tcPr>
          <w:p>
            <w:pPr>
              <w:pStyle w:val="Normal"/>
              <w:spacing w:before="120" w:after="120"/>
              <w:ind w:left="382" w:right="40" w:hanging="0"/>
              <w:jc w:val="left"/>
              <w:rPr/>
            </w:pPr>
            <w:r>
              <w:rPr/>
              <w:t>Donde:</w:t>
            </w:r>
          </w:p>
          <w:p>
            <w:pPr>
              <w:pStyle w:val="Normal"/>
              <w:spacing w:before="120" w:after="120"/>
              <w:ind w:left="100" w:hanging="0"/>
              <w:jc w:val="left"/>
              <w:rPr/>
            </w:pPr>
            <w:r>
              <w:rPr/>
            </w:r>
            <m:oMath xmlns:m="http://schemas.openxmlformats.org/officeDocument/2006/math">
              <m:sSub>
                <m:e>
                  <m:r>
                    <m:rPr>
                      <m:lit/>
                      <m:nor/>
                    </m:rPr>
                    <w:rPr>
                      <w:rFonts w:ascii="Cambria Math" w:hAnsi="Cambria Math"/>
                    </w:rPr>
                    <m:t xml:space="preserve">PO</m:t>
                  </m:r>
                  <m:r>
                    <m:rPr>
                      <m:lit/>
                      <m:nor/>
                    </m:rPr>
                    <w:rPr>
                      <w:rFonts w:ascii="Cambria Math" w:hAnsi="Cambria Math"/>
                    </w:rPr>
                    <m:t xml:space="preserve">S</m:t>
                  </m:r>
                </m:e>
                <m:sub>
                  <m:r>
                    <w:rPr>
                      <w:rFonts w:ascii="Cambria Math" w:hAnsi="Cambria Math"/>
                    </w:rPr>
                    <m:t xml:space="preserve">B</m:t>
                  </m:r>
                </m:sub>
              </m:sSub>
              <m:d>
                <m:dPr>
                  <m:begChr m:val="("/>
                  <m:endChr m:val=")"/>
                </m:dPr>
                <m:e>
                  <m:r>
                    <w:rPr>
                      <w:rFonts w:ascii="Cambria Math" w:hAnsi="Cambria Math"/>
                    </w:rPr>
                    <m:t xml:space="preserve">D</m:t>
                  </m:r>
                </m:e>
              </m:d>
              <m:limLow>
                <m:e>
                  <m:r>
                    <w:rPr>
                      <w:rFonts w:ascii="Cambria Math" w:hAnsi="Cambria Math"/>
                    </w:rPr>
                    <m:t xml:space="preserve">=</m:t>
                  </m:r>
                </m:e>
                <m:lim>
                  <m:r>
                    <w:rPr>
                      <w:rFonts w:ascii="Cambria Math" w:hAnsi="Cambria Math"/>
                    </w:rPr>
                    <m:t xml:space="preserve">X</m:t>
                  </m:r>
                  <m:r>
                    <w:rPr>
                      <w:rFonts w:ascii="Cambria Math" w:hAnsi="Cambria Math"/>
                    </w:rPr>
                    <m:t xml:space="preserve">∈</m:t>
                  </m:r>
                  <m:r>
                    <w:rPr>
                      <w:rFonts w:ascii="Cambria Math" w:hAnsi="Cambria Math"/>
                    </w:rPr>
                    <m:t xml:space="preserve">UD</m:t>
                  </m:r>
                </m:lim>
              </m:limLow>
              <m:sSub>
                <m:e>
                  <m:r>
                    <w:rPr>
                      <w:rFonts w:ascii="Cambria Math" w:hAnsi="Cambria Math"/>
                    </w:rPr>
                    <m:t xml:space="preserve">B</m:t>
                  </m:r>
                </m:e>
                <m:sub/>
              </m:sSub>
              <m:d>
                <m:dPr>
                  <m:begChr m:val="("/>
                  <m:endChr m:val=")"/>
                </m:dPr>
                <m:e>
                  <m:r>
                    <w:rPr>
                      <w:rFonts w:ascii="Cambria Math" w:hAnsi="Cambria Math"/>
                    </w:rPr>
                    <m:t xml:space="preserve">X</m:t>
                  </m:r>
                </m:e>
              </m:d>
            </m:oMath>
          </w:p>
        </w:tc>
        <w:tc>
          <w:tcPr>
            <w:tcW w:w="1997" w:type="dxa"/>
            <w:tcBorders>
              <w:top w:val="nil"/>
              <w:left w:val="nil"/>
              <w:bottom w:val="nil"/>
              <w:right w:val="nil"/>
              <w:insideH w:val="nil"/>
              <w:insideV w:val="nil"/>
            </w:tcBorders>
            <w:shd w:color="auto" w:fill="auto" w:val="clear"/>
            <w:vAlign w:val="center"/>
          </w:tcPr>
          <w:p>
            <w:pPr>
              <w:pStyle w:val="Normal"/>
              <w:spacing w:before="120" w:after="120"/>
              <w:jc w:val="left"/>
              <w:rPr/>
            </w:pPr>
            <w:r>
              <w:rPr/>
              <w:t xml:space="preserve">Ecuación </w:t>
            </w:r>
            <w:r>
              <w:rPr/>
              <w:fldChar w:fldCharType="begin"/>
            </w:r>
            <w:r>
              <w:instrText> SEQ Ecuación \* ARABIC </w:instrText>
            </w:r>
            <w:r>
              <w:fldChar w:fldCharType="separate"/>
            </w:r>
            <w:r>
              <w:t>10</w:t>
            </w:r>
            <w:r>
              <w:fldChar w:fldCharType="end"/>
            </w:r>
          </w:p>
        </w:tc>
      </w:tr>
    </w:tbl>
    <w:p>
      <w:pPr>
        <w:pStyle w:val="Normal"/>
        <w:rPr/>
      </w:pPr>
      <w:r>
        <w:rPr/>
        <w:t xml:space="preserve">El </w:t>
      </w:r>
      <w:r>
        <w:rPr/>
        <w:fldChar w:fldCharType="begin"/>
      </w:r>
      <w:r>
        <w:instrText> REF _Ref68512022 \h </w:instrText>
      </w:r>
      <w:r>
        <w:fldChar w:fldCharType="separate"/>
      </w:r>
      <w:r>
        <w:t>Algoritmo 5</w:t>
      </w:r>
      <w:r>
        <w:fldChar w:fldCharType="end"/>
      </w:r>
      <w:r>
        <w:rPr/>
        <w:t xml:space="preserve"> está basado en la teoría de los conjuntos aproximados para la generación de resúmenes lingüísticos </w:t>
      </w:r>
      <w:r>
        <w:fldChar w:fldCharType="begin"/>
      </w:r>
      <w:r>
        <w:instrText>ADDIN ZOTERO_ITEM CSL_CITATION {"citationID":"UuxvzR15","properties":{"formattedCitation":"(P\\uc0\\u233{}rez Pupo, Pi\\uc0\\u241{}ero P\\uc0\\u233{}rez, Bello, et\\uc0\\u160{}al. 2020)","plainCitation":"(Pérez Pupo, Piñero Pérez, Bello, et al. 2020)","noteIndex":0},"citationItems":[{"id":"NJclqhNX/PDTiX7Vi","uris":["http://zotero.org/users/local/rsuvzjK6/items/ET28SE4P"],"uri":["http://zotero.org/users/local/rsuvzjK6/items/ET28SE4P"],"itemData":{"id":3312,"type":"paper-conference","abstract":"In this paper authors propose a new algorithm for linguistic data summarization based on hybridization of rough sets and fuzzy sets techniques. The new algorithm applies rough sets theory for feature selection in early stages of linguistic summaries’ generation. The rough sets theory was used to reduce on significant way, the amount on summaries obtained by others algorithms. The algorithm combines lower approximation, k grade dependency and fuzzy sets to get linguistic summaries. The results of proposed algorithm are compared with association rules approach. In order to validate the algorithm proposed, authors apply both qualitative and quantitative methods. Authors used two databases in order to validate the algorithm; theses databases belong to “Repository of Project Management Research”. The first database is associated to personality traits and human performance in software projects. The second database is associated to analysis of revenue assurance in different organization. Considering quantitative approach, the algorithm proposed, obtains better results than the algorithm based on association rules; while regards execution time, the best algorithm was the algorithm based on association rules, because rough sets theory was high time-consuming technique.","collection-title":"12179 LNAI","container-title":"International Joint Conference on Rough Sets. Lecture Notes in Computer Science ISSN 0302-9743, Springer, 12179 LNAI, ISBN 978-3-030-52704-4","DOI":"10.1007/978-3-030-52705-1_29","ISBN":"978-3-030-52704-4","page":"385–397","publisher":"Lecture Notes in Computer Science, Springer","title":"Linguistic Summaries Generation with Hybridization Method Based on Rough and Fuzzy Sets","author":[{"family":"Pérez Pupo","given":"Iliana"},{"family":"Piñero Pérez","given":"Pedro Yobani"},{"family":"Bello","given":"Rafael"},{"family":"Acuña","given":"Luis Alvarado"},{"family":"Vacacela","given":"Roberto García"}],"issued":{"date-parts":[["2020"]]}}}],"schema":"https://github.com/citation-style-language/schema/raw/master/csl-citation.json"}</w:instrText>
      </w:r>
      <w:r>
        <w:fldChar w:fldCharType="separate"/>
      </w:r>
      <w:bookmarkStart w:id="1109" w:name="__Fieldmark__8491_2067855929"/>
      <w:r>
        <w:rPr/>
      </w:r>
      <w:r>
        <w:rPr>
          <w:szCs w:val="24"/>
        </w:rPr>
        <w:t>(</w:t>
      </w:r>
      <w:bookmarkStart w:id="1110" w:name="__Fieldmark__7318_498839314"/>
      <w:r>
        <w:rPr>
          <w:szCs w:val="24"/>
        </w:rPr>
        <w:t>P</w:t>
      </w:r>
      <w:bookmarkStart w:id="1111" w:name="__Fieldmark__6482_998588997"/>
      <w:r>
        <w:rPr>
          <w:szCs w:val="24"/>
        </w:rPr>
        <w:t>é</w:t>
      </w:r>
      <w:bookmarkStart w:id="1112" w:name="__Fieldmark__10135_118561941"/>
      <w:r>
        <w:rPr>
          <w:szCs w:val="24"/>
        </w:rPr>
        <w:t>rez Pupo, Piñero Pérez, Bello, et al. 2020)</w:t>
      </w:r>
      <w:r>
        <w:rPr/>
      </w:r>
      <w:r>
        <w:fldChar w:fldCharType="end"/>
      </w:r>
      <w:bookmarkEnd w:id="1109"/>
      <w:bookmarkEnd w:id="1110"/>
      <w:bookmarkEnd w:id="1111"/>
      <w:bookmarkEnd w:id="1112"/>
      <w:r>
        <w:rPr/>
        <w:t xml:space="preserve">. </w:t>
      </w:r>
      <w:bookmarkStart w:id="1113" w:name="_Hlk79766776"/>
      <w:r>
        <w:rPr/>
        <w:t xml:space="preserve">Inicialmente, las variables del conjunto de datos de entrada son transformadas a variables lingüísticas aplicando el principio de máxima membresía. </w:t>
      </w:r>
      <w:bookmarkEnd w:id="1113"/>
      <w:r>
        <w:rPr/>
        <w:t xml:space="preserve">Se constituyen dos conjuntos de atributos que representarán a los filtros y sumarizadores de los resúmenes lingüísticos a construir. Estos conjuntos se inicializan con todas las variables del conjunto de datos como subconjuntos independientes y durante el proceso de búsqueda se van transformando. Posteriormente, se calcula la dependencia en grado </w:t>
      </w:r>
      <w:r>
        <w:rPr>
          <w:i/>
        </w:rPr>
        <w:t xml:space="preserve">k </w:t>
      </w:r>
      <w:r>
        <w:rPr/>
        <w:t xml:space="preserve">entre grupos de atributos que representan filtros y sumarizadores; aquellos que superen el umbral establecido conformarán resúmenes candidatos. Luego, los resúmenes lingüísticos candidatos son filtrados y humanizados mediante un lenguaje natural controlado, permitiendo la generación de los resúmenes lingüísticos finales, ver </w:t>
      </w:r>
      <w:r>
        <w:rPr/>
        <w:fldChar w:fldCharType="begin"/>
      </w:r>
      <w:r>
        <w:instrText> REF _Ref68512022 \h </w:instrText>
      </w:r>
      <w:r>
        <w:fldChar w:fldCharType="separate"/>
      </w:r>
      <w:r>
        <w:t>Algoritmo 5</w:t>
      </w:r>
      <w:r>
        <w:fldChar w:fldCharType="end"/>
      </w:r>
      <w:r>
        <w:rPr/>
        <w:t>.</w:t>
      </w:r>
    </w:p>
    <w:p>
      <w:pPr>
        <w:pStyle w:val="Normal"/>
        <w:spacing w:lineRule="auto" w:line="432" w:before="113" w:after="57"/>
        <w:rPr/>
      </w:pPr>
      <w:bookmarkStart w:id="1114" w:name="_Ref68512022"/>
      <w:r>
        <w:rPr>
          <w:i/>
          <w:iCs/>
          <w:szCs w:val="18"/>
        </w:rPr>
        <w:t xml:space="preserve">Algoritmo </w:t>
      </w:r>
      <w:r>
        <w:rPr>
          <w:i/>
          <w:iCs/>
          <w:szCs w:val="18"/>
        </w:rPr>
        <w:fldChar w:fldCharType="begin"/>
      </w:r>
      <w:r>
        <w:instrText> SEQ Algoritmo \* ARABIC </w:instrText>
      </w:r>
      <w:r>
        <w:fldChar w:fldCharType="separate"/>
      </w:r>
      <w:r>
        <w:t>5</w:t>
      </w:r>
      <w:r>
        <w:fldChar w:fldCharType="end"/>
      </w:r>
      <w:bookmarkEnd w:id="1114"/>
      <w:r>
        <w:rPr>
          <w:i/>
          <w:iCs/>
          <w:szCs w:val="18"/>
        </w:rPr>
        <w:t xml:space="preserve"> RST_LDS</w:t>
      </w:r>
    </w:p>
    <w:p>
      <w:pPr>
        <w:pStyle w:val="Normal"/>
        <w:spacing w:lineRule="auto" w:line="360" w:before="0" w:after="0"/>
        <w:jc w:val="left"/>
        <w:rPr>
          <w:i/>
          <w:i/>
          <w:iCs/>
          <w:sz w:val="20"/>
          <w:szCs w:val="20"/>
        </w:rPr>
      </w:pPr>
      <w:r>
        <w:rPr>
          <w:i/>
          <w:iCs/>
          <w:sz w:val="20"/>
          <w:szCs w:val="20"/>
        </w:rPr>
        <w:t>Entradas:</w:t>
      </w:r>
    </w:p>
    <w:p>
      <w:pPr>
        <w:pStyle w:val="Normal"/>
        <w:spacing w:lineRule="auto" w:line="360" w:before="0" w:after="0"/>
        <w:ind w:left="709" w:hanging="425"/>
        <w:rPr>
          <w:i/>
          <w:i/>
          <w:iCs/>
        </w:rPr>
      </w:pPr>
      <w:r>
        <w:rPr>
          <w:i/>
          <w:iCs/>
        </w:rPr>
        <w:t>U, A</w:t>
      </w:r>
      <w:r>
        <w:rPr>
          <w:i/>
          <w:iCs/>
          <w:vertAlign w:val="subscript"/>
        </w:rPr>
        <w:t>LV</w:t>
      </w:r>
      <w:r>
        <w:rPr>
          <w:i/>
          <w:iCs/>
        </w:rPr>
        <w:t>, LV</w:t>
      </w:r>
      <w:r>
        <w:rPr>
          <w:i/>
          <w:iCs/>
          <w:vertAlign w:val="subscript"/>
        </w:rPr>
        <w:t>Q</w:t>
      </w:r>
      <w:r>
        <w:rPr>
          <w:i/>
          <w:iCs/>
        </w:rPr>
        <w:t xml:space="preserve">, T, LNC, </w:t>
      </w:r>
      <w:r>
        <w:rPr>
          <w:rFonts w:eastAsia="Symbol" w:cs="Symbol" w:ascii="Symbol" w:hAnsi="Symbol"/>
          <w:i/>
          <w:iCs/>
        </w:rPr>
        <w:t></w:t>
      </w:r>
      <w:r>
        <w:rPr>
          <w:i/>
          <w:iCs/>
        </w:rPr>
        <w:t xml:space="preserve"> : parámetros definidos en la sección 2.1 sobre notaciones.</w:t>
      </w:r>
    </w:p>
    <w:p>
      <w:pPr>
        <w:pStyle w:val="Normal"/>
        <w:spacing w:lineRule="auto" w:line="360" w:before="0" w:after="0"/>
        <w:ind w:left="709" w:hanging="425"/>
        <w:rPr>
          <w:i/>
          <w:i/>
          <w:iCs/>
        </w:rPr>
      </w:pPr>
      <w:r>
        <w:rPr>
          <w:i/>
          <w:iCs/>
        </w:rPr>
        <w:t xml:space="preserve">Sistema de información SI = (U, A </w:t>
      </w:r>
      <w:r>
        <w:rPr>
          <w:rFonts w:eastAsia="Symbol" w:cs="Symbol" w:ascii="Symbol" w:hAnsi="Symbol"/>
          <w:i/>
          <w:iCs/>
        </w:rPr>
        <w:t></w:t>
      </w:r>
      <w:r>
        <w:rPr>
          <w:i/>
          <w:iCs/>
        </w:rPr>
        <w:t xml:space="preserve"> D)</w:t>
      </w:r>
    </w:p>
    <w:p>
      <w:pPr>
        <w:pStyle w:val="Normal"/>
        <w:spacing w:lineRule="auto" w:line="360" w:before="0" w:after="0"/>
        <w:ind w:left="284" w:hanging="0"/>
        <w:rPr>
          <w:i/>
          <w:i/>
          <w:iCs/>
        </w:rPr>
      </w:pPr>
      <w:r>
        <w:rPr>
          <w:i/>
          <w:iCs/>
        </w:rPr>
        <w:t>A, D: atributos del sistema de información.</w:t>
      </w:r>
    </w:p>
    <w:p>
      <w:pPr>
        <w:pStyle w:val="Normal"/>
        <w:spacing w:lineRule="auto" w:line="360" w:before="0" w:after="0"/>
        <w:ind w:left="709" w:hanging="425"/>
        <w:rPr>
          <w:i/>
          <w:i/>
          <w:iCs/>
        </w:rPr>
      </w:pPr>
      <w:r>
        <w:rPr>
          <w:rFonts w:eastAsia="Symbol" w:cs="Symbol" w:ascii="Symbol" w:hAnsi="Symbol"/>
          <w:i/>
          <w:iCs/>
        </w:rPr>
        <w:t></w:t>
      </w:r>
      <w:r>
        <w:rPr>
          <w:i/>
          <w:iCs/>
          <w:vertAlign w:val="subscript"/>
        </w:rPr>
        <w:t>k1</w:t>
      </w:r>
      <w:r>
        <w:rPr>
          <w:i/>
          <w:iCs/>
        </w:rPr>
        <w:t>: alfa corte k</w:t>
      </w:r>
      <w:r>
        <w:rPr>
          <w:i/>
          <w:iCs/>
          <w:vertAlign w:val="subscript"/>
        </w:rPr>
        <w:t>1</w:t>
      </w:r>
      <w:r>
        <w:rPr>
          <w:i/>
          <w:iCs/>
        </w:rPr>
        <w:t>, establece el límite superior de la dependencia en grado k en la generación de resúmenes.</w:t>
      </w:r>
    </w:p>
    <w:p>
      <w:pPr>
        <w:pStyle w:val="Normal"/>
        <w:spacing w:lineRule="auto" w:line="360" w:before="0" w:after="0"/>
        <w:ind w:left="709" w:hanging="425"/>
        <w:rPr>
          <w:i/>
          <w:i/>
          <w:iCs/>
        </w:rPr>
      </w:pPr>
      <w:r>
        <w:rPr>
          <w:rFonts w:eastAsia="Symbol" w:cs="Symbol" w:ascii="Symbol" w:hAnsi="Symbol"/>
          <w:i/>
          <w:iCs/>
        </w:rPr>
        <w:t></w:t>
      </w:r>
      <w:r>
        <w:rPr>
          <w:i/>
          <w:iCs/>
          <w:vertAlign w:val="subscript"/>
        </w:rPr>
        <w:t>k2</w:t>
      </w:r>
      <w:r>
        <w:rPr>
          <w:i/>
          <w:iCs/>
        </w:rPr>
        <w:t>: alfa corte k</w:t>
      </w:r>
      <w:r>
        <w:rPr>
          <w:i/>
          <w:iCs/>
          <w:vertAlign w:val="subscript"/>
        </w:rPr>
        <w:t>2</w:t>
      </w:r>
      <w:r>
        <w:rPr>
          <w:i/>
          <w:iCs/>
        </w:rPr>
        <w:t>, establece el límite inferior de la dependencia en grado k en la generación de resúmenes.</w:t>
      </w:r>
    </w:p>
    <w:p>
      <w:pPr>
        <w:pStyle w:val="Normal"/>
        <w:spacing w:before="120" w:after="120"/>
        <w:rPr>
          <w:i/>
          <w:i/>
          <w:szCs w:val="24"/>
          <w:lang w:val="en-US"/>
        </w:rPr>
      </w:pPr>
      <w:r>
        <w:rPr>
          <w:i/>
          <w:szCs w:val="24"/>
          <w:lang w:val="en-US"/>
        </w:rPr>
        <w:t>Inicio</w:t>
      </w:r>
    </w:p>
    <w:p>
      <w:pPr>
        <w:pStyle w:val="Normal"/>
        <w:numPr>
          <w:ilvl w:val="0"/>
          <w:numId w:val="41"/>
        </w:numPr>
        <w:suppressAutoHyphens w:val="false"/>
        <w:overflowPunct w:val="true"/>
        <w:spacing w:before="120" w:after="120"/>
        <w:ind w:left="850" w:hanging="782"/>
        <w:jc w:val="left"/>
        <w:textAlignment w:val="auto"/>
        <w:rPr>
          <w:i/>
          <w:i/>
          <w:iCs/>
          <w:szCs w:val="24"/>
        </w:rPr>
      </w:pPr>
      <w:r>
        <w:rPr>
          <w:i/>
          <w:iCs/>
          <w:szCs w:val="24"/>
        </w:rPr>
        <w:t xml:space="preserve">Transformar SI = (U, A </w:t>
      </w:r>
      <w:r>
        <w:rPr>
          <w:rFonts w:eastAsia="Symbol" w:cs="Symbol" w:ascii="Symbol" w:hAnsi="Symbol"/>
          <w:i/>
          <w:iCs/>
          <w:szCs w:val="24"/>
          <w:lang w:val="en-US"/>
        </w:rPr>
        <w:t></w:t>
      </w:r>
      <w:r>
        <w:rPr>
          <w:i/>
          <w:iCs/>
          <w:szCs w:val="24"/>
        </w:rPr>
        <w:t xml:space="preserve"> D) en un dataset lingüístico considerando los conjuntos borrosos y los principios de máxima membresía.</w:t>
      </w:r>
    </w:p>
    <w:p>
      <w:pPr>
        <w:pStyle w:val="Normal"/>
        <w:numPr>
          <w:ilvl w:val="0"/>
          <w:numId w:val="41"/>
        </w:numPr>
        <w:suppressAutoHyphens w:val="false"/>
        <w:overflowPunct w:val="true"/>
        <w:spacing w:before="120" w:after="120"/>
        <w:ind w:left="426" w:hanging="360"/>
        <w:jc w:val="left"/>
        <w:textAlignment w:val="auto"/>
        <w:rPr>
          <w:i/>
          <w:i/>
          <w:iCs/>
          <w:szCs w:val="24"/>
          <w:lang w:val="en-US"/>
        </w:rPr>
      </w:pPr>
      <w:r>
        <w:rPr>
          <w:i/>
          <w:iCs/>
          <w:szCs w:val="24"/>
          <w:lang w:val="en-US"/>
        </w:rPr>
        <w:t>A_ItemSet = attributes_to_sets(A</w:t>
      </w:r>
      <w:r>
        <w:rPr>
          <w:rFonts w:eastAsia="Symbol" w:cs="Symbol" w:ascii="Symbol" w:hAnsi="Symbol"/>
          <w:i/>
          <w:iCs/>
          <w:szCs w:val="24"/>
          <w:lang w:val="en-US"/>
        </w:rPr>
        <w:t></w:t>
      </w:r>
      <w:r>
        <w:rPr>
          <w:i/>
          <w:iCs/>
          <w:szCs w:val="24"/>
          <w:lang w:val="en-US"/>
        </w:rPr>
        <w:t xml:space="preserve">D) </w:t>
      </w:r>
    </w:p>
    <w:p>
      <w:pPr>
        <w:pStyle w:val="Normal"/>
        <w:numPr>
          <w:ilvl w:val="0"/>
          <w:numId w:val="41"/>
        </w:numPr>
        <w:suppressAutoHyphens w:val="false"/>
        <w:overflowPunct w:val="true"/>
        <w:spacing w:before="120" w:after="120"/>
        <w:ind w:left="426" w:hanging="360"/>
        <w:textAlignment w:val="auto"/>
        <w:rPr>
          <w:i/>
          <w:i/>
          <w:iCs/>
          <w:szCs w:val="24"/>
        </w:rPr>
      </w:pPr>
      <w:r>
        <w:rPr>
          <w:i/>
          <w:iCs/>
          <w:szCs w:val="24"/>
        </w:rPr>
        <w:t xml:space="preserve">D_ItemSet = A_ItemSet  </w:t>
      </w:r>
    </w:p>
    <w:p>
      <w:pPr>
        <w:pStyle w:val="Normal"/>
        <w:numPr>
          <w:ilvl w:val="0"/>
          <w:numId w:val="41"/>
        </w:numPr>
        <w:suppressAutoHyphens w:val="false"/>
        <w:overflowPunct w:val="true"/>
        <w:spacing w:before="120" w:after="120"/>
        <w:ind w:left="426" w:hanging="360"/>
        <w:textAlignment w:val="auto"/>
        <w:rPr>
          <w:i/>
          <w:i/>
          <w:iCs/>
          <w:szCs w:val="24"/>
          <w:lang w:val="en-US"/>
        </w:rPr>
      </w:pPr>
      <w:r>
        <w:rPr>
          <w:i/>
          <w:iCs/>
          <w:szCs w:val="24"/>
          <w:lang w:val="en-US"/>
        </w:rPr>
        <w:t>CS = {}</w:t>
      </w:r>
    </w:p>
    <w:p>
      <w:pPr>
        <w:pStyle w:val="Normal"/>
        <w:numPr>
          <w:ilvl w:val="0"/>
          <w:numId w:val="41"/>
        </w:numPr>
        <w:suppressAutoHyphens w:val="false"/>
        <w:overflowPunct w:val="true"/>
        <w:spacing w:before="120" w:after="120"/>
        <w:ind w:left="426" w:hanging="360"/>
        <w:textAlignment w:val="auto"/>
        <w:rPr>
          <w:i/>
          <w:i/>
          <w:iCs/>
          <w:szCs w:val="24"/>
        </w:rPr>
      </w:pPr>
      <w:r>
        <w:rPr>
          <w:i/>
          <w:iCs/>
          <w:szCs w:val="24"/>
        </w:rPr>
        <w:t>Mientras Stackset no esté vacío</w:t>
      </w:r>
    </w:p>
    <w:p>
      <w:pPr>
        <w:pStyle w:val="Normal"/>
        <w:numPr>
          <w:ilvl w:val="0"/>
          <w:numId w:val="47"/>
        </w:numPr>
        <w:suppressAutoHyphens w:val="false"/>
        <w:overflowPunct w:val="true"/>
        <w:spacing w:before="120" w:after="120"/>
        <w:ind w:left="426" w:hanging="360"/>
        <w:textAlignment w:val="auto"/>
        <w:rPr>
          <w:i/>
          <w:i/>
          <w:iCs/>
          <w:szCs w:val="24"/>
        </w:rPr>
      </w:pPr>
      <w:r>
        <w:rPr>
          <w:i/>
          <w:iCs/>
          <w:szCs w:val="24"/>
        </w:rPr>
        <w:t>A_ItemSet = Stackset.pop</w:t>
      </w:r>
    </w:p>
    <w:p>
      <w:pPr>
        <w:pStyle w:val="Normal"/>
        <w:numPr>
          <w:ilvl w:val="0"/>
          <w:numId w:val="47"/>
        </w:numPr>
        <w:suppressAutoHyphens w:val="false"/>
        <w:overflowPunct w:val="true"/>
        <w:spacing w:before="120" w:after="120"/>
        <w:ind w:left="426" w:hanging="360"/>
        <w:textAlignment w:val="auto"/>
        <w:rPr>
          <w:i/>
          <w:i/>
          <w:iCs/>
          <w:szCs w:val="24"/>
        </w:rPr>
      </w:pPr>
      <w:r>
        <w:rPr>
          <w:i/>
          <w:iCs/>
          <w:szCs w:val="24"/>
        </w:rPr>
        <w:t xml:space="preserve">Por cada B </w:t>
      </w:r>
      <w:r>
        <w:rPr>
          <w:rFonts w:eastAsia="Symbol" w:cs="Symbol" w:ascii="Symbol" w:hAnsi="Symbol"/>
          <w:i/>
          <w:iCs/>
          <w:szCs w:val="24"/>
        </w:rPr>
        <w:t></w:t>
      </w:r>
      <w:r>
        <w:rPr>
          <w:i/>
          <w:iCs/>
          <w:szCs w:val="24"/>
        </w:rPr>
        <w:t xml:space="preserve"> A_ItemSet</w:t>
      </w:r>
    </w:p>
    <w:p>
      <w:pPr>
        <w:pStyle w:val="Normal"/>
        <w:numPr>
          <w:ilvl w:val="0"/>
          <w:numId w:val="47"/>
        </w:numPr>
        <w:suppressAutoHyphens w:val="false"/>
        <w:overflowPunct w:val="true"/>
        <w:spacing w:lineRule="auto" w:line="247" w:before="120" w:after="120"/>
        <w:ind w:left="426" w:hanging="360"/>
        <w:textAlignment w:val="auto"/>
        <w:rPr>
          <w:rFonts w:cs="Times New Roman"/>
          <w:i/>
          <w:i/>
          <w:iCs/>
          <w:szCs w:val="24"/>
        </w:rPr>
      </w:pPr>
      <w:r>
        <w:rPr>
          <w:i/>
          <w:iCs/>
          <w:szCs w:val="24"/>
        </w:rPr>
        <w:t xml:space="preserve">  </w:t>
      </w:r>
      <w:r>
        <w:rPr>
          <w:i/>
          <w:iCs/>
          <w:szCs w:val="24"/>
        </w:rPr>
        <w:t>Por</w:t>
      </w:r>
      <w:r>
        <w:rPr>
          <w:rFonts w:cs="Times New Roman"/>
          <w:i/>
          <w:iCs/>
          <w:szCs w:val="24"/>
        </w:rPr>
        <w:t xml:space="preserve"> cada X</w:t>
      </w:r>
      <w:r>
        <w:rPr>
          <w:rFonts w:cs="Times New Roman"/>
          <w:i/>
          <w:iCs/>
          <w:szCs w:val="24"/>
          <w:vertAlign w:val="subscript"/>
        </w:rPr>
        <w:t xml:space="preserve"> </w:t>
      </w:r>
      <w:r>
        <w:rPr>
          <w:rFonts w:eastAsia="Symbol" w:cs="Symbol" w:ascii="Symbol" w:hAnsi="Symbol"/>
          <w:i/>
          <w:iCs/>
          <w:szCs w:val="24"/>
          <w:lang w:val="en-US"/>
        </w:rPr>
        <w:t></w:t>
      </w:r>
      <w:r>
        <w:rPr>
          <w:rFonts w:cs="Times New Roman"/>
          <w:i/>
          <w:iCs/>
          <w:szCs w:val="24"/>
        </w:rPr>
        <w:t xml:space="preserve"> D_ItemSet: B </w:t>
      </w:r>
      <w:r>
        <w:rPr>
          <w:rFonts w:eastAsia="Symbol" w:cs="Symbol" w:ascii="Symbol" w:hAnsi="Symbol"/>
          <w:i/>
          <w:iCs/>
          <w:szCs w:val="24"/>
          <w:lang w:val="en-US"/>
        </w:rPr>
        <w:t></w:t>
      </w:r>
      <w:r>
        <w:rPr>
          <w:rFonts w:cs="Times New Roman"/>
          <w:i/>
          <w:iCs/>
          <w:szCs w:val="24"/>
        </w:rPr>
        <w:t xml:space="preserve"> X = </w:t>
      </w:r>
      <w:r>
        <w:rPr>
          <w:rFonts w:eastAsia="Symbol" w:cs="Symbol" w:ascii="Symbol" w:hAnsi="Symbol"/>
          <w:i/>
          <w:iCs/>
          <w:szCs w:val="24"/>
          <w:lang w:val="en-US"/>
        </w:rPr>
        <w:t></w:t>
      </w:r>
    </w:p>
    <w:p>
      <w:pPr>
        <w:pStyle w:val="Normal"/>
        <w:numPr>
          <w:ilvl w:val="0"/>
          <w:numId w:val="47"/>
        </w:numPr>
        <w:suppressAutoHyphens w:val="false"/>
        <w:overflowPunct w:val="true"/>
        <w:spacing w:lineRule="auto" w:line="247" w:before="120" w:after="120"/>
        <w:ind w:left="426" w:hanging="360"/>
        <w:textAlignment w:val="auto"/>
        <w:rPr>
          <w:rFonts w:cs="Times New Roman"/>
          <w:szCs w:val="24"/>
          <w:lang w:val="en-US"/>
        </w:rPr>
      </w:pPr>
      <w:r>
        <w:rPr>
          <w:rFonts w:cs="Times New Roman"/>
          <w:szCs w:val="24"/>
        </w:rPr>
        <w:t xml:space="preserve">     </w:t>
      </w:r>
      <w:r>
        <w:rPr>
          <w:rFonts w:cs="Times New Roman"/>
          <w:szCs w:val="24"/>
        </w:rPr>
      </w:r>
      <m:oMath xmlns:m="http://schemas.openxmlformats.org/officeDocument/2006/math">
        <m:sSub>
          <m:e>
            <m:r>
              <m:rPr>
                <m:lit/>
                <m:nor/>
              </m:rPr>
              <w:rPr>
                <w:rFonts w:ascii="Cambria Math" w:hAnsi="Cambria Math"/>
              </w:rPr>
              <m:t xml:space="preserve">POS</m:t>
            </m:r>
          </m:e>
          <m:sub>
            <m:r>
              <w:rPr>
                <w:rFonts w:ascii="Cambria Math" w:hAnsi="Cambria Math"/>
              </w:rPr>
              <m:t xml:space="preserve">B</m:t>
            </m:r>
          </m:sub>
        </m:sSub>
        <m:d>
          <m:dPr>
            <m:begChr m:val="("/>
            <m:endChr m:val=")"/>
          </m:dPr>
          <m:e>
            <m:r>
              <w:rPr>
                <w:rFonts w:ascii="Cambria Math" w:hAnsi="Cambria Math"/>
              </w:rPr>
              <m:t xml:space="preserve">D</m:t>
            </m:r>
          </m:e>
        </m:d>
        <m:limLow>
          <m:e>
            <m:r>
              <w:rPr>
                <w:rFonts w:ascii="Cambria Math" w:hAnsi="Cambria Math"/>
              </w:rPr>
              <m:t xml:space="preserve">=</m:t>
            </m:r>
          </m:e>
          <m:lim>
            <m:r>
              <w:rPr>
                <w:rFonts w:ascii="Cambria Math" w:hAnsi="Cambria Math"/>
              </w:rPr>
              <m:t xml:space="preserve">X</m:t>
            </m:r>
            <m:r>
              <w:rPr>
                <w:rFonts w:ascii="Cambria Math" w:hAnsi="Cambria Math"/>
              </w:rPr>
              <m:t xml:space="preserve">∈</m:t>
            </m:r>
            <m:r>
              <w:rPr>
                <w:rFonts w:ascii="Cambria Math" w:hAnsi="Cambria Math"/>
              </w:rPr>
              <m:t xml:space="preserve">UD</m:t>
            </m:r>
          </m:lim>
        </m:limLow>
        <m:sSub>
          <m:e>
            <m:r>
              <w:rPr>
                <w:rFonts w:ascii="Cambria Math" w:hAnsi="Cambria Math"/>
              </w:rPr>
              <m:t xml:space="preserve">B</m:t>
            </m:r>
          </m:e>
          <m:sub/>
        </m:sSub>
        <m:d>
          <m:dPr>
            <m:begChr m:val="("/>
            <m:endChr m:val=")"/>
          </m:dPr>
          <m:e>
            <m:r>
              <w:rPr>
                <w:rFonts w:ascii="Cambria Math" w:hAnsi="Cambria Math"/>
              </w:rPr>
              <m:t xml:space="preserve">X</m:t>
            </m:r>
          </m:e>
        </m:d>
      </m:oMath>
      <w:r>
        <w:rPr>
          <w:rFonts w:cs="Times New Roman"/>
          <w:szCs w:val="24"/>
          <w:lang w:val="en-US"/>
        </w:rPr>
        <w:t xml:space="preserve">, </w:t>
      </w:r>
      <w:r>
        <w:rPr>
          <w:rFonts w:cs="Times New Roman"/>
          <w:szCs w:val="24"/>
          <w:lang w:val="en-US"/>
        </w:rPr>
      </w:r>
      <m:oMath xmlns:m="http://schemas.openxmlformats.org/officeDocument/2006/math">
        <m:r>
          <w:rPr>
            <w:rFonts w:ascii="Cambria Math" w:hAnsi="Cambria Math"/>
          </w:rPr>
          <m:t xml:space="preserve">k</m:t>
        </m:r>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B</m:t>
            </m:r>
          </m:e>
        </m:d>
        <m:r>
          <w:rPr>
            <w:rFonts w:ascii="Cambria Math" w:hAnsi="Cambria Math"/>
          </w:rPr>
          <m:t xml:space="preserve">=</m:t>
        </m:r>
        <m:f>
          <m:num>
            <m:d>
              <m:dPr>
                <m:begChr m:val="|"/>
                <m:endChr m:val="|"/>
              </m:dPr>
              <m:e>
                <m:sSub>
                  <m:e>
                    <m:r>
                      <m:rPr>
                        <m:lit/>
                        <m:nor/>
                      </m:rPr>
                      <w:rPr>
                        <w:rFonts w:ascii="Cambria Math" w:hAnsi="Cambria Math"/>
                      </w:rPr>
                      <m:t xml:space="preserve">POS</m:t>
                    </m:r>
                  </m:e>
                  <m:sub>
                    <m:r>
                      <w:rPr>
                        <w:rFonts w:ascii="Cambria Math" w:hAnsi="Cambria Math"/>
                      </w:rPr>
                      <m:t xml:space="preserve">B</m:t>
                    </m:r>
                  </m:sub>
                </m:sSub>
                <m:d>
                  <m:dPr>
                    <m:begChr m:val="("/>
                    <m:endChr m:val=")"/>
                  </m:dPr>
                  <m:e>
                    <m:r>
                      <w:rPr>
                        <w:rFonts w:ascii="Cambria Math" w:hAnsi="Cambria Math"/>
                      </w:rPr>
                      <m:t xml:space="preserve">D</m:t>
                    </m:r>
                  </m:e>
                </m:d>
              </m:e>
            </m:d>
          </m:num>
          <m:den>
            <m:d>
              <m:dPr>
                <m:begChr m:val="|"/>
                <m:endChr m:val="|"/>
              </m:dPr>
              <m:e>
                <m:r>
                  <w:rPr>
                    <w:rFonts w:ascii="Cambria Math" w:hAnsi="Cambria Math"/>
                  </w:rPr>
                  <m:t xml:space="preserve">U</m:t>
                </m:r>
              </m:e>
            </m:d>
          </m:den>
        </m:f>
      </m:oMath>
      <w:r>
        <w:rPr>
          <w:rFonts w:cs="Times New Roman"/>
          <w:szCs w:val="24"/>
          <w:lang w:val="en-US"/>
        </w:rPr>
        <w:t xml:space="preserve">, </w:t>
      </w:r>
      <w:r>
        <w:rPr>
          <w:rFonts w:cs="Times New Roman"/>
          <w:i/>
          <w:szCs w:val="24"/>
          <w:lang w:val="en-US"/>
        </w:rPr>
        <w:t>B</w:t>
      </w:r>
      <w:r>
        <w:rPr>
          <w:rFonts w:eastAsia="Arial" w:cs="Times New Roman"/>
          <w:i/>
          <w:szCs w:val="24"/>
          <w:lang w:val="en-US"/>
        </w:rPr>
        <w:t xml:space="preserve"> </w:t>
      </w:r>
      <w:r>
        <w:rPr>
          <w:rFonts w:eastAsia="Symbol" w:cs="Symbol" w:ascii="Symbol" w:hAnsi="Symbol"/>
          <w:i/>
          <w:szCs w:val="24"/>
          <w:lang w:val="en-US"/>
        </w:rPr>
        <w:t></w:t>
      </w:r>
      <w:r>
        <w:rPr>
          <w:rFonts w:eastAsia="Arial" w:cs="Times New Roman"/>
          <w:i/>
          <w:szCs w:val="24"/>
          <w:vertAlign w:val="subscript"/>
          <w:lang w:val="en-US"/>
        </w:rPr>
        <w:t>k</w:t>
      </w:r>
      <w:r>
        <w:rPr>
          <w:rFonts w:eastAsia="Arial" w:cs="Times New Roman"/>
          <w:i/>
          <w:szCs w:val="24"/>
          <w:lang w:val="en-US"/>
        </w:rPr>
        <w:t xml:space="preserve"> D, k(B, X) </w:t>
      </w:r>
      <w:r>
        <w:rPr>
          <w:rFonts w:eastAsia="Symbol" w:cs="Symbol" w:ascii="Symbol" w:hAnsi="Symbol"/>
          <w:i/>
          <w:szCs w:val="24"/>
          <w:lang w:val="en-US"/>
        </w:rPr>
        <w:t></w:t>
      </w:r>
      <w:r>
        <w:rPr>
          <w:rFonts w:eastAsia="Arial" w:cs="Times New Roman"/>
          <w:i/>
          <w:szCs w:val="24"/>
          <w:lang w:val="en-US"/>
        </w:rPr>
        <w:t xml:space="preserve"> </w:t>
      </w:r>
      <w:r>
        <w:rPr>
          <w:rFonts w:eastAsia="Symbol" w:cs="Symbol" w:ascii="Symbol" w:hAnsi="Symbol"/>
          <w:i/>
          <w:szCs w:val="24"/>
          <w:lang w:val="en-US"/>
        </w:rPr>
        <w:t></w:t>
      </w:r>
      <w:r>
        <w:rPr>
          <w:rFonts w:eastAsia="Arial" w:cs="Times New Roman"/>
          <w:i/>
          <w:szCs w:val="24"/>
          <w:vertAlign w:val="subscript"/>
          <w:lang w:val="en-US"/>
        </w:rPr>
        <w:t>k2</w:t>
      </w:r>
    </w:p>
    <w:p>
      <w:pPr>
        <w:pStyle w:val="Normal"/>
        <w:numPr>
          <w:ilvl w:val="0"/>
          <w:numId w:val="47"/>
        </w:numPr>
        <w:suppressAutoHyphens w:val="false"/>
        <w:overflowPunct w:val="true"/>
        <w:spacing w:lineRule="auto" w:line="247" w:before="120" w:after="120"/>
        <w:ind w:left="426" w:hanging="360"/>
        <w:textAlignment w:val="auto"/>
        <w:rPr>
          <w:rFonts w:cs="Times New Roman"/>
          <w:i/>
          <w:i/>
          <w:iCs/>
          <w:szCs w:val="24"/>
        </w:rPr>
      </w:pPr>
      <w:r>
        <w:rPr>
          <w:rFonts w:cs="Times New Roman"/>
          <w:szCs w:val="24"/>
        </w:rPr>
        <w:t xml:space="preserve">     </w:t>
      </w:r>
      <w:r>
        <w:rPr>
          <w:rFonts w:cs="Times New Roman"/>
          <w:i/>
          <w:iCs/>
          <w:szCs w:val="24"/>
        </w:rPr>
        <w:t>Por cada O</w:t>
      </w:r>
      <w:r>
        <w:rPr>
          <w:rFonts w:cs="Times New Roman"/>
          <w:i/>
          <w:iCs/>
          <w:szCs w:val="24"/>
          <w:vertAlign w:val="subscript"/>
        </w:rPr>
        <w:t>t</w:t>
      </w:r>
      <w:r>
        <w:rPr>
          <w:rFonts w:cs="Times New Roman"/>
          <w:i/>
          <w:iCs/>
          <w:szCs w:val="24"/>
        </w:rPr>
        <w:t>(B,X)</w:t>
      </w:r>
      <w:r>
        <w:rPr>
          <w:rFonts w:eastAsia="Symbol" w:cs="Symbol" w:ascii="Symbol" w:hAnsi="Symbol"/>
          <w:i/>
          <w:iCs/>
          <w:szCs w:val="24"/>
          <w:lang w:val="en-US"/>
        </w:rPr>
        <w:t></w:t>
      </w:r>
      <w:r>
        <w:rPr>
          <w:rFonts w:cs="Times New Roman"/>
          <w:i/>
          <w:iCs/>
          <w:szCs w:val="24"/>
        </w:rPr>
        <w:t xml:space="preserve"> POS</w:t>
      </w:r>
      <w:r>
        <w:rPr>
          <w:rFonts w:cs="Times New Roman"/>
          <w:i/>
          <w:iCs/>
          <w:szCs w:val="24"/>
          <w:vertAlign w:val="subscript"/>
        </w:rPr>
        <w:t>B</w:t>
      </w:r>
      <w:r>
        <w:rPr>
          <w:rFonts w:cs="Times New Roman"/>
          <w:i/>
          <w:iCs/>
          <w:szCs w:val="24"/>
        </w:rPr>
        <w:t>(D)</w:t>
      </w:r>
    </w:p>
    <w:p>
      <w:pPr>
        <w:pStyle w:val="Normal"/>
        <w:numPr>
          <w:ilvl w:val="0"/>
          <w:numId w:val="47"/>
        </w:numPr>
        <w:suppressAutoHyphens w:val="false"/>
        <w:overflowPunct w:val="true"/>
        <w:spacing w:lineRule="auto" w:line="247" w:before="120" w:after="120"/>
        <w:ind w:left="426" w:hanging="360"/>
        <w:textAlignment w:val="auto"/>
        <w:rPr>
          <w:rFonts w:cs="Times New Roman"/>
          <w:i/>
          <w:i/>
          <w:iCs/>
          <w:szCs w:val="24"/>
        </w:rPr>
      </w:pPr>
      <w:r>
        <w:rPr>
          <w:rFonts w:cs="Times New Roman"/>
          <w:i/>
          <w:iCs/>
          <w:szCs w:val="24"/>
        </w:rPr>
        <w:t xml:space="preserve">       </w:t>
      </w:r>
      <w:r>
        <w:rPr>
          <w:rFonts w:cs="Times New Roman"/>
          <w:i/>
          <w:iCs/>
          <w:szCs w:val="24"/>
        </w:rPr>
        <w:t>Si (</w:t>
      </w:r>
      <w:r>
        <w:rPr>
          <w:rFonts w:eastAsia="Arial" w:cs="Times New Roman"/>
          <w:i/>
          <w:iCs/>
          <w:szCs w:val="24"/>
        </w:rPr>
        <w:t xml:space="preserve">k(B, X) </w:t>
      </w:r>
      <w:r>
        <w:rPr>
          <w:rFonts w:eastAsia="Symbol" w:cs="Symbol" w:ascii="Symbol" w:hAnsi="Symbol"/>
          <w:i/>
          <w:iCs/>
          <w:szCs w:val="24"/>
          <w:lang w:val="en-US"/>
        </w:rPr>
        <w:t></w:t>
      </w:r>
      <w:r>
        <w:rPr>
          <w:rFonts w:eastAsia="Arial" w:cs="Times New Roman"/>
          <w:i/>
          <w:iCs/>
          <w:szCs w:val="24"/>
        </w:rPr>
        <w:t xml:space="preserve"> </w:t>
      </w:r>
      <w:r>
        <w:rPr>
          <w:rFonts w:eastAsia="Symbol" w:cs="Symbol" w:ascii="Symbol" w:hAnsi="Symbol"/>
          <w:i/>
          <w:iCs/>
          <w:szCs w:val="24"/>
          <w:lang w:val="en-US"/>
        </w:rPr>
        <w:t></w:t>
      </w:r>
      <w:r>
        <w:rPr>
          <w:rFonts w:eastAsia="Arial" w:cs="Times New Roman"/>
          <w:i/>
          <w:iCs/>
          <w:szCs w:val="24"/>
          <w:vertAlign w:val="subscript"/>
        </w:rPr>
        <w:t>k1</w:t>
      </w:r>
      <w:r>
        <w:rPr>
          <w:rFonts w:cs="Times New Roman"/>
          <w:i/>
          <w:iCs/>
          <w:szCs w:val="24"/>
        </w:rPr>
        <w:t>) entonces</w:t>
      </w:r>
    </w:p>
    <w:p>
      <w:pPr>
        <w:pStyle w:val="Normal"/>
        <w:numPr>
          <w:ilvl w:val="0"/>
          <w:numId w:val="47"/>
        </w:numPr>
        <w:suppressAutoHyphens w:val="false"/>
        <w:overflowPunct w:val="true"/>
        <w:spacing w:lineRule="auto" w:line="247" w:before="120" w:after="120"/>
        <w:ind w:left="426" w:hanging="360"/>
        <w:textAlignment w:val="auto"/>
        <w:rPr>
          <w:rFonts w:cs="Times New Roman"/>
          <w:i/>
          <w:i/>
          <w:iCs/>
          <w:szCs w:val="24"/>
          <w:lang w:val="en-US"/>
        </w:rPr>
      </w:pPr>
      <w:r>
        <w:rPr>
          <w:rFonts w:cs="Times New Roman"/>
          <w:i/>
          <w:iCs/>
          <w:szCs w:val="24"/>
        </w:rPr>
        <w:t xml:space="preserve">         </w:t>
      </w:r>
      <w:r>
        <w:rPr>
          <w:rFonts w:cs="Times New Roman"/>
          <w:i/>
          <w:iCs/>
          <w:szCs w:val="24"/>
          <w:lang w:val="en-US"/>
        </w:rPr>
        <w:t xml:space="preserve">CS = CS </w:t>
      </w:r>
      <w:r>
        <w:rPr>
          <w:rFonts w:eastAsia="Symbol" w:cs="Symbol" w:ascii="Symbol" w:hAnsi="Symbol"/>
          <w:i/>
          <w:iCs/>
          <w:szCs w:val="24"/>
          <w:lang w:val="en-US"/>
        </w:rPr>
        <w:t></w:t>
      </w:r>
      <w:r>
        <w:rPr>
          <w:rFonts w:cs="Times New Roman"/>
          <w:i/>
          <w:iCs/>
          <w:szCs w:val="24"/>
          <w:lang w:val="en-US"/>
        </w:rPr>
        <w:t xml:space="preserve"> O</w:t>
      </w:r>
      <w:r>
        <w:rPr>
          <w:rFonts w:cs="Times New Roman"/>
          <w:i/>
          <w:iCs/>
          <w:szCs w:val="24"/>
          <w:vertAlign w:val="subscript"/>
          <w:lang w:val="en-US"/>
        </w:rPr>
        <w:t>t</w:t>
      </w:r>
      <w:r>
        <w:rPr>
          <w:rFonts w:cs="Times New Roman"/>
          <w:i/>
          <w:iCs/>
          <w:szCs w:val="24"/>
          <w:lang w:val="en-US"/>
        </w:rPr>
        <w:t>(B,X)</w:t>
      </w:r>
      <w:r>
        <w:rPr>
          <w:rFonts w:eastAsia="Arial" w:cs="Times New Roman"/>
          <w:i/>
          <w:iCs/>
          <w:szCs w:val="24"/>
          <w:vertAlign w:val="subscript"/>
          <w:lang w:val="en-US"/>
        </w:rPr>
        <w:t xml:space="preserve"> </w:t>
      </w:r>
    </w:p>
    <w:p>
      <w:pPr>
        <w:pStyle w:val="Normal"/>
        <w:numPr>
          <w:ilvl w:val="0"/>
          <w:numId w:val="47"/>
        </w:numPr>
        <w:suppressAutoHyphens w:val="false"/>
        <w:overflowPunct w:val="true"/>
        <w:spacing w:lineRule="auto" w:line="247" w:before="120" w:after="120"/>
        <w:ind w:left="426" w:hanging="360"/>
        <w:textAlignment w:val="auto"/>
        <w:rPr>
          <w:rFonts w:cs="Times New Roman"/>
          <w:i/>
          <w:i/>
          <w:iCs/>
          <w:szCs w:val="24"/>
          <w:lang w:val="en-US"/>
        </w:rPr>
      </w:pPr>
      <w:r>
        <w:rPr>
          <w:rFonts w:cs="Times New Roman"/>
          <w:i/>
          <w:iCs/>
          <w:szCs w:val="24"/>
          <w:lang w:val="en-US"/>
        </w:rPr>
        <w:t xml:space="preserve">       </w:t>
      </w:r>
      <w:r>
        <w:rPr>
          <w:rFonts w:cs="Times New Roman"/>
          <w:i/>
          <w:iCs/>
          <w:szCs w:val="24"/>
          <w:lang w:val="en-US"/>
        </w:rPr>
        <w:t>Sino</w:t>
      </w:r>
    </w:p>
    <w:p>
      <w:pPr>
        <w:pStyle w:val="Normal"/>
        <w:numPr>
          <w:ilvl w:val="0"/>
          <w:numId w:val="47"/>
        </w:numPr>
        <w:suppressAutoHyphens w:val="false"/>
        <w:overflowPunct w:val="true"/>
        <w:spacing w:lineRule="auto" w:line="247" w:before="120" w:after="120"/>
        <w:ind w:left="426" w:hanging="360"/>
        <w:textAlignment w:val="auto"/>
        <w:rPr>
          <w:rFonts w:cs="Times New Roman"/>
          <w:i/>
          <w:i/>
          <w:iCs/>
          <w:szCs w:val="24"/>
        </w:rPr>
      </w:pPr>
      <w:r>
        <w:rPr>
          <w:rFonts w:cs="Times New Roman"/>
          <w:i/>
          <w:iCs/>
          <w:szCs w:val="24"/>
        </w:rPr>
        <w:t xml:space="preserve">         </w:t>
      </w:r>
      <w:r>
        <w:rPr>
          <w:rFonts w:cs="Times New Roman"/>
          <w:i/>
          <w:iCs/>
          <w:szCs w:val="24"/>
        </w:rPr>
        <w:t>Si (</w:t>
      </w:r>
      <w:r>
        <w:rPr>
          <w:rFonts w:eastAsia="Arial" w:cs="Times New Roman"/>
          <w:i/>
          <w:iCs/>
          <w:szCs w:val="24"/>
        </w:rPr>
        <w:t xml:space="preserve">k(B, X) </w:t>
      </w:r>
      <w:r>
        <w:rPr>
          <w:rFonts w:eastAsia="Symbol" w:cs="Symbol" w:ascii="Symbol" w:hAnsi="Symbol"/>
          <w:i/>
          <w:iCs/>
          <w:szCs w:val="24"/>
          <w:lang w:val="en-US"/>
        </w:rPr>
        <w:t></w:t>
      </w:r>
      <w:r>
        <w:rPr>
          <w:rFonts w:eastAsia="Arial" w:cs="Times New Roman"/>
          <w:i/>
          <w:iCs/>
          <w:szCs w:val="24"/>
        </w:rPr>
        <w:t xml:space="preserve"> </w:t>
      </w:r>
      <w:r>
        <w:rPr>
          <w:rFonts w:eastAsia="Symbol" w:cs="Symbol" w:ascii="Symbol" w:hAnsi="Symbol"/>
          <w:i/>
          <w:iCs/>
          <w:szCs w:val="24"/>
          <w:lang w:val="en-US"/>
        </w:rPr>
        <w:t></w:t>
      </w:r>
      <w:r>
        <w:rPr>
          <w:rFonts w:eastAsia="Arial" w:cs="Times New Roman"/>
          <w:i/>
          <w:iCs/>
          <w:szCs w:val="24"/>
          <w:vertAlign w:val="subscript"/>
        </w:rPr>
        <w:t>k2</w:t>
      </w:r>
      <w:r>
        <w:rPr>
          <w:rFonts w:cs="Times New Roman"/>
          <w:i/>
          <w:iCs/>
          <w:szCs w:val="24"/>
        </w:rPr>
        <w:t xml:space="preserve"> ) entonces</w:t>
      </w:r>
    </w:p>
    <w:p>
      <w:pPr>
        <w:pStyle w:val="Normal"/>
        <w:numPr>
          <w:ilvl w:val="0"/>
          <w:numId w:val="47"/>
        </w:numPr>
        <w:suppressAutoHyphens w:val="false"/>
        <w:overflowPunct w:val="true"/>
        <w:spacing w:lineRule="auto" w:line="247" w:before="120" w:after="120"/>
        <w:ind w:left="426" w:hanging="360"/>
        <w:textAlignment w:val="auto"/>
        <w:rPr>
          <w:rFonts w:cs="Times New Roman"/>
          <w:i/>
          <w:i/>
          <w:iCs/>
          <w:szCs w:val="24"/>
          <w:lang w:val="en-US"/>
        </w:rPr>
      </w:pPr>
      <w:r>
        <w:rPr>
          <w:rFonts w:cs="Times New Roman"/>
          <w:i/>
          <w:iCs/>
          <w:szCs w:val="24"/>
        </w:rPr>
        <w:t xml:space="preserve">            </w:t>
      </w:r>
      <w:r>
        <w:rPr>
          <w:rFonts w:cs="Times New Roman"/>
          <w:i/>
          <w:iCs/>
          <w:szCs w:val="24"/>
          <w:lang w:val="en-US"/>
        </w:rPr>
        <w:t xml:space="preserve">Stackset.push({B </w:t>
      </w:r>
      <w:r>
        <w:rPr>
          <w:rFonts w:eastAsia="Symbol" w:cs="Symbol" w:ascii="Symbol" w:hAnsi="Symbol"/>
          <w:i/>
          <w:iCs/>
          <w:szCs w:val="24"/>
          <w:lang w:val="en-US"/>
        </w:rPr>
        <w:t></w:t>
      </w:r>
      <w:r>
        <w:rPr>
          <w:rFonts w:cs="Times New Roman"/>
          <w:i/>
          <w:iCs/>
          <w:szCs w:val="24"/>
          <w:lang w:val="en-US"/>
        </w:rPr>
        <w:t xml:space="preserve"> X})</w:t>
      </w:r>
    </w:p>
    <w:p>
      <w:pPr>
        <w:pStyle w:val="ListParagraph"/>
        <w:suppressAutoHyphens w:val="false"/>
        <w:overflowPunct w:val="true"/>
        <w:spacing w:before="120" w:after="120"/>
        <w:ind w:left="644" w:hanging="0"/>
        <w:textAlignment w:val="auto"/>
        <w:rPr>
          <w:szCs w:val="24"/>
        </w:rPr>
      </w:pPr>
      <w:r>
        <w:rPr>
          <w:i/>
          <w:iCs/>
          <w:szCs w:val="24"/>
        </w:rPr>
        <w:t xml:space="preserve">                </w:t>
      </w:r>
      <w:r>
        <w:rPr>
          <w:i/>
          <w:iCs/>
          <w:szCs w:val="24"/>
        </w:rPr>
        <w:t>Fin del condicional iniciado en el paso 6.9</w:t>
      </w:r>
    </w:p>
    <w:p>
      <w:pPr>
        <w:pStyle w:val="Normal"/>
        <w:suppressAutoHyphens w:val="false"/>
        <w:overflowPunct w:val="true"/>
        <w:spacing w:before="120" w:after="120"/>
        <w:ind w:left="1418" w:hanging="0"/>
        <w:textAlignment w:val="auto"/>
        <w:rPr>
          <w:rFonts w:cs="Times New Roman"/>
          <w:i/>
          <w:i/>
          <w:iCs/>
          <w:szCs w:val="24"/>
        </w:rPr>
      </w:pPr>
      <w:r>
        <w:rPr>
          <w:rFonts w:cs="Times New Roman"/>
          <w:szCs w:val="24"/>
        </w:rPr>
        <w:t xml:space="preserve">       </w:t>
      </w:r>
      <w:r>
        <w:rPr>
          <w:rFonts w:cs="Times New Roman"/>
          <w:i/>
          <w:iCs/>
          <w:szCs w:val="24"/>
        </w:rPr>
        <w:t>Fin del condicional iniciado en el paso 6.6</w:t>
      </w:r>
    </w:p>
    <w:p>
      <w:pPr>
        <w:pStyle w:val="Normal"/>
        <w:suppressAutoHyphens w:val="false"/>
        <w:overflowPunct w:val="true"/>
        <w:spacing w:before="120" w:after="120"/>
        <w:ind w:left="426" w:hanging="0"/>
        <w:textAlignment w:val="auto"/>
        <w:rPr>
          <w:i/>
          <w:i/>
          <w:iCs/>
          <w:szCs w:val="24"/>
        </w:rPr>
      </w:pPr>
      <w:r>
        <w:rPr>
          <w:i/>
          <w:iCs/>
          <w:szCs w:val="24"/>
        </w:rPr>
        <w:t xml:space="preserve">             </w:t>
      </w:r>
      <w:r>
        <w:rPr>
          <w:i/>
          <w:iCs/>
          <w:szCs w:val="24"/>
        </w:rPr>
        <w:t xml:space="preserve">Fin del ciclo </w:t>
      </w:r>
      <w:r>
        <w:rPr>
          <w:rFonts w:cs="Times New Roman"/>
          <w:i/>
          <w:iCs/>
          <w:szCs w:val="24"/>
        </w:rPr>
        <w:t xml:space="preserve">iniciado en el paso </w:t>
      </w:r>
      <w:r>
        <w:rPr>
          <w:i/>
          <w:iCs/>
          <w:szCs w:val="24"/>
        </w:rPr>
        <w:t>6.5</w:t>
      </w:r>
    </w:p>
    <w:p>
      <w:pPr>
        <w:pStyle w:val="Normal"/>
        <w:suppressAutoHyphens w:val="false"/>
        <w:overflowPunct w:val="true"/>
        <w:spacing w:before="120" w:after="120"/>
        <w:ind w:left="426" w:hanging="0"/>
        <w:textAlignment w:val="auto"/>
        <w:rPr>
          <w:i/>
          <w:i/>
          <w:iCs/>
          <w:szCs w:val="24"/>
        </w:rPr>
      </w:pPr>
      <w:r>
        <w:rPr>
          <w:i/>
          <w:iCs/>
          <w:szCs w:val="24"/>
        </w:rPr>
        <w:t xml:space="preserve">          </w:t>
      </w:r>
      <w:r>
        <w:rPr>
          <w:i/>
          <w:iCs/>
          <w:szCs w:val="24"/>
        </w:rPr>
        <w:t xml:space="preserve">Fin del ciclo </w:t>
      </w:r>
      <w:r>
        <w:rPr>
          <w:rFonts w:cs="Times New Roman"/>
          <w:i/>
          <w:iCs/>
          <w:szCs w:val="24"/>
        </w:rPr>
        <w:t xml:space="preserve">iniciado en el paso </w:t>
      </w:r>
      <w:r>
        <w:rPr>
          <w:i/>
          <w:iCs/>
          <w:szCs w:val="24"/>
        </w:rPr>
        <w:t>6.3</w:t>
      </w:r>
    </w:p>
    <w:p>
      <w:pPr>
        <w:pStyle w:val="Normal"/>
        <w:suppressAutoHyphens w:val="false"/>
        <w:overflowPunct w:val="true"/>
        <w:spacing w:before="120" w:after="120"/>
        <w:ind w:left="426" w:hanging="0"/>
        <w:textAlignment w:val="auto"/>
        <w:rPr>
          <w:i/>
          <w:i/>
          <w:iCs/>
          <w:szCs w:val="24"/>
        </w:rPr>
      </w:pPr>
      <w:r>
        <w:rPr>
          <w:i/>
          <w:iCs/>
          <w:szCs w:val="24"/>
        </w:rPr>
        <w:t xml:space="preserve">       </w:t>
      </w:r>
      <w:r>
        <w:rPr>
          <w:i/>
          <w:iCs/>
          <w:szCs w:val="24"/>
        </w:rPr>
        <w:t xml:space="preserve">Fin del ciclo </w:t>
      </w:r>
      <w:r>
        <w:rPr>
          <w:rFonts w:cs="Times New Roman"/>
          <w:i/>
          <w:iCs/>
          <w:szCs w:val="24"/>
        </w:rPr>
        <w:t xml:space="preserve">iniciado en el paso </w:t>
      </w:r>
      <w:r>
        <w:rPr>
          <w:i/>
          <w:iCs/>
          <w:szCs w:val="24"/>
        </w:rPr>
        <w:t>6.2</w:t>
      </w:r>
    </w:p>
    <w:p>
      <w:pPr>
        <w:pStyle w:val="Normal"/>
        <w:suppressAutoHyphens w:val="false"/>
        <w:overflowPunct w:val="true"/>
        <w:spacing w:before="120" w:after="120"/>
        <w:ind w:left="426" w:hanging="0"/>
        <w:textAlignment w:val="auto"/>
        <w:rPr>
          <w:i/>
          <w:i/>
          <w:iCs/>
          <w:szCs w:val="24"/>
        </w:rPr>
      </w:pPr>
      <w:r>
        <w:rPr>
          <w:i/>
          <w:iCs/>
          <w:szCs w:val="24"/>
        </w:rPr>
        <w:t xml:space="preserve">      </w:t>
      </w:r>
      <w:r>
        <w:rPr>
          <w:i/>
          <w:iCs/>
          <w:szCs w:val="24"/>
        </w:rPr>
        <w:t xml:space="preserve">Fin del ciclo </w:t>
      </w:r>
      <w:r>
        <w:rPr>
          <w:rFonts w:cs="Times New Roman"/>
          <w:i/>
          <w:iCs/>
          <w:szCs w:val="24"/>
        </w:rPr>
        <w:t xml:space="preserve">iniciado en el paso </w:t>
      </w:r>
      <w:r>
        <w:rPr>
          <w:i/>
          <w:iCs/>
          <w:szCs w:val="24"/>
        </w:rPr>
        <w:t>6</w:t>
      </w:r>
    </w:p>
    <w:p>
      <w:pPr>
        <w:pStyle w:val="Normal"/>
        <w:numPr>
          <w:ilvl w:val="0"/>
          <w:numId w:val="15"/>
        </w:numPr>
        <w:spacing w:before="120" w:after="120"/>
        <w:rPr>
          <w:i/>
          <w:i/>
          <w:iCs/>
          <w:szCs w:val="18"/>
          <w:lang w:val="en-US"/>
        </w:rPr>
      </w:pPr>
      <w:bookmarkStart w:id="1115" w:name="_Hlk79767047"/>
      <w:bookmarkEnd w:id="1115"/>
      <w:r>
        <w:rPr>
          <w:i/>
          <w:iCs/>
          <w:szCs w:val="18"/>
          <w:lang w:val="en-US"/>
        </w:rPr>
        <w:t>CandidateSummaries</w:t>
      </w:r>
      <w:r>
        <w:rPr>
          <w:i/>
          <w:iCs/>
          <w:lang w:val="en-US"/>
        </w:rPr>
        <w:t xml:space="preserve"> = generate_summaries_from_candidates(</w:t>
      </w:r>
      <w:bookmarkStart w:id="1116" w:name="_Hlk79767214"/>
      <w:r>
        <w:rPr>
          <w:i/>
          <w:iCs/>
          <w:lang w:val="en-US"/>
        </w:rPr>
        <w:t>U, CS, A</w:t>
      </w:r>
      <w:r>
        <w:rPr>
          <w:i/>
          <w:iCs/>
          <w:vertAlign w:val="subscript"/>
          <w:lang w:val="en-US"/>
        </w:rPr>
        <w:t>LV</w:t>
      </w:r>
      <w:r>
        <w:rPr>
          <w:i/>
          <w:iCs/>
          <w:lang w:val="en-US"/>
        </w:rPr>
        <w:t xml:space="preserve">, </w:t>
      </w:r>
      <w:r>
        <w:rPr>
          <w:i/>
          <w:iCs/>
          <w:szCs w:val="18"/>
          <w:lang w:val="en-US"/>
        </w:rPr>
        <w:t>LV</w:t>
      </w:r>
      <w:r>
        <w:rPr>
          <w:i/>
          <w:iCs/>
          <w:szCs w:val="18"/>
          <w:vertAlign w:val="subscript"/>
          <w:lang w:val="en-US"/>
        </w:rPr>
        <w:t>Q</w:t>
      </w:r>
      <w:r>
        <w:rPr>
          <w:i/>
          <w:iCs/>
          <w:lang w:val="en-US"/>
        </w:rPr>
        <w:t>, T</w:t>
      </w:r>
      <w:bookmarkEnd w:id="1116"/>
      <w:r>
        <w:rPr>
          <w:i/>
          <w:iCs/>
          <w:lang w:val="en-US"/>
        </w:rPr>
        <w:t>)</w:t>
      </w:r>
    </w:p>
    <w:p>
      <w:pPr>
        <w:pStyle w:val="Normal"/>
        <w:numPr>
          <w:ilvl w:val="0"/>
          <w:numId w:val="15"/>
        </w:numPr>
        <w:spacing w:before="120" w:after="120"/>
        <w:rPr>
          <w:i/>
          <w:i/>
          <w:iCs/>
          <w:szCs w:val="18"/>
        </w:rPr>
      </w:pPr>
      <w:r>
        <w:rPr>
          <w:i/>
          <w:iCs/>
          <w:szCs w:val="18"/>
        </w:rPr>
        <w:t xml:space="preserve">calculate_quantifiers(CandidateSummaries, </w:t>
      </w:r>
      <w:bookmarkStart w:id="1117" w:name="_Hlk79767252"/>
      <w:r>
        <w:rPr>
          <w:i/>
          <w:iCs/>
          <w:szCs w:val="18"/>
        </w:rPr>
        <w:t>LV</w:t>
      </w:r>
      <w:r>
        <w:rPr>
          <w:i/>
          <w:iCs/>
          <w:szCs w:val="18"/>
          <w:vertAlign w:val="subscript"/>
        </w:rPr>
        <w:t>Q</w:t>
      </w:r>
      <w:bookmarkEnd w:id="1117"/>
      <w:r>
        <w:rPr>
          <w:i/>
          <w:iCs/>
          <w:szCs w:val="18"/>
        </w:rPr>
        <w:t>)</w:t>
      </w:r>
    </w:p>
    <w:p>
      <w:pPr>
        <w:pStyle w:val="Normal"/>
        <w:numPr>
          <w:ilvl w:val="0"/>
          <w:numId w:val="15"/>
        </w:numPr>
        <w:spacing w:before="120" w:after="120"/>
        <w:rPr>
          <w:i/>
          <w:i/>
          <w:iCs/>
          <w:szCs w:val="18"/>
          <w:lang w:val="en-US"/>
        </w:rPr>
      </w:pPr>
      <w:r>
        <w:rPr>
          <w:i/>
          <w:iCs/>
          <w:szCs w:val="18"/>
          <w:lang w:val="en-US"/>
        </w:rPr>
        <w:t xml:space="preserve">calculate_T(CandidateSummaries, </w:t>
      </w:r>
      <w:bookmarkStart w:id="1118" w:name="_Hlk79767275"/>
      <w:r>
        <w:rPr>
          <w:rFonts w:eastAsia="Symbol" w:cs="Symbol" w:ascii="Symbol" w:hAnsi="Symbol"/>
          <w:i/>
          <w:iCs/>
          <w:szCs w:val="18"/>
          <w:lang w:val="en-US"/>
        </w:rPr>
        <w:t></w:t>
      </w:r>
      <w:bookmarkEnd w:id="1118"/>
      <w:r>
        <w:rPr>
          <w:i/>
          <w:iCs/>
          <w:szCs w:val="18"/>
          <w:lang w:val="en-US"/>
        </w:rPr>
        <w:t>)</w:t>
      </w:r>
    </w:p>
    <w:p>
      <w:pPr>
        <w:pStyle w:val="Normal"/>
        <w:numPr>
          <w:ilvl w:val="0"/>
          <w:numId w:val="15"/>
        </w:numPr>
        <w:spacing w:before="120" w:after="120"/>
        <w:rPr>
          <w:i/>
          <w:i/>
          <w:iCs/>
          <w:szCs w:val="18"/>
          <w:lang w:val="en-US"/>
        </w:rPr>
      </w:pPr>
      <w:r>
        <w:rPr>
          <w:i/>
          <w:iCs/>
          <w:szCs w:val="18"/>
          <w:lang w:val="en-US"/>
        </w:rPr>
        <w:t xml:space="preserve">Summaries = humanize_summaries(CandidateSummaries, </w:t>
      </w:r>
      <w:bookmarkStart w:id="1119" w:name="_Hlk79767318"/>
      <w:r>
        <w:rPr>
          <w:i/>
          <w:iCs/>
          <w:szCs w:val="18"/>
          <w:lang w:val="en-US"/>
        </w:rPr>
        <w:t>A</w:t>
      </w:r>
      <w:r>
        <w:rPr>
          <w:i/>
          <w:iCs/>
          <w:szCs w:val="18"/>
          <w:vertAlign w:val="subscript"/>
          <w:lang w:val="en-US"/>
        </w:rPr>
        <w:t>LV</w:t>
      </w:r>
      <w:r>
        <w:rPr>
          <w:i/>
          <w:iCs/>
          <w:szCs w:val="18"/>
          <w:lang w:val="en-US"/>
        </w:rPr>
        <w:t>, LV</w:t>
      </w:r>
      <w:r>
        <w:rPr>
          <w:i/>
          <w:iCs/>
          <w:szCs w:val="18"/>
          <w:vertAlign w:val="subscript"/>
          <w:lang w:val="en-US"/>
        </w:rPr>
        <w:t>Q</w:t>
      </w:r>
      <w:r>
        <w:rPr>
          <w:i/>
          <w:iCs/>
          <w:lang w:val="en-US"/>
        </w:rPr>
        <w:t xml:space="preserve"> , LNC</w:t>
      </w:r>
      <w:bookmarkEnd w:id="1119"/>
      <w:r>
        <w:rPr>
          <w:i/>
          <w:iCs/>
          <w:szCs w:val="18"/>
          <w:lang w:val="en-US"/>
        </w:rPr>
        <w:t>)</w:t>
      </w:r>
    </w:p>
    <w:p>
      <w:pPr>
        <w:pStyle w:val="Normal"/>
        <w:numPr>
          <w:ilvl w:val="0"/>
          <w:numId w:val="15"/>
        </w:numPr>
        <w:spacing w:before="120" w:after="120"/>
        <w:rPr>
          <w:i/>
          <w:i/>
          <w:iCs/>
          <w:szCs w:val="18"/>
          <w:lang w:val="en-US"/>
        </w:rPr>
      </w:pPr>
      <w:bookmarkStart w:id="1120" w:name="_Hlk797670471"/>
      <w:bookmarkEnd w:id="1120"/>
      <w:r>
        <w:rPr>
          <w:i/>
          <w:iCs/>
          <w:szCs w:val="18"/>
          <w:lang w:val="en-US"/>
        </w:rPr>
        <w:t>ranking_summaries = sort_summaries(Summaries)</w:t>
      </w:r>
    </w:p>
    <w:p>
      <w:pPr>
        <w:pStyle w:val="Normal"/>
        <w:numPr>
          <w:ilvl w:val="0"/>
          <w:numId w:val="15"/>
        </w:numPr>
        <w:suppressAutoHyphens w:val="false"/>
        <w:overflowPunct w:val="true"/>
        <w:spacing w:before="120" w:after="120"/>
        <w:ind w:left="426" w:hanging="481"/>
        <w:textAlignment w:val="auto"/>
        <w:rPr>
          <w:i/>
          <w:i/>
          <w:iCs/>
          <w:szCs w:val="24"/>
          <w:lang w:val="en-US"/>
        </w:rPr>
      </w:pPr>
      <w:bookmarkStart w:id="1121" w:name="_Hlk79767327"/>
      <w:bookmarkEnd w:id="1121"/>
      <w:r>
        <w:rPr>
          <w:i/>
          <w:iCs/>
          <w:szCs w:val="18"/>
        </w:rPr>
        <w:t>Return ranking_summaries</w:t>
      </w:r>
    </w:p>
    <w:p>
      <w:pPr>
        <w:pStyle w:val="Normal"/>
        <w:spacing w:before="120" w:after="48"/>
        <w:ind w:right="40" w:hanging="0"/>
        <w:rPr/>
      </w:pPr>
      <w:r>
        <w:rPr/>
        <w:t xml:space="preserve">El </w:t>
      </w:r>
      <w:r>
        <w:rPr>
          <w:szCs w:val="24"/>
        </w:rPr>
        <w:t>paso</w:t>
      </w:r>
      <w:r>
        <w:rPr/>
        <w:t xml:space="preserve"> 1 se transforma el sistema de información </w:t>
      </w:r>
      <w:r>
        <w:rPr>
          <w:i/>
        </w:rPr>
        <w:t>S</w:t>
      </w:r>
      <w:r>
        <w:rPr/>
        <w:t xml:space="preserve"> en un conjunto de datos lingüísticos considerando los conjuntos borrosos y los principios de máxima membresía, tiene complejidad </w:t>
      </w:r>
      <w:r>
        <w:rPr>
          <w:i/>
        </w:rPr>
        <w:t>O(p·n·q)</w:t>
      </w:r>
      <w:r>
        <w:rPr/>
        <w:t>.</w:t>
      </w:r>
    </w:p>
    <w:p>
      <w:pPr>
        <w:pStyle w:val="Normal"/>
        <w:spacing w:before="120" w:after="48"/>
        <w:ind w:right="40" w:hanging="0"/>
        <w:rPr>
          <w:szCs w:val="24"/>
        </w:rPr>
      </w:pPr>
      <w:r>
        <w:rPr>
          <w:szCs w:val="24"/>
        </w:rPr>
        <w:t xml:space="preserve">En el paso 2, cada elemento </w:t>
      </w:r>
      <w:r>
        <w:rPr>
          <w:i/>
          <w:szCs w:val="24"/>
        </w:rPr>
        <w:t>a</w:t>
      </w:r>
      <w:r>
        <w:rPr>
          <w:rFonts w:eastAsia="Symbol" w:cs="Symbol" w:ascii="Symbol" w:hAnsi="Symbol"/>
          <w:szCs w:val="24"/>
          <w:lang w:val="en-US"/>
        </w:rPr>
        <w:t></w:t>
      </w:r>
      <w:r>
        <w:rPr>
          <w:i/>
          <w:szCs w:val="24"/>
        </w:rPr>
        <w:t>A</w:t>
      </w:r>
      <w:r>
        <w:rPr>
          <w:rFonts w:eastAsia="Symbol" w:cs="Symbol" w:ascii="Symbol" w:hAnsi="Symbol"/>
          <w:i/>
          <w:szCs w:val="24"/>
          <w:lang w:val="en-US"/>
        </w:rPr>
        <w:t></w:t>
      </w:r>
      <w:r>
        <w:rPr>
          <w:i/>
          <w:szCs w:val="24"/>
        </w:rPr>
        <w:t xml:space="preserve"> D</w:t>
      </w:r>
      <w:r>
        <w:rPr>
          <w:szCs w:val="24"/>
        </w:rPr>
        <w:t xml:space="preserve"> es transformado en un conjunto {</w:t>
      </w:r>
      <w:r>
        <w:rPr>
          <w:i/>
          <w:szCs w:val="24"/>
        </w:rPr>
        <w:t>a</w:t>
      </w:r>
      <w:r>
        <w:rPr>
          <w:szCs w:val="24"/>
        </w:rPr>
        <w:t xml:space="preserve">} e insertado en un conjunto </w:t>
      </w:r>
      <w:r>
        <w:rPr>
          <w:i/>
          <w:szCs w:val="24"/>
        </w:rPr>
        <w:t>A_ItemSet</w:t>
      </w:r>
      <w:r>
        <w:rPr>
          <w:szCs w:val="24"/>
        </w:rPr>
        <w:t>, Ejemplo: {</w:t>
      </w:r>
      <w:r>
        <w:rPr>
          <w:i/>
          <w:szCs w:val="24"/>
        </w:rPr>
        <w:t>a</w:t>
      </w:r>
      <w:r>
        <w:rPr>
          <w:i/>
          <w:szCs w:val="24"/>
          <w:vertAlign w:val="subscript"/>
        </w:rPr>
        <w:t>1</w:t>
      </w:r>
      <w:r>
        <w:rPr>
          <w:i/>
          <w:szCs w:val="24"/>
        </w:rPr>
        <w:t>, a</w:t>
      </w:r>
      <w:r>
        <w:rPr>
          <w:i/>
          <w:szCs w:val="24"/>
          <w:vertAlign w:val="subscript"/>
        </w:rPr>
        <w:t xml:space="preserve">2, </w:t>
      </w:r>
      <w:r>
        <w:rPr>
          <w:i/>
          <w:szCs w:val="24"/>
        </w:rPr>
        <w:t>a</w:t>
      </w:r>
      <w:r>
        <w:rPr>
          <w:i/>
          <w:szCs w:val="24"/>
          <w:vertAlign w:val="subscript"/>
        </w:rPr>
        <w:t>3</w:t>
      </w:r>
      <w:r>
        <w:rPr>
          <w:szCs w:val="24"/>
        </w:rPr>
        <w:t>}</w:t>
      </w:r>
      <w:r>
        <w:rPr>
          <w:i/>
          <w:szCs w:val="24"/>
        </w:rPr>
        <w:t xml:space="preserve"> =&gt; </w:t>
      </w:r>
      <w:r>
        <w:rPr>
          <w:szCs w:val="24"/>
        </w:rPr>
        <w:t>{{</w:t>
      </w:r>
      <w:r>
        <w:rPr>
          <w:i/>
          <w:szCs w:val="24"/>
        </w:rPr>
        <w:t>a</w:t>
      </w:r>
      <w:r>
        <w:rPr>
          <w:i/>
          <w:szCs w:val="24"/>
          <w:vertAlign w:val="subscript"/>
        </w:rPr>
        <w:t>1</w:t>
      </w:r>
      <w:r>
        <w:rPr>
          <w:szCs w:val="24"/>
        </w:rPr>
        <w:t>}</w:t>
      </w:r>
      <w:r>
        <w:rPr>
          <w:i/>
          <w:szCs w:val="24"/>
        </w:rPr>
        <w:t>,</w:t>
      </w:r>
      <w:r>
        <w:rPr>
          <w:szCs w:val="24"/>
        </w:rPr>
        <w:t xml:space="preserve"> {</w:t>
      </w:r>
      <w:r>
        <w:rPr>
          <w:i/>
          <w:szCs w:val="24"/>
        </w:rPr>
        <w:t>a</w:t>
      </w:r>
      <w:r>
        <w:rPr>
          <w:i/>
          <w:szCs w:val="24"/>
          <w:vertAlign w:val="subscript"/>
        </w:rPr>
        <w:t>2</w:t>
      </w:r>
      <w:r>
        <w:rPr>
          <w:szCs w:val="24"/>
        </w:rPr>
        <w:t>}, {</w:t>
      </w:r>
      <w:r>
        <w:rPr>
          <w:i/>
          <w:szCs w:val="24"/>
        </w:rPr>
        <w:t>a</w:t>
      </w:r>
      <w:r>
        <w:rPr>
          <w:i/>
          <w:szCs w:val="24"/>
          <w:vertAlign w:val="subscript"/>
        </w:rPr>
        <w:t>3</w:t>
      </w:r>
      <w:r>
        <w:rPr>
          <w:szCs w:val="24"/>
        </w:rPr>
        <w:t>}}.</w:t>
      </w:r>
      <w:r>
        <w:rPr/>
        <w:t xml:space="preserve"> Luego en los pasos 3 y 4 se inicializan la variable </w:t>
      </w:r>
      <w:r>
        <w:rPr>
          <w:i/>
          <w:szCs w:val="24"/>
        </w:rPr>
        <w:t>D_ItemSet</w:t>
      </w:r>
      <w:r>
        <w:rPr>
          <w:szCs w:val="24"/>
        </w:rPr>
        <w:t xml:space="preserve"> y la pila </w:t>
      </w:r>
      <w:r>
        <w:rPr>
          <w:i/>
          <w:szCs w:val="24"/>
        </w:rPr>
        <w:t>Stackset</w:t>
      </w:r>
      <w:r>
        <w:rPr/>
        <w:t xml:space="preserve">. La complejidad de estos pasos es </w:t>
      </w:r>
      <w:r>
        <w:rPr>
          <w:i/>
        </w:rPr>
        <w:t>O(p).</w:t>
      </w:r>
    </w:p>
    <w:p>
      <w:pPr>
        <w:pStyle w:val="Normal"/>
        <w:spacing w:before="120" w:after="48"/>
        <w:ind w:right="40" w:hanging="0"/>
        <w:rPr/>
      </w:pPr>
      <w:r>
        <w:rPr>
          <w:szCs w:val="24"/>
        </w:rPr>
        <w:t xml:space="preserve">El paso 6 constituye el corazón de este algoritmo, en los pasos 6.2 y 6.3 se crean pares de conjuntos </w:t>
      </w:r>
      <w:r>
        <w:rPr>
          <w:i/>
          <w:szCs w:val="24"/>
        </w:rPr>
        <w:t xml:space="preserve">B </w:t>
      </w:r>
      <w:r>
        <w:rPr>
          <w:iCs/>
          <w:szCs w:val="24"/>
        </w:rPr>
        <w:t xml:space="preserve">y </w:t>
      </w:r>
      <w:r>
        <w:rPr>
          <w:i/>
          <w:szCs w:val="24"/>
        </w:rPr>
        <w:t xml:space="preserve">X </w:t>
      </w:r>
      <w:r>
        <w:rPr>
          <w:szCs w:val="24"/>
        </w:rPr>
        <w:t xml:space="preserve">que representan a posibles filtros y sumarizadores respectivamente. Luego en el paso 6.4 se calcula la región positiva </w:t>
      </w:r>
      <w:r>
        <w:rPr>
          <w:i/>
          <w:szCs w:val="24"/>
        </w:rPr>
        <w:t>POS</w:t>
      </w:r>
      <w:r>
        <w:rPr>
          <w:i/>
          <w:szCs w:val="24"/>
          <w:vertAlign w:val="subscript"/>
        </w:rPr>
        <w:t>B</w:t>
      </w:r>
      <w:r>
        <w:rPr>
          <w:i/>
          <w:szCs w:val="24"/>
        </w:rPr>
        <w:t>(D)</w:t>
      </w:r>
      <w:r>
        <w:rPr>
          <w:szCs w:val="24"/>
        </w:rPr>
        <w:t xml:space="preserve"> aplicando la </w:t>
      </w:r>
      <w:r>
        <w:rPr>
          <w:szCs w:val="24"/>
        </w:rPr>
        <w:fldChar w:fldCharType="begin"/>
      </w:r>
      <w:r>
        <w:instrText> REF _Ref68504501 \h </w:instrText>
      </w:r>
      <w:r>
        <w:fldChar w:fldCharType="separate"/>
      </w:r>
      <w:r>
        <w:t>Definición 3</w:t>
      </w:r>
      <w:r>
        <w:fldChar w:fldCharType="end"/>
      </w:r>
      <w:r>
        <w:rPr>
          <w:szCs w:val="24"/>
        </w:rPr>
        <w:t xml:space="preserve">, así como la </w:t>
      </w:r>
      <w:r>
        <w:rPr>
          <w:szCs w:val="24"/>
        </w:rPr>
        <w:fldChar w:fldCharType="begin"/>
      </w:r>
      <w:r>
        <w:instrText> REF _Ref81292616 \h </w:instrText>
      </w:r>
      <w:r>
        <w:fldChar w:fldCharType="separate"/>
      </w:r>
      <w:r>
        <w:t xml:space="preserve">Ecuación </w:t>
      </w:r>
      <w:r>
        <w:fldChar w:fldCharType="end"/>
      </w:r>
      <w:r>
        <w:rPr>
          <w:szCs w:val="24"/>
        </w:rPr>
        <w:t xml:space="preserve"> y la </w:t>
      </w:r>
      <w:r>
        <w:rPr>
          <w:szCs w:val="24"/>
        </w:rPr>
        <w:fldChar w:fldCharType="begin"/>
      </w:r>
      <w:r>
        <w:instrText> REF _Ref81292802 \h </w:instrText>
      </w:r>
      <w:r>
        <w:fldChar w:fldCharType="separate"/>
      </w:r>
      <w:r>
        <w:t xml:space="preserve">Ecuación </w:t>
      </w:r>
      <w:r>
        <w:fldChar w:fldCharType="end"/>
      </w:r>
      <w:r>
        <w:rPr>
          <w:szCs w:val="24"/>
        </w:rPr>
        <w:t>.</w:t>
      </w:r>
      <w:r>
        <w:rPr>
          <w:rFonts w:eastAsia="Arial"/>
          <w:i/>
          <w:szCs w:val="24"/>
        </w:rPr>
        <w:t xml:space="preserve"> </w:t>
      </w:r>
      <w:r>
        <w:rPr>
          <w:rFonts w:eastAsia="Arial"/>
          <w:szCs w:val="24"/>
        </w:rPr>
        <w:t>La condición</w:t>
      </w:r>
      <w:r>
        <w:rPr>
          <w:rFonts w:eastAsia="Arial"/>
          <w:i/>
          <w:szCs w:val="24"/>
        </w:rPr>
        <w:t xml:space="preserve"> </w:t>
      </w:r>
      <w:r>
        <w:rPr>
          <w:rFonts w:eastAsia="Arial" w:cs="Times New Roman"/>
          <w:i/>
          <w:szCs w:val="24"/>
        </w:rPr>
        <w:t>k(B, X)</w:t>
      </w:r>
      <w:r>
        <w:rPr>
          <w:rFonts w:eastAsia="Arial"/>
          <w:i/>
          <w:szCs w:val="24"/>
        </w:rPr>
        <w:t xml:space="preserve"> </w:t>
      </w:r>
      <w:r>
        <w:rPr>
          <w:rFonts w:eastAsia="Symbol" w:cs="Symbol" w:ascii="Symbol" w:hAnsi="Symbol"/>
          <w:i/>
          <w:szCs w:val="24"/>
          <w:lang w:val="en-US"/>
        </w:rPr>
        <w:t></w:t>
      </w:r>
      <w:r>
        <w:rPr>
          <w:rFonts w:eastAsia="Arial"/>
          <w:i/>
          <w:szCs w:val="24"/>
        </w:rPr>
        <w:t xml:space="preserve"> </w:t>
      </w:r>
      <w:r>
        <w:rPr>
          <w:rFonts w:eastAsia="Symbol" w:cs="Symbol" w:ascii="Symbol" w:hAnsi="Symbol"/>
          <w:i/>
          <w:szCs w:val="24"/>
          <w:lang w:val="en-US"/>
        </w:rPr>
        <w:t></w:t>
      </w:r>
      <w:r>
        <w:rPr>
          <w:rFonts w:eastAsia="Arial"/>
          <w:i/>
          <w:szCs w:val="24"/>
          <w:vertAlign w:val="subscript"/>
        </w:rPr>
        <w:t>k2</w:t>
      </w:r>
      <w:r>
        <w:rPr>
          <w:rFonts w:eastAsia="Arial"/>
          <w:szCs w:val="24"/>
        </w:rPr>
        <w:t xml:space="preserve">, ayuda a encontrar resúmenes entre atributos de dependencia parcial, pero considerando los conjuntos de atributos que tienen un nivel mínimo de relación. </w:t>
      </w:r>
      <w:r>
        <w:rPr>
          <w:szCs w:val="24"/>
        </w:rPr>
        <w:t xml:space="preserve">Luego, en el paso 6.6, </w:t>
      </w:r>
      <w:r>
        <w:rPr>
          <w:i/>
          <w:szCs w:val="24"/>
        </w:rPr>
        <w:t>O</w:t>
      </w:r>
      <w:r>
        <w:rPr>
          <w:i/>
          <w:szCs w:val="24"/>
          <w:vertAlign w:val="subscript"/>
        </w:rPr>
        <w:t>t</w:t>
      </w:r>
      <w:r>
        <w:rPr>
          <w:szCs w:val="24"/>
        </w:rPr>
        <w:t xml:space="preserve"> </w:t>
      </w:r>
      <w:r>
        <w:rPr>
          <w:rFonts w:eastAsia="Symbol" w:cs="Symbol" w:ascii="Symbol" w:hAnsi="Symbol"/>
          <w:szCs w:val="24"/>
          <w:lang w:val="en-US"/>
        </w:rPr>
        <w:t></w:t>
      </w:r>
      <w:r>
        <w:rPr>
          <w:szCs w:val="24"/>
        </w:rPr>
        <w:t xml:space="preserve"> </w:t>
      </w:r>
      <w:r>
        <w:rPr>
          <w:i/>
          <w:szCs w:val="24"/>
        </w:rPr>
        <w:t>U</w:t>
      </w:r>
      <w:r>
        <w:rPr>
          <w:szCs w:val="24"/>
        </w:rPr>
        <w:t xml:space="preserve">, </w:t>
      </w:r>
      <w:r>
        <w:rPr>
          <w:i/>
          <w:szCs w:val="24"/>
        </w:rPr>
        <w:t>O</w:t>
      </w:r>
      <w:r>
        <w:rPr>
          <w:i/>
          <w:szCs w:val="24"/>
          <w:vertAlign w:val="subscript"/>
        </w:rPr>
        <w:t>t</w:t>
      </w:r>
      <w:r>
        <w:rPr>
          <w:iCs/>
          <w:szCs w:val="24"/>
        </w:rPr>
        <w:t>(</w:t>
      </w:r>
      <w:r>
        <w:rPr>
          <w:i/>
          <w:szCs w:val="24"/>
        </w:rPr>
        <w:t>B</w:t>
      </w:r>
      <w:r>
        <w:rPr>
          <w:iCs/>
          <w:szCs w:val="24"/>
        </w:rPr>
        <w:t>,</w:t>
      </w:r>
      <w:r>
        <w:rPr>
          <w:i/>
          <w:szCs w:val="24"/>
        </w:rPr>
        <w:t>X</w:t>
      </w:r>
      <w:r>
        <w:rPr>
          <w:iCs/>
          <w:szCs w:val="24"/>
        </w:rPr>
        <w:t>)</w:t>
      </w:r>
      <w:r>
        <w:rPr>
          <w:szCs w:val="24"/>
        </w:rPr>
        <w:t xml:space="preserve"> representa los valores de los atributos </w:t>
      </w:r>
      <w:r>
        <w:rPr>
          <w:i/>
          <w:szCs w:val="24"/>
        </w:rPr>
        <w:t>a</w:t>
      </w:r>
      <w:r>
        <w:rPr>
          <w:rFonts w:eastAsia="Symbol" w:cs="Symbol" w:ascii="Symbol" w:hAnsi="Symbol"/>
          <w:iCs/>
          <w:szCs w:val="24"/>
          <w:lang w:val="en-US"/>
        </w:rPr>
        <w:t></w:t>
      </w:r>
      <w:r>
        <w:rPr>
          <w:i/>
          <w:szCs w:val="24"/>
        </w:rPr>
        <w:t>B</w:t>
      </w:r>
      <w:r>
        <w:rPr>
          <w:rFonts w:eastAsia="Symbol" w:cs="Symbol" w:ascii="Symbol" w:hAnsi="Symbol"/>
          <w:iCs/>
          <w:szCs w:val="24"/>
          <w:lang w:val="en-US"/>
        </w:rPr>
        <w:t></w:t>
      </w:r>
      <w:r>
        <w:rPr>
          <w:i/>
          <w:szCs w:val="24"/>
        </w:rPr>
        <w:t xml:space="preserve">X </w:t>
      </w:r>
      <w:r>
        <w:rPr>
          <w:szCs w:val="24"/>
        </w:rPr>
        <w:t xml:space="preserve">en el objeto </w:t>
      </w:r>
      <w:r>
        <w:rPr>
          <w:i/>
          <w:szCs w:val="24"/>
        </w:rPr>
        <w:t>O</w:t>
      </w:r>
      <w:r>
        <w:rPr>
          <w:i/>
          <w:szCs w:val="24"/>
          <w:vertAlign w:val="subscript"/>
        </w:rPr>
        <w:t>t</w:t>
      </w:r>
      <w:r>
        <w:rPr>
          <w:i/>
          <w:szCs w:val="24"/>
        </w:rPr>
        <w:t xml:space="preserve">; </w:t>
      </w:r>
      <w:r>
        <w:rPr>
          <w:szCs w:val="24"/>
        </w:rPr>
        <w:t xml:space="preserve">si hay dependencia mayor que el umbral </w:t>
      </w:r>
      <w:r>
        <w:rPr>
          <w:rFonts w:eastAsia="Symbol" w:cs="Symbol" w:ascii="Symbol" w:hAnsi="Symbol"/>
          <w:i/>
          <w:szCs w:val="24"/>
          <w:lang w:val="en-US"/>
        </w:rPr>
        <w:t></w:t>
      </w:r>
      <w:r>
        <w:rPr>
          <w:rFonts w:eastAsia="Arial"/>
          <w:i/>
          <w:szCs w:val="24"/>
          <w:vertAlign w:val="subscript"/>
        </w:rPr>
        <w:t xml:space="preserve">k1 </w:t>
      </w:r>
      <w:r>
        <w:rPr>
          <w:szCs w:val="24"/>
        </w:rPr>
        <w:t xml:space="preserve">en el contexto </w:t>
      </w:r>
      <w:r>
        <w:rPr>
          <w:i/>
          <w:szCs w:val="24"/>
        </w:rPr>
        <w:t>O</w:t>
      </w:r>
      <w:r>
        <w:rPr>
          <w:i/>
          <w:szCs w:val="24"/>
          <w:vertAlign w:val="subscript"/>
        </w:rPr>
        <w:t>t</w:t>
      </w:r>
      <w:r>
        <w:rPr>
          <w:szCs w:val="24"/>
        </w:rPr>
        <w:t xml:space="preserve">, entonces los valores de los atributos </w:t>
      </w:r>
      <w:r>
        <w:rPr>
          <w:i/>
          <w:szCs w:val="24"/>
        </w:rPr>
        <w:t>O</w:t>
      </w:r>
      <w:r>
        <w:rPr>
          <w:i/>
          <w:szCs w:val="24"/>
          <w:vertAlign w:val="subscript"/>
        </w:rPr>
        <w:t>t</w:t>
      </w:r>
      <w:r>
        <w:rPr>
          <w:iCs/>
          <w:szCs w:val="24"/>
        </w:rPr>
        <w:t>(</w:t>
      </w:r>
      <w:r>
        <w:rPr>
          <w:i/>
          <w:szCs w:val="24"/>
        </w:rPr>
        <w:t>B</w:t>
      </w:r>
      <w:r>
        <w:rPr>
          <w:iCs/>
          <w:szCs w:val="24"/>
        </w:rPr>
        <w:t>,</w:t>
      </w:r>
      <w:r>
        <w:rPr>
          <w:i/>
          <w:szCs w:val="24"/>
        </w:rPr>
        <w:t>X</w:t>
      </w:r>
      <w:r>
        <w:rPr>
          <w:iCs/>
          <w:szCs w:val="24"/>
        </w:rPr>
        <w:t>)</w:t>
      </w:r>
      <w:r>
        <w:rPr>
          <w:szCs w:val="24"/>
        </w:rPr>
        <w:t xml:space="preserve"> se utilizarán como resúmenes candidatos. Si la dependencia encontrada cumple que </w:t>
      </w:r>
      <w:r>
        <w:rPr>
          <w:i/>
          <w:iCs/>
          <w:szCs w:val="24"/>
        </w:rPr>
        <w:t>k(B,X)</w:t>
      </w:r>
      <w:r>
        <w:rPr>
          <w:rFonts w:eastAsia="Symbol" w:cs="Symbol" w:ascii="Symbol" w:hAnsi="Symbol"/>
          <w:szCs w:val="24"/>
          <w:lang w:val="en-US"/>
        </w:rPr>
        <w:t></w:t>
      </w:r>
      <w:r>
        <w:rPr>
          <w:szCs w:val="24"/>
        </w:rPr>
        <w:t>[</w:t>
      </w:r>
      <w:r>
        <w:rPr>
          <w:rFonts w:eastAsia="Symbol" w:cs="Symbol" w:ascii="Symbol" w:hAnsi="Symbol"/>
          <w:i/>
          <w:iCs/>
          <w:szCs w:val="24"/>
          <w:lang w:val="en-US"/>
        </w:rPr>
        <w:t></w:t>
      </w:r>
      <w:r>
        <w:rPr>
          <w:rFonts w:eastAsia="Arial"/>
          <w:i/>
          <w:szCs w:val="24"/>
          <w:vertAlign w:val="subscript"/>
        </w:rPr>
        <w:t>k2</w:t>
      </w:r>
      <w:r>
        <w:rPr>
          <w:rFonts w:eastAsia="Arial"/>
          <w:i/>
          <w:szCs w:val="24"/>
        </w:rPr>
        <w:t xml:space="preserve">, </w:t>
      </w:r>
      <w:r>
        <w:rPr>
          <w:rFonts w:eastAsia="Symbol" w:cs="Symbol" w:ascii="Symbol" w:hAnsi="Symbol"/>
          <w:i/>
          <w:szCs w:val="24"/>
          <w:lang w:val="en-US"/>
        </w:rPr>
        <w:t></w:t>
      </w:r>
      <w:r>
        <w:rPr>
          <w:rFonts w:eastAsia="Arial"/>
          <w:i/>
          <w:szCs w:val="24"/>
          <w:vertAlign w:val="subscript"/>
        </w:rPr>
        <w:t>k1</w:t>
      </w:r>
      <w:r>
        <w:rPr>
          <w:szCs w:val="24"/>
        </w:rPr>
        <w:t xml:space="preserve">], se genera el conjunto </w:t>
      </w:r>
      <w:r>
        <w:rPr>
          <w:i/>
          <w:iCs/>
          <w:szCs w:val="24"/>
        </w:rPr>
        <w:t>Z</w:t>
      </w:r>
      <w:r>
        <w:rPr>
          <w:szCs w:val="24"/>
        </w:rPr>
        <w:t>=</w:t>
      </w:r>
      <w:r>
        <w:rPr>
          <w:i/>
          <w:szCs w:val="24"/>
        </w:rPr>
        <w:t>B</w:t>
      </w:r>
      <w:r>
        <w:rPr>
          <w:rFonts w:eastAsia="Symbol" w:cs="Symbol" w:ascii="Symbol" w:hAnsi="Symbol"/>
          <w:iCs/>
          <w:szCs w:val="24"/>
        </w:rPr>
        <w:t></w:t>
      </w:r>
      <w:r>
        <w:rPr>
          <w:i/>
          <w:szCs w:val="24"/>
        </w:rPr>
        <w:t xml:space="preserve">X </w:t>
      </w:r>
      <w:r>
        <w:rPr>
          <w:szCs w:val="24"/>
        </w:rPr>
        <w:t xml:space="preserve">y este nuevo conjunto se añade a la pila para continuar el proceso de búsqueda, donde este nuevo conjunto pasará a formar parte de filtros en nuevos resúmenes. </w:t>
      </w:r>
      <w:r>
        <w:rPr/>
        <w:t xml:space="preserve">La complejidad del ciclo iniciado en el paso 6 está acotada superiormente por </w:t>
      </w:r>
      <w:r>
        <w:rPr>
          <w:i/>
        </w:rPr>
        <w:t>O</w:t>
      </w:r>
      <w:r>
        <w:rPr>
          <w:iCs/>
        </w:rPr>
        <w:t>(2</w:t>
      </w:r>
      <w:r>
        <w:rPr>
          <w:i/>
          <w:vertAlign w:val="superscript"/>
        </w:rPr>
        <w:t>p</w:t>
      </w:r>
      <w:r>
        <w:rPr>
          <w:iCs/>
        </w:rPr>
        <w:t>)</w:t>
      </w:r>
      <w:r>
        <w:rPr>
          <w:i/>
        </w:rPr>
        <w:t>.</w:t>
      </w:r>
    </w:p>
    <w:p>
      <w:pPr>
        <w:pStyle w:val="ListParagraph"/>
        <w:keepNext/>
        <w:keepLines/>
        <w:numPr>
          <w:ilvl w:val="1"/>
          <w:numId w:val="8"/>
        </w:numPr>
        <w:spacing w:lineRule="auto" w:line="288" w:before="120" w:after="120"/>
        <w:outlineLvl w:val="2"/>
        <w:rPr>
          <w:rFonts w:eastAsia="MS Gothic"/>
          <w:bCs w:val="false"/>
          <w:i/>
          <w:i/>
          <w:vanish/>
          <w:szCs w:val="24"/>
          <w:lang w:val="en-US"/>
        </w:rPr>
      </w:pPr>
      <w:r>
        <w:rPr>
          <w:rFonts w:eastAsia="MS Gothic"/>
          <w:bCs w:val="false"/>
          <w:i/>
          <w:vanish/>
          <w:szCs w:val="24"/>
          <w:lang w:val="en-US"/>
        </w:rPr>
      </w:r>
    </w:p>
    <w:p>
      <w:pPr>
        <w:pStyle w:val="Normal"/>
        <w:rPr/>
      </w:pPr>
      <w:r>
        <w:rPr/>
        <w:t xml:space="preserve">En el paso 7 se recorren los pares de conjuntos que están en el conjunto </w:t>
      </w:r>
      <w:r>
        <w:rPr>
          <w:i/>
          <w:iCs/>
        </w:rPr>
        <w:t>CS</w:t>
      </w:r>
      <w:r>
        <w:rPr/>
        <w:t xml:space="preserve"> de resúmenes candidatos, cada conjunto representa un posible resumen lingüístico. Por tanto, la complejidad de este paso está acotada por un </w:t>
      </w:r>
      <w:r>
        <w:rPr>
          <w:i/>
        </w:rPr>
        <w:t xml:space="preserve">O(n). </w:t>
      </w:r>
      <w:r>
        <w:rPr/>
        <w:t xml:space="preserve">Luego se aplican los pasos del 8 al 12 similar a los pasos del 8 al 12 propuestos en el </w:t>
      </w:r>
      <w:r>
        <w:rPr/>
        <w:fldChar w:fldCharType="begin"/>
      </w:r>
      <w:r>
        <w:instrText> REF _Ref67268662 \h </w:instrText>
      </w:r>
      <w:r>
        <w:fldChar w:fldCharType="separate"/>
      </w:r>
      <w:r>
        <w:t>Algoritmo 2</w:t>
      </w:r>
      <w:r>
        <w:fldChar w:fldCharType="end"/>
      </w:r>
      <w:r>
        <w:rPr/>
        <w:t>.</w:t>
      </w:r>
    </w:p>
    <w:p>
      <w:pPr>
        <w:pStyle w:val="Normal"/>
        <w:spacing w:before="120" w:after="120"/>
        <w:rPr/>
      </w:pPr>
      <w:r>
        <w:rPr/>
        <w:t xml:space="preserve">Al finalizar el paso 9, se tiene un conjunto de resúmenes candidatos </w:t>
      </w:r>
      <w:r>
        <w:rPr>
          <w:i/>
          <w:iCs/>
          <w:szCs w:val="18"/>
        </w:rPr>
        <w:t xml:space="preserve">CandidateSummaries </w:t>
      </w:r>
      <w:r>
        <w:rPr>
          <w:szCs w:val="18"/>
        </w:rPr>
        <w:t xml:space="preserve">y luego en el </w:t>
      </w:r>
      <w:r>
        <w:rPr/>
        <w:t xml:space="preserve">paso 10 se aplica el </w:t>
      </w:r>
      <w:r>
        <w:rPr/>
        <w:fldChar w:fldCharType="begin"/>
      </w:r>
      <w:r>
        <w:instrText> REF _Ref79149875 \h </w:instrText>
      </w:r>
      <w:r>
        <w:fldChar w:fldCharType="separate"/>
      </w:r>
      <w:r>
        <w:t>Algoritmo 1</w:t>
      </w:r>
      <w:r>
        <w:fldChar w:fldCharType="end"/>
      </w:r>
      <w:r>
        <w:rPr/>
        <w:t xml:space="preserve"> para generar los resúmenes lingüísticos, </w:t>
      </w:r>
      <w:r>
        <w:rPr>
          <w:szCs w:val="18"/>
        </w:rPr>
        <w:t>con una complejidad computacional</w:t>
      </w:r>
      <w:r>
        <w:rPr>
          <w:i/>
          <w:iCs/>
          <w:szCs w:val="18"/>
        </w:rPr>
        <w:t xml:space="preserve"> </w:t>
      </w:r>
      <w:r>
        <w:rPr>
          <w:i/>
        </w:rPr>
        <w:t>O(n·m·p</w:t>
      </w:r>
      <w:r>
        <w:rPr>
          <w:i/>
          <w:vertAlign w:val="superscript"/>
        </w:rPr>
        <w:t>2</w:t>
      </w:r>
      <w:r>
        <w:rPr>
          <w:i/>
        </w:rPr>
        <w:t>).</w:t>
      </w:r>
    </w:p>
    <w:p>
      <w:pPr>
        <w:pStyle w:val="Normal"/>
        <w:spacing w:before="120" w:after="120"/>
        <w:rPr/>
      </w:pPr>
      <w:r>
        <w:rPr>
          <w:rFonts w:eastAsia="MS Gothic" w:cs="Times New Roman"/>
          <w:bCs w:val="false"/>
          <w:szCs w:val="24"/>
          <w:lang w:val="en-US"/>
        </w:rPr>
        <w:t>Finalmente, la</w:t>
      </w:r>
      <w:r>
        <w:rPr/>
        <w:t xml:space="preserve"> complejidad del algoritmo </w:t>
      </w:r>
      <w:r>
        <w:rPr>
          <w:i/>
        </w:rPr>
        <w:t>RST_LDS</w:t>
      </w:r>
      <w:r>
        <w:rPr/>
        <w:t xml:space="preserve"> es </w:t>
      </w:r>
      <w:r>
        <w:rPr>
          <w:i/>
        </w:rPr>
        <w:t>O(max (n</w:t>
      </w:r>
      <w:r>
        <w:rPr>
          <w:i/>
          <w:vertAlign w:val="superscript"/>
        </w:rPr>
        <w:t>2</w:t>
      </w:r>
      <w:r>
        <w:rPr>
          <w:i/>
        </w:rPr>
        <w:t>·p, n·m·p</w:t>
      </w:r>
      <w:r>
        <w:rPr>
          <w:i/>
          <w:vertAlign w:val="superscript"/>
        </w:rPr>
        <w:t>2</w:t>
      </w:r>
      <w:r>
        <w:rPr>
          <w:i/>
        </w:rPr>
        <w:t xml:space="preserve">)). </w:t>
      </w:r>
      <w:r>
        <w:rPr>
          <w:szCs w:val="24"/>
        </w:rPr>
        <w:t>Este algoritmo, por su naturaleza, permite el descubrimiento de resúmenes lingüísticos que representan situaciones con muy baja frecuencia de aparición en la base de datos y con una alta dependencia entre los atributos. Estos resúmenes permiten identificar datos anómalos, lo cual amplía su aplicabilidad en diferentes contextos, por ejemplo, en escenarios asociados al aseguramiento de ingresos</w:t>
      </w:r>
      <w:r>
        <w:rPr>
          <w:lang w:val="fr-FR"/>
        </w:rPr>
        <w:t xml:space="preserve"> </w:t>
      </w:r>
      <w:r>
        <w:fldChar w:fldCharType="begin"/>
      </w:r>
      <w:r>
        <w:instrText>ADDIN ZOTERO_ITEM CSL_CITATION {"citationID":"IZTwPluA","properties":{"formattedCitation":"(Castro Aguilar 2017)","plainCitation":"(Castro Aguilar 2017)","noteIndex":0},"citationItems":[{"id":"NJclqhNX/FJ27pKB2","uris":["http://zotero.org/users/local/rsuvzjK6/items/NUCICDAI"],"uri":["http://zotero.org/users/local/rsuvzjK6/items/NUCICDAI"],"itemData":{"id":3493,"type":"thesis","abstract":"El incremento de la competitividad en los mercados globales ha provocado la necesidad de mejoras en las organizaciones orientadas a proyectos, dirigidas a mejorar la salud financiera y los ingresos de las mismas. En este contexto, surge el aseguramiento de ingresos, como un campo interdisciplinar que combina técnicas de estadística, bases de datos, soft computing y minería de datos anómalos, orientado a la reducción de los costos y la maximización de los ingresos en las organizaciones que los apliquen. Se propone en este trabajo un modelo para el aseguramiento de ingresos para organizaciones orientadas a proyectos, que permita la detección de errores de planificación y la maximización de los ingresos durante el desarrollo de proyectos. Como parte de la novedad del trabajo el modelo propuesto combina técnicas de gestión de riesgos, alcance, tiempo, minería de datos anómalos y técnicas de soft computing. En el trabajo se realizan pruebas de validación cruzada comparando diferentes técnicas, para la detección de situaciones anómalas, en la planificación de los proyectos. En la comparación se emplean bases de datos de gestión de proyectos de desarrollo de soluciones informáticas. El modelo propuesto se introduce como un módulo en la plataforma para la dirección integrada de proyectos GESPRO y se presentan los resultados de su aplicación.","event-place":"La Habana, Cuba","genre":"Doctoral","language":"spa","note":"Accepted: 2019-05-20T19:52:00Z\npublisher: Universidad de las Ciencias Informaticas. Facultad-4.","publisher":"Universidad de las Ciencias Informáticas","publisher-place":"La Habana, Cuba","source":"repositorio.uci.cu","title":"Modelo para el aseguramiento de ingresos en organizaciones orientadas a proyectos basado en minería de datos anómalos","URL":"https://repositorio.uci.cu/jspui/handle/123456789/7933","author":[{"family":"Castro Aguilar","given":"Gilberto Fernando"}],"accessed":{"date-parts":[["2021",4,2]]},"issued":{"date-parts":[["2017"]]}}}],"schema":"https://github.com/citation-style-language/schema/raw/master/csl-citation.json"}</w:instrText>
      </w:r>
      <w:r>
        <w:fldChar w:fldCharType="separate"/>
      </w:r>
      <w:bookmarkStart w:id="1122" w:name="__Fieldmark__8863_2067855929"/>
      <w:r>
        <w:rPr>
          <w:lang w:val="fr-FR"/>
        </w:rPr>
        <w:t>(</w:t>
      </w:r>
      <w:bookmarkStart w:id="1123" w:name="__Fieldmark__7685_498839314"/>
      <w:r>
        <w:rPr>
          <w:lang w:val="fr-FR"/>
        </w:rPr>
        <w:t>C</w:t>
      </w:r>
      <w:bookmarkStart w:id="1124" w:name="__Fieldmark__6845_998588997"/>
      <w:r>
        <w:rPr>
          <w:lang w:val="fr-FR"/>
        </w:rPr>
        <w:t>a</w:t>
      </w:r>
      <w:bookmarkStart w:id="1125" w:name="__Fieldmark__10642_118561941"/>
      <w:r>
        <w:rPr>
          <w:lang w:val="fr-FR"/>
        </w:rPr>
        <w:t>stro Aguilar 2017)</w:t>
      </w:r>
      <w:r>
        <w:rPr>
          <w:lang w:val="fr-FR"/>
        </w:rPr>
      </w:r>
      <w:r>
        <w:fldChar w:fldCharType="end"/>
      </w:r>
      <w:bookmarkEnd w:id="1122"/>
      <w:bookmarkEnd w:id="1123"/>
      <w:bookmarkEnd w:id="1124"/>
      <w:bookmarkEnd w:id="1125"/>
      <w:r>
        <w:rPr/>
        <w:t xml:space="preserve"> </w:t>
      </w:r>
      <w:r>
        <w:rPr>
          <w:szCs w:val="24"/>
        </w:rPr>
        <w:t>o la seguridad informática.</w:t>
      </w:r>
    </w:p>
    <w:p>
      <w:pPr>
        <w:pStyle w:val="Heading2"/>
        <w:numPr>
          <w:ilvl w:val="1"/>
          <w:numId w:val="80"/>
        </w:numPr>
        <w:rPr>
          <w:bCs/>
          <w:color w:val="00000A"/>
        </w:rPr>
      </w:pPr>
      <w:bookmarkStart w:id="1126" w:name="_Toc84598934"/>
      <w:bookmarkStart w:id="1127" w:name="_Toc58849562"/>
      <w:r>
        <w:rPr>
          <w:rStyle w:val="Ttulo2Car"/>
          <w:b/>
        </w:rPr>
        <w:t xml:space="preserve">Diferentes enfoques que vinculan la generación de resúmenes lingüísticos y la minería de </w:t>
      </w:r>
      <w:bookmarkEnd w:id="1127"/>
      <w:r>
        <w:rPr>
          <w:rStyle w:val="Ttulo2Car"/>
          <w:b/>
        </w:rPr>
        <w:t xml:space="preserve">datos </w:t>
      </w:r>
      <w:bookmarkEnd w:id="1126"/>
      <w:r>
        <w:rPr/>
        <w:t>anómalos</w:t>
      </w:r>
    </w:p>
    <w:p>
      <w:pPr>
        <w:pStyle w:val="ListParagraph"/>
        <w:keepNext/>
        <w:keepLines/>
        <w:numPr>
          <w:ilvl w:val="0"/>
          <w:numId w:val="8"/>
        </w:numPr>
        <w:spacing w:lineRule="auto" w:line="288" w:before="120" w:after="120"/>
        <w:outlineLvl w:val="2"/>
        <w:rPr>
          <w:rFonts w:eastAsia="MS Gothic"/>
          <w:bCs w:val="false"/>
          <w:i/>
          <w:i/>
          <w:vanish/>
          <w:szCs w:val="24"/>
          <w:lang w:val="en-US"/>
        </w:rPr>
      </w:pPr>
      <w:r>
        <w:rPr>
          <w:rFonts w:eastAsia="MS Gothic"/>
          <w:bCs w:val="false"/>
          <w:i/>
          <w:vanish/>
          <w:szCs w:val="24"/>
          <w:lang w:val="en-US"/>
        </w:rPr>
      </w:r>
    </w:p>
    <w:p>
      <w:pPr>
        <w:pStyle w:val="ListParagraph"/>
        <w:keepNext/>
        <w:keepLines/>
        <w:numPr>
          <w:ilvl w:val="0"/>
          <w:numId w:val="8"/>
        </w:numPr>
        <w:spacing w:lineRule="auto" w:line="288" w:before="120" w:after="120"/>
        <w:outlineLvl w:val="2"/>
        <w:rPr>
          <w:rFonts w:eastAsia="MS Gothic"/>
          <w:bCs w:val="false"/>
          <w:i/>
          <w:i/>
          <w:vanish/>
          <w:szCs w:val="24"/>
          <w:lang w:val="en-US"/>
        </w:rPr>
      </w:pPr>
      <w:r>
        <w:rPr>
          <w:rFonts w:eastAsia="MS Gothic"/>
          <w:bCs w:val="false"/>
          <w:i/>
          <w:vanish/>
          <w:szCs w:val="24"/>
          <w:lang w:val="en-US"/>
        </w:rPr>
      </w:r>
    </w:p>
    <w:p>
      <w:pPr>
        <w:pStyle w:val="ListParagraph"/>
        <w:keepNext/>
        <w:keepLines/>
        <w:numPr>
          <w:ilvl w:val="1"/>
          <w:numId w:val="8"/>
        </w:numPr>
        <w:spacing w:lineRule="auto" w:line="288" w:before="120" w:after="120"/>
        <w:outlineLvl w:val="2"/>
        <w:rPr>
          <w:rFonts w:eastAsia="MS Gothic"/>
          <w:bCs w:val="false"/>
          <w:i/>
          <w:i/>
          <w:vanish/>
          <w:szCs w:val="24"/>
          <w:lang w:val="en-US"/>
        </w:rPr>
      </w:pPr>
      <w:r>
        <w:rPr>
          <w:rFonts w:eastAsia="MS Gothic"/>
          <w:bCs w:val="false"/>
          <w:i/>
          <w:vanish/>
          <w:szCs w:val="24"/>
          <w:lang w:val="en-US"/>
        </w:rPr>
      </w:r>
    </w:p>
    <w:p>
      <w:pPr>
        <w:pStyle w:val="ListParagraph"/>
        <w:keepNext/>
        <w:keepLines/>
        <w:numPr>
          <w:ilvl w:val="1"/>
          <w:numId w:val="8"/>
        </w:numPr>
        <w:spacing w:lineRule="auto" w:line="288" w:before="120" w:after="120"/>
        <w:outlineLvl w:val="2"/>
        <w:rPr>
          <w:rFonts w:eastAsia="MS Gothic"/>
          <w:bCs w:val="false"/>
          <w:i/>
          <w:i/>
          <w:vanish/>
          <w:szCs w:val="24"/>
          <w:lang w:val="en-US"/>
        </w:rPr>
      </w:pPr>
      <w:r>
        <w:rPr>
          <w:rFonts w:eastAsia="MS Gothic"/>
          <w:bCs w:val="false"/>
          <w:i/>
          <w:vanish/>
          <w:szCs w:val="24"/>
          <w:lang w:val="en-US"/>
        </w:rPr>
      </w:r>
    </w:p>
    <w:p>
      <w:pPr>
        <w:pStyle w:val="ListParagraph"/>
        <w:keepNext/>
        <w:keepLines/>
        <w:numPr>
          <w:ilvl w:val="1"/>
          <w:numId w:val="8"/>
        </w:numPr>
        <w:spacing w:lineRule="auto" w:line="288" w:before="120" w:after="120"/>
        <w:outlineLvl w:val="2"/>
        <w:rPr>
          <w:rFonts w:eastAsia="MS Gothic"/>
          <w:bCs w:val="false"/>
          <w:i/>
          <w:i/>
          <w:vanish/>
          <w:szCs w:val="24"/>
          <w:lang w:val="en-US"/>
        </w:rPr>
      </w:pPr>
      <w:r>
        <w:rPr>
          <w:rFonts w:eastAsia="MS Gothic"/>
          <w:bCs w:val="false"/>
          <w:i/>
          <w:vanish/>
          <w:szCs w:val="24"/>
          <w:lang w:val="en-US"/>
        </w:rPr>
      </w:r>
    </w:p>
    <w:p>
      <w:pPr>
        <w:pStyle w:val="ListParagraph"/>
        <w:keepNext/>
        <w:keepLines/>
        <w:numPr>
          <w:ilvl w:val="1"/>
          <w:numId w:val="8"/>
        </w:numPr>
        <w:spacing w:lineRule="auto" w:line="288" w:before="120" w:after="120"/>
        <w:outlineLvl w:val="2"/>
        <w:rPr>
          <w:rFonts w:eastAsia="MS Gothic"/>
          <w:bCs w:val="false"/>
          <w:i/>
          <w:i/>
          <w:vanish/>
          <w:szCs w:val="24"/>
          <w:lang w:val="en-US"/>
        </w:rPr>
      </w:pPr>
      <w:r>
        <w:rPr>
          <w:rFonts w:eastAsia="MS Gothic"/>
          <w:bCs w:val="false"/>
          <w:i/>
          <w:vanish/>
          <w:szCs w:val="24"/>
          <w:lang w:val="en-US"/>
        </w:rPr>
      </w:r>
    </w:p>
    <w:p>
      <w:pPr>
        <w:pStyle w:val="ListParagraph"/>
        <w:keepNext/>
        <w:keepLines/>
        <w:numPr>
          <w:ilvl w:val="1"/>
          <w:numId w:val="8"/>
        </w:numPr>
        <w:spacing w:lineRule="auto" w:line="288" w:before="120" w:after="120"/>
        <w:outlineLvl w:val="2"/>
        <w:rPr>
          <w:rFonts w:eastAsia="MS Gothic"/>
          <w:bCs w:val="false"/>
          <w:i/>
          <w:i/>
          <w:vanish/>
          <w:szCs w:val="24"/>
          <w:lang w:val="en-US"/>
        </w:rPr>
      </w:pPr>
      <w:r>
        <w:rPr>
          <w:rFonts w:eastAsia="MS Gothic"/>
          <w:bCs w:val="false"/>
          <w:i/>
          <w:vanish/>
          <w:szCs w:val="24"/>
          <w:lang w:val="en-US"/>
        </w:rPr>
      </w:r>
    </w:p>
    <w:p>
      <w:pPr>
        <w:pStyle w:val="ListParagraph"/>
        <w:keepNext/>
        <w:keepLines/>
        <w:numPr>
          <w:ilvl w:val="1"/>
          <w:numId w:val="8"/>
        </w:numPr>
        <w:spacing w:lineRule="auto" w:line="288" w:before="120" w:after="120"/>
        <w:outlineLvl w:val="2"/>
        <w:rPr>
          <w:rFonts w:eastAsia="MS Gothic"/>
          <w:bCs w:val="false"/>
          <w:i/>
          <w:i/>
          <w:vanish/>
          <w:szCs w:val="24"/>
          <w:lang w:val="en-US"/>
        </w:rPr>
      </w:pPr>
      <w:r>
        <w:rPr>
          <w:rFonts w:eastAsia="MS Gothic"/>
          <w:bCs w:val="false"/>
          <w:i/>
          <w:vanish/>
          <w:szCs w:val="24"/>
          <w:lang w:val="en-US"/>
        </w:rPr>
      </w:r>
    </w:p>
    <w:p>
      <w:pPr>
        <w:pStyle w:val="Normal"/>
        <w:spacing w:before="120" w:after="120"/>
        <w:rPr/>
      </w:pPr>
      <w:r>
        <w:rPr/>
        <w:t xml:space="preserve">Otro escenario interesante para la aplicación de los resúmenes lingüísticos es su uso para el descubrimiento de datos anómalos y la interpretabilidad de éstos. Existen diferentes definiciones de datos anómalos, en este trabajo nos basaremos en la </w:t>
      </w:r>
      <w:r>
        <w:rPr/>
        <w:fldChar w:fldCharType="begin"/>
      </w:r>
      <w:r>
        <w:instrText> REF _Ref79218756 \h </w:instrText>
      </w:r>
      <w:r>
        <w:fldChar w:fldCharType="separate"/>
      </w:r>
      <w:r>
        <w:t>Definición 4</w:t>
      </w:r>
      <w:r>
        <w:fldChar w:fldCharType="end"/>
      </w:r>
      <w:r>
        <w:rPr/>
        <w:t xml:space="preserve"> propuesta por </w:t>
      </w:r>
      <w:r>
        <w:fldChar w:fldCharType="begin"/>
      </w:r>
      <w:r>
        <w:instrText>ADDIN ZOTERO_ITEM CSL_CITATION {"citationID":"a1bhkp2kpk8","properties":{"formattedCitation":"(Aggarwal y Sathe 2017)","plainCitation":"(Aggarwal y Sathe 2017)","noteIndex":0},"citationItems":[{"id":3466,"uris":["http://zotero.org/users/local/EJ15hJE2/items/4J3MFBB7"],"uri":["http://zotero.org/users/local/EJ15hJE2/items/4J3MFBB7"],"itemData":{"id":3466,"type":"book","abstract":"This book discusses a variety of methods for outlier ensembles and organizes them by the specific principles with which accuracy improvements are achieved. In addition, it covers the techniques with which such methods can be made more effective. A formal classification of these methods is provided, and the circumstances in which they work well are examined. The authors cover how outlier ensembles relate (both theoretically and practically) to the ensemble techniques used commonly for other data mining problems like classification. The similarities and (subtle) differences in the ensemble techniques for the classification and outlier detection problems are explored. These subtle differences do impact the design of ensemble algorithms for the latter problem. This book can be used for courses in data mining and related curricula. Many illustrative examples and exercises are provided in order to facilitate classroom teaching. A familiarity is assumed to the outlier detection problem and also to generic problem of ensemble analysis in classification. This is because many of the ensemble methods discussed in this book are adaptations from their counterparts in the classification domain. Some techniques explained in this book, such as wagging, randomized feature weighting, and geometric subsampling, provide new insights that are not available elsewhere. Also included is an analysis of the performance of various types of base detectors and their relative effectiveness. The book is valuable for researchers and practitioners for leveraging ensemble methods into optimal algorithmic design.","ISBN":"978-3-319-54765-7","language":"en","note":"Google-Books-ID: UNmfDgAAQBAJ","number-of-pages":"288","publisher":"Springer","source":"Google Books","title":"Outlier Ensembles: An Introduction","title-short":"Outlier Ensembles","author":[{"family":"Aggarwal","given":"Charu C."},{"family":"Sathe","given":"Saket"}],"issued":{"date-parts":[["2017"]]}}}],"schema":"https://github.com/citation-style-language/schema/raw/master/csl-citation.json"}</w:instrText>
      </w:r>
      <w:r>
        <w:fldChar w:fldCharType="separate"/>
      </w:r>
      <w:bookmarkStart w:id="1128" w:name="__Fieldmark__8893_2067855929"/>
      <w:r>
        <w:rPr/>
      </w:r>
      <w:r>
        <w:rPr>
          <w:szCs w:val="24"/>
        </w:rPr>
        <w:t>(</w:t>
      </w:r>
      <w:bookmarkStart w:id="1129" w:name="__Fieldmark__7709_498839314"/>
      <w:r>
        <w:rPr>
          <w:szCs w:val="24"/>
        </w:rPr>
        <w:t>A</w:t>
      </w:r>
      <w:bookmarkStart w:id="1130" w:name="__Fieldmark__6865_998588997"/>
      <w:r>
        <w:rPr>
          <w:szCs w:val="24"/>
        </w:rPr>
        <w:t>g</w:t>
      </w:r>
      <w:bookmarkStart w:id="1131" w:name="__Fieldmark__10671_118561941"/>
      <w:r>
        <w:rPr>
          <w:szCs w:val="24"/>
        </w:rPr>
        <w:t>garwal y Sathe 2017)</w:t>
      </w:r>
      <w:r>
        <w:rPr/>
      </w:r>
      <w:r>
        <w:fldChar w:fldCharType="end"/>
      </w:r>
      <w:bookmarkEnd w:id="1128"/>
      <w:bookmarkEnd w:id="1129"/>
      <w:bookmarkEnd w:id="1130"/>
      <w:bookmarkEnd w:id="1131"/>
      <w:r>
        <w:rPr/>
        <w:t>.</w:t>
      </w:r>
    </w:p>
    <w:p>
      <w:pPr>
        <w:pStyle w:val="Caption1"/>
        <w:jc w:val="both"/>
        <w:rPr/>
      </w:pPr>
      <w:bookmarkStart w:id="1132" w:name="_Ref79218756"/>
      <w:r>
        <w:rPr>
          <w:rFonts w:cs="Arial"/>
          <w:b/>
          <w:bCs w:val="false"/>
          <w:sz w:val="22"/>
        </w:rPr>
        <w:t xml:space="preserve">Definición </w:t>
      </w:r>
      <w:r>
        <w:rPr>
          <w:rFonts w:cs="Arial"/>
          <w:b/>
          <w:bCs w:val="false"/>
          <w:sz w:val="22"/>
        </w:rPr>
        <w:fldChar w:fldCharType="begin"/>
      </w:r>
      <w:r>
        <w:instrText> SEQ Definición \* ARABIC </w:instrText>
      </w:r>
      <w:r>
        <w:fldChar w:fldCharType="separate"/>
      </w:r>
      <w:r>
        <w:t>4</w:t>
      </w:r>
      <w:r>
        <w:fldChar w:fldCharType="end"/>
      </w:r>
      <w:bookmarkEnd w:id="1132"/>
      <w:r>
        <w:rPr>
          <w:rFonts w:cs="Arial"/>
          <w:b/>
          <w:bCs w:val="false"/>
          <w:sz w:val="22"/>
        </w:rPr>
        <w:t>:</w:t>
      </w:r>
      <w:r>
        <w:rPr>
          <w:rFonts w:cs="Arial"/>
          <w:sz w:val="22"/>
        </w:rPr>
        <w:t xml:space="preserve"> Un dato anómalo es una observación que se desvía mucho del resto de las observaciones, apareciendo como una observación sospechosa que pudo ser generada por mecanismos diferentes al resto de los datos </w:t>
      </w:r>
      <w:r>
        <w:fldChar w:fldCharType="begin"/>
      </w:r>
      <w:r>
        <w:instrText>ADDIN ZOTERO_ITEM CSL_CITATION {"citationID":"VVl4na88","properties":{"formattedCitation":"(Aggarwal y Sathe 2017)","plainCitation":"(Aggarwal y Sathe 2017)","noteIndex":0},"citationItems":[{"id":3466,"uris":["http://zotero.org/users/local/EJ15hJE2/items/4J3MFBB7"],"uri":["http://zotero.org/users/local/EJ15hJE2/items/4J3MFBB7"],"itemData":{"id":3466,"type":"book","abstract":"This book discusses a variety of methods for outlier ensembles and organizes them by the specific principles with which accuracy improvements are achieved. In addition, it covers the techniques with which such methods can be made more effective. A formal classification of these methods is provided, and the circumstances in which they work well are examined. The authors cover how outlier ensembles relate (both theoretically and practically) to the ensemble techniques used commonly for other data mining problems like classification. The similarities and (subtle) differences in the ensemble techniques for the classification and outlier detection problems are explored. These subtle differences do impact the design of ensemble algorithms for the latter problem. This book can be used for courses in data mining and related curricula. Many illustrative examples and exercises are provided in order to facilitate classroom teaching. A familiarity is assumed to the outlier detection problem and also to generic problem of ensemble analysis in classification. This is because many of the ensemble methods discussed in this book are adaptations from their counterparts in the classification domain. Some techniques explained in this book, such as wagging, randomized feature weighting, and geometric subsampling, provide new insights that are not available elsewhere. Also included is an analysis of the performance of various types of base detectors and their relative effectiveness. The book is valuable for researchers and practitioners for leveraging ensemble methods into optimal algorithmic design.","ISBN":"978-3-319-54765-7","language":"en","note":"Google-Books-ID: UNmfDgAAQBAJ","number-of-pages":"288","publisher":"Springer","source":"Google Books","title":"Outlier Ensembles: An Introduction","title-short":"Outlier Ensembles","author":[{"family":"Aggarwal","given":"Charu C."},{"family":"Sathe","given":"Saket"}],"issued":{"date-parts":[["2017"]]}}}],"schema":"https://github.com/citation-style-language/schema/raw/master/csl-citation.json"}</w:instrText>
      </w:r>
      <w:r>
        <w:fldChar w:fldCharType="separate"/>
      </w:r>
      <w:bookmarkStart w:id="1133" w:name="__Fieldmark__8917_2067855929"/>
      <w:r>
        <w:rPr>
          <w:rFonts w:cs="Arial"/>
          <w:sz w:val="22"/>
        </w:rPr>
      </w:r>
      <w:r>
        <w:rPr>
          <w:rFonts w:cs="Arial"/>
          <w:sz w:val="22"/>
          <w:szCs w:val="24"/>
        </w:rPr>
        <w:t>(</w:t>
      </w:r>
      <w:bookmarkStart w:id="1134" w:name="__Fieldmark__7728_498839314"/>
      <w:r>
        <w:rPr>
          <w:rFonts w:cs="Arial"/>
          <w:sz w:val="22"/>
          <w:szCs w:val="24"/>
        </w:rPr>
        <w:t>A</w:t>
      </w:r>
      <w:bookmarkStart w:id="1135" w:name="__Fieldmark__6880_998588997"/>
      <w:r>
        <w:rPr>
          <w:rFonts w:cs="Arial"/>
          <w:sz w:val="22"/>
          <w:szCs w:val="24"/>
        </w:rPr>
        <w:t>g</w:t>
      </w:r>
      <w:bookmarkStart w:id="1136" w:name="__Fieldmark__10688_118561941"/>
      <w:r>
        <w:rPr>
          <w:rFonts w:cs="Arial"/>
          <w:sz w:val="22"/>
          <w:szCs w:val="24"/>
        </w:rPr>
        <w:t>garwal y Sathe 2017)</w:t>
      </w:r>
      <w:r>
        <w:rPr>
          <w:rFonts w:cs="Arial"/>
          <w:sz w:val="22"/>
        </w:rPr>
      </w:r>
      <w:r>
        <w:fldChar w:fldCharType="end"/>
      </w:r>
      <w:bookmarkEnd w:id="1133"/>
      <w:bookmarkEnd w:id="1134"/>
      <w:bookmarkEnd w:id="1135"/>
      <w:bookmarkEnd w:id="1136"/>
      <w:r>
        <w:rPr>
          <w:rFonts w:cs="Arial"/>
          <w:sz w:val="22"/>
        </w:rPr>
        <w:t>.</w:t>
      </w:r>
    </w:p>
    <w:p>
      <w:pPr>
        <w:pStyle w:val="Normal"/>
        <w:spacing w:before="120" w:after="120"/>
        <w:rPr/>
      </w:pPr>
      <w:r>
        <w:rPr/>
        <w:t>Ejemplos de escenarios donde es útil el descubrimiento de datos anómalos son: el descubrimiento de errores en la planificación de proyectos, procesos de aseguramiento de ingresos</w:t>
      </w:r>
      <w:r>
        <w:rPr>
          <w:lang w:val="fr-FR"/>
        </w:rPr>
        <w:t xml:space="preserve"> </w:t>
      </w:r>
      <w:r>
        <w:fldChar w:fldCharType="begin"/>
      </w:r>
      <w:r>
        <w:instrText>ADDIN ZOTERO_ITEM CSL_CITATION {"citationID":"wRdPrLtO","properties":{"formattedCitation":"(Castro Aguilar 2017)","plainCitation":"(Castro Aguilar 2017)","noteIndex":0},"citationItems":[{"id":"NJclqhNX/FJ27pKB2","uris":["http://zotero.org/users/local/rsuvzjK6/items/NUCICDAI"],"uri":["http://zotero.org/users/local/rsuvzjK6/items/NUCICDAI"],"itemData":{"id":3493,"type":"thesis","abstract":"El incremento de la competitividad en los mercados globales ha provocado la necesidad de mejoras en las organizaciones orientadas a proyectos, dirigidas a mejorar la salud financiera y los ingresos de las mismas. En este contexto, surge el aseguramiento de ingresos, como un campo interdisciplinar que combina técnicas de estadística, bases de datos, soft computing y minería de datos anómalos, orientado a la reducción de los costos y la maximización de los ingresos en las organizaciones que los apliquen. Se propone en este trabajo un modelo para el aseguramiento de ingresos para organizaciones orientadas a proyectos, que permita la detección de errores de planificación y la maximización de los ingresos durante el desarrollo de proyectos. Como parte de la novedad del trabajo el modelo propuesto combina técnicas de gestión de riesgos, alcance, tiempo, minería de datos anómalos y técnicas de soft computing. En el trabajo se realizan pruebas de validación cruzada comparando diferentes técnicas, para la detección de situaciones anómalas, en la planificación de los proyectos. En la comparación se emplean bases de datos de gestión de proyectos de desarrollo de soluciones informáticas. El modelo propuesto se introduce como un módulo en la plataforma para la dirección integrada de proyectos GESPRO y se presentan los resultados de su aplicación.","event-place":"La Habana, Cuba","genre":"Doctoral","language":"spa","note":"Accepted: 2019-05-20T19:52:00Z\npublisher: Universidad de las Ciencias Informaticas. Facultad-4.","publisher":"Universidad de las Ciencias Informáticas","publisher-place":"La Habana, Cuba","source":"repositorio.uci.cu","title":"Modelo para el aseguramiento de ingresos en organizaciones orientadas a proyectos basado en minería de datos anómalos","URL":"https://repositorio.uci.cu/jspui/handle/123456789/7933","author":[{"family":"Castro Aguilar","given":"Gilberto Fernando"}],"accessed":{"date-parts":[["2021",4,2]]},"issued":{"date-parts":[["2017"]]}}}],"schema":"https://github.com/citation-style-language/schema/raw/master/csl-citation.json"}</w:instrText>
      </w:r>
      <w:r>
        <w:fldChar w:fldCharType="separate"/>
      </w:r>
      <w:bookmarkStart w:id="1137" w:name="__Fieldmark__8937_2067855929"/>
      <w:r>
        <w:rPr>
          <w:lang w:val="fr-FR"/>
        </w:rPr>
        <w:t>(</w:t>
      </w:r>
      <w:bookmarkStart w:id="1138" w:name="__Fieldmark__7742_498839314"/>
      <w:r>
        <w:rPr>
          <w:lang w:val="fr-FR"/>
        </w:rPr>
        <w:t>C</w:t>
      </w:r>
      <w:bookmarkStart w:id="1139" w:name="__Fieldmark__6890_998588997"/>
      <w:r>
        <w:rPr>
          <w:lang w:val="fr-FR"/>
        </w:rPr>
        <w:t>a</w:t>
      </w:r>
      <w:bookmarkStart w:id="1140" w:name="__Fieldmark__10702_118561941"/>
      <w:r>
        <w:rPr>
          <w:lang w:val="fr-FR"/>
        </w:rPr>
        <w:t>stro Aguilar 2017)</w:t>
      </w:r>
      <w:r>
        <w:rPr>
          <w:lang w:val="fr-FR"/>
        </w:rPr>
      </w:r>
      <w:r>
        <w:fldChar w:fldCharType="end"/>
      </w:r>
      <w:bookmarkEnd w:id="1137"/>
      <w:bookmarkEnd w:id="1138"/>
      <w:bookmarkEnd w:id="1139"/>
      <w:bookmarkEnd w:id="1140"/>
      <w:r>
        <w:rPr/>
        <w:t>, los problemas de detección de fallas entre otros. En esta investigación se proponen los siguientes enfoques para la generación de resúmenes lingüísticos orientados a la interpretación y el análisis de datos anómalos:</w:t>
      </w:r>
    </w:p>
    <w:p>
      <w:pPr>
        <w:pStyle w:val="ListParagraph"/>
        <w:numPr>
          <w:ilvl w:val="0"/>
          <w:numId w:val="17"/>
        </w:numPr>
        <w:spacing w:before="120" w:after="120"/>
        <w:rPr/>
      </w:pPr>
      <w:r>
        <w:rPr/>
        <w:t>Primer enfoque</w:t>
      </w:r>
      <w:r>
        <w:rPr>
          <w:lang w:val="es-ES"/>
        </w:rPr>
        <w:t>,</w:t>
      </w:r>
      <w:r>
        <w:rPr/>
        <w:t xml:space="preserve"> centrado en la generación de </w:t>
      </w:r>
      <w:r>
        <w:rPr>
          <w:lang w:val="es-ES"/>
        </w:rPr>
        <w:t>resúmenes lingüísticos que permitan identificar situaciones poco frecuentes en la base de datos, que puedan ser situaciones anómalas según expertos de un dominio de aplicación.</w:t>
      </w:r>
    </w:p>
    <w:p>
      <w:pPr>
        <w:pStyle w:val="ListParagraph"/>
        <w:numPr>
          <w:ilvl w:val="0"/>
          <w:numId w:val="17"/>
        </w:numPr>
        <w:spacing w:before="120" w:after="120"/>
        <w:rPr/>
      </w:pPr>
      <w:r>
        <w:rPr>
          <w:lang w:val="es-ES"/>
        </w:rPr>
        <w:t>Segundo enfoque, centrado en la aplicación de algoritmos para el descubrimiento de datos anómalos y luego la construcción de resúmenes lingüísticos que faciliten la interpretabilidad de las situaciones anómalas.</w:t>
      </w:r>
    </w:p>
    <w:p>
      <w:pPr>
        <w:pStyle w:val="Normal"/>
        <w:spacing w:before="120" w:after="120"/>
        <w:rPr/>
      </w:pPr>
      <w:r>
        <w:rPr/>
        <w:t xml:space="preserve">El primer enfoque puede ser logrado a partir de algunos de los algoritmos propuestos en este trabajo como por ejemplo, los algoritmos </w:t>
      </w:r>
      <w:r>
        <w:rPr>
          <w:i/>
        </w:rPr>
        <w:t>RST_LDS</w:t>
      </w:r>
      <w:r>
        <w:rPr/>
        <w:t xml:space="preserve"> y </w:t>
      </w:r>
      <w:r>
        <w:rPr>
          <w:i/>
        </w:rPr>
        <w:t>LPA_LDS</w:t>
      </w:r>
      <w:r>
        <w:rPr/>
        <w:t>. Estos algoritmos permiten identificar relaciones fuertemente dependientes entre variables, aun cuando estas relaciones se presenten en una muy baja frecuencia de los objetos en la base de datos.</w:t>
      </w:r>
    </w:p>
    <w:p>
      <w:pPr>
        <w:pStyle w:val="Caption1"/>
        <w:ind w:left="0" w:hanging="0"/>
        <w:jc w:val="both"/>
        <w:rPr/>
      </w:pPr>
      <w:r>
        <w:rPr>
          <w:rFonts w:cs="Arial"/>
          <w:sz w:val="22"/>
        </w:rPr>
        <w:t xml:space="preserve">El segundo enfoque puede ser desarrollado combinando diferentes técnicas para la generación de datos anómalos con algoritmos para la generación de resúmenes lingüísticos. La </w:t>
      </w:r>
      <w:r>
        <w:rPr>
          <w:rFonts w:cs="Arial"/>
          <w:sz w:val="22"/>
        </w:rPr>
        <w:fldChar w:fldCharType="begin"/>
      </w:r>
      <w:r>
        <w:instrText> REF _Ref68273983 \h </w:instrText>
      </w:r>
      <w:r>
        <w:fldChar w:fldCharType="separate"/>
      </w:r>
      <w:r>
        <w:t>Figura 34</w:t>
      </w:r>
      <w:r>
        <w:fldChar w:fldCharType="end"/>
      </w:r>
      <w:r>
        <w:rPr>
          <w:rFonts w:cs="Arial"/>
          <w:sz w:val="22"/>
        </w:rPr>
        <w:t xml:space="preserve"> del </w:t>
      </w:r>
      <w:r>
        <w:rPr>
          <w:rFonts w:cs="Arial"/>
          <w:sz w:val="22"/>
        </w:rPr>
        <w:fldChar w:fldCharType="begin"/>
      </w:r>
      <w:r>
        <w:instrText> REF _Ref79263371 \h </w:instrText>
      </w:r>
      <w:r>
        <w:fldChar w:fldCharType="separate"/>
      </w:r>
      <w:r>
        <w:t>Anexo 4</w:t>
      </w:r>
      <w:r>
        <w:fldChar w:fldCharType="end"/>
      </w:r>
      <w:r>
        <w:rPr>
          <w:rFonts w:cs="Arial"/>
          <w:sz w:val="22"/>
        </w:rPr>
        <w:t xml:space="preserve"> muestra una taxonomía de métodos empleados para el descubrimiento de datos anómalos, que clasifica las técnicas en métodos supervisados, métodos semi-supervisados y métodos no supervisados </w:t>
      </w:r>
      <w:r>
        <w:fldChar w:fldCharType="begin"/>
      </w:r>
      <w:r>
        <w:instrText>ADDIN ZOTERO_ITEM CSL_CITATION {"citationID":"GhvGSg9j","properties":{"formattedCitation":"(Castro Aguilar 2017)","plainCitation":"(Castro Aguilar 2017)","noteIndex":0},"citationItems":[{"id":"NJclqhNX/FJ27pKB2","uris":["http://zotero.org/users/local/rsuvzjK6/items/NUCICDAI"],"uri":["http://zotero.org/users/local/rsuvzjK6/items/NUCICDAI"],"itemData":{"id":3493,"type":"thesis","abstract":"El incremento de la competitividad en los mercados globales ha provocado la necesidad de mejoras en las organizaciones orientadas a proyectos, dirigidas a mejorar la salud financiera y los ingresos de las mismas. En este contexto, surge el aseguramiento de ingresos, como un campo interdisciplinar que combina técnicas de estadística, bases de datos, soft computing y minería de datos anómalos, orientado a la reducción de los costos y la maximización de los ingresos en las organizaciones que los apliquen. Se propone en este trabajo un modelo para el aseguramiento de ingresos para organizaciones orientadas a proyectos, que permita la detección de errores de planificación y la maximización de los ingresos durante el desarrollo de proyectos. Como parte de la novedad del trabajo el modelo propuesto combina técnicas de gestión de riesgos, alcance, tiempo, minería de datos anómalos y técnicas de soft computing. En el trabajo se realizan pruebas de validación cruzada comparando diferentes técnicas, para la detección de situaciones anómalas, en la planificación de los proyectos. En la comparación se emplean bases de datos de gestión de proyectos de desarrollo de soluciones informáticas. El modelo propuesto se introduce como un módulo en la plataforma para la dirección integrada de proyectos GESPRO y se presentan los resultados de su aplicación.","event-place":"La Habana, Cuba","genre":"Doctoral","language":"spa","note":"Accepted: 2019-05-20T19:52:00Z\npublisher: Universidad de las Ciencias Informaticas. Facultad-4.","publisher":"Universidad de las Ciencias Informáticas","publisher-place":"La Habana, Cuba","source":"repositorio.uci.cu","title":"Modelo para el aseguramiento de ingresos en organizaciones orientadas a proyectos basado en minería de datos anómalos","URL":"https://repositorio.uci.cu/jspui/handle/123456789/7933","author":[{"family":"Castro Aguilar","given":"Gilberto Fernando"}],"accessed":{"date-parts":[["2021",4,2]]},"issued":{"date-parts":[["2017"]]}}}],"schema":"https://github.com/citation-style-language/schema/raw/master/csl-citation.json"}</w:instrText>
      </w:r>
      <w:r>
        <w:fldChar w:fldCharType="separate"/>
      </w:r>
      <w:bookmarkStart w:id="1141" w:name="__Fieldmark__8975_2067855929"/>
      <w:r>
        <w:rPr>
          <w:rFonts w:cs="Arial"/>
          <w:sz w:val="22"/>
        </w:rPr>
        <w:t>(</w:t>
      </w:r>
      <w:bookmarkStart w:id="1142" w:name="__Fieldmark__7771_498839314"/>
      <w:r>
        <w:rPr>
          <w:rFonts w:cs="Arial"/>
          <w:sz w:val="22"/>
        </w:rPr>
        <w:t>C</w:t>
      </w:r>
      <w:bookmarkStart w:id="1143" w:name="__Fieldmark__6915_998588997"/>
      <w:r>
        <w:rPr>
          <w:rFonts w:cs="Arial"/>
          <w:sz w:val="22"/>
        </w:rPr>
        <w:t>a</w:t>
      </w:r>
      <w:bookmarkStart w:id="1144" w:name="__Fieldmark__10749_118561941"/>
      <w:r>
        <w:rPr>
          <w:rFonts w:cs="Arial"/>
          <w:sz w:val="22"/>
        </w:rPr>
        <w:t>stro Aguilar 2017)</w:t>
      </w:r>
      <w:r>
        <w:rPr>
          <w:rFonts w:cs="Arial"/>
          <w:sz w:val="22"/>
        </w:rPr>
      </w:r>
      <w:r>
        <w:fldChar w:fldCharType="end"/>
      </w:r>
      <w:bookmarkEnd w:id="1141"/>
      <w:bookmarkEnd w:id="1142"/>
      <w:bookmarkEnd w:id="1143"/>
      <w:bookmarkEnd w:id="1144"/>
      <w:r>
        <w:rPr>
          <w:rFonts w:cs="Arial"/>
          <w:sz w:val="22"/>
        </w:rPr>
        <w:t xml:space="preserve"> </w:t>
      </w:r>
      <w:r>
        <w:fldChar w:fldCharType="begin"/>
      </w:r>
      <w:r>
        <w:instrText>ADDIN ZOTERO_ITEM CSL_CITATION {"citationID":"JD3YhhsO","properties":{"formattedCitation":"(Ranga Suri, Murty M y Athithan 2019)","plainCitation":"(Ranga Suri, Murty M y Athithan 2019)","noteIndex":0},"citationItems":[{"id":3465,"uris":["http://zotero.org/users/local/EJ15hJE2/items/NIHPY7SW"],"uri":["http://zotero.org/users/local/EJ15hJE2/items/NIHPY7SW"],"itemData":{"id":3465,"type":"book","collection-title":"ISRL","ISBN":"978-3-030-05127-3","number-of-pages":"214","title":"Outlier Detection: Techniques and Applications. A Data Mining Perspective","volume":"155","author":[{"family":"Ranga Suri","given":"N. N. R."},{"family":"Murty M","given":"Narasimha"},{"family":"Athithan","given":"G"}],"issued":{"date-parts":[["2019"]]}}}],"schema":"https://github.com/citation-style-language/schema/raw/master/csl-citation.json"}</w:instrText>
      </w:r>
      <w:r>
        <w:fldChar w:fldCharType="separate"/>
      </w:r>
      <w:bookmarkStart w:id="1145" w:name="__Fieldmark__8990_2067855929"/>
      <w:r>
        <w:rPr>
          <w:rFonts w:cs="Arial"/>
          <w:sz w:val="22"/>
        </w:rPr>
      </w:r>
      <w:r>
        <w:rPr>
          <w:rFonts w:cs="Arial"/>
          <w:sz w:val="22"/>
          <w:szCs w:val="24"/>
        </w:rPr>
        <w:t>(</w:t>
      </w:r>
      <w:bookmarkStart w:id="1146" w:name="__Fieldmark__7782_498839314"/>
      <w:r>
        <w:rPr>
          <w:rFonts w:cs="Arial"/>
          <w:sz w:val="22"/>
          <w:szCs w:val="24"/>
        </w:rPr>
        <w:t>R</w:t>
      </w:r>
      <w:bookmarkStart w:id="1147" w:name="__Fieldmark__6922_998588997"/>
      <w:r>
        <w:rPr>
          <w:rFonts w:cs="Arial"/>
          <w:sz w:val="22"/>
          <w:szCs w:val="24"/>
        </w:rPr>
        <w:t>a</w:t>
      </w:r>
      <w:bookmarkStart w:id="1148" w:name="__Fieldmark__10754_118561941"/>
      <w:r>
        <w:rPr>
          <w:rFonts w:cs="Arial"/>
          <w:sz w:val="22"/>
          <w:szCs w:val="24"/>
        </w:rPr>
        <w:t>nga Suri, Murty M y Athithan 2019)</w:t>
      </w:r>
      <w:r>
        <w:rPr>
          <w:rFonts w:cs="Arial"/>
          <w:sz w:val="22"/>
        </w:rPr>
      </w:r>
      <w:r>
        <w:fldChar w:fldCharType="end"/>
      </w:r>
      <w:bookmarkEnd w:id="1145"/>
      <w:bookmarkEnd w:id="1146"/>
      <w:bookmarkEnd w:id="1147"/>
      <w:bookmarkEnd w:id="1148"/>
      <w:r>
        <w:rPr>
          <w:rFonts w:cs="Arial"/>
          <w:sz w:val="22"/>
        </w:rPr>
        <w:t xml:space="preserve">. </w:t>
      </w:r>
    </w:p>
    <w:p>
      <w:pPr>
        <w:pStyle w:val="Normal"/>
        <w:spacing w:before="120" w:after="120"/>
        <w:rPr/>
      </w:pPr>
      <w:r>
        <w:rPr/>
        <w:t xml:space="preserve">Los métodos no supervisados son los más empleados, entre ellos se destacan: los métodos basados en agrupamientos </w:t>
      </w:r>
      <w:r>
        <w:fldChar w:fldCharType="begin"/>
      </w:r>
      <w:r>
        <w:instrText>ADDIN ZOTERO_ITEM CSL_CITATION {"citationID":"a19auvig8tj","properties":{"formattedCitation":"(Zhao et\\uc0\\u160{}al. 2020)","plainCitation":"(Zhao et al. 2020)","noteIndex":0},"citationItems":[{"id":"NJclqhNX/oBacjvG5","uris":["http://zotero.org/users/local/rsuvzjK6/items/7Z8C8TGA"],"uri":["http://zotero.org/users/local/rsuvzjK6/items/7Z8C8TGA"],"itemData":{"id":3497,"type":"article-journal","abstract":"Clustering technique plays a critical role in data mining, and has received great success to solve application problems like community analysis, image retrieval, personalized recommendation, activity prediction, etc. This paper first reviews the traditional clustering and the emerging multiple clustering methods, respectively. Although the existing methods have superior performance on some small or certain datasets, they fall short when clustering is performed on CPSS big data because of the high cost of computation and storage. With the powerful cloud computing, this challenge can be effectively addressed, but it brings enormous threat to individual or company’s privacy. Currently, privacy preserving data mining has attracted widespread attention in academia. Compared to other reviews, this paper focuses on privacy preserving clustering technique, guiding a detailed overview and discussion. Specifically, we introduce a novel privacy-preserving tensor-based multiple clustering, propose a privacy-preserving tensor-based multiple clustering analytic and service framework, and give an illustrated case study on the public transportation dataset. Furthermore, we indicate the remaining challenges of privacy preserving clustering and discuss the future significant research in this area.","container-title":"Information Sciences","DOI":"10.1016/j.ins.2019.10.019","ISSN":"0020-0255","journalAbbreviation":"Information Sciences","language":"en","page":"132-155","source":"ScienceDirect","title":"Privacy-preserving clustering for big data in cyber-physical-social systems: Survey and perspectives","title-short":"Privacy-preserving clustering for big data in cyber-physical-social systems","volume":"515","author":[{"family":"Zhao","given":"Yaliang"},{"family":"Tarus","given":"Samwel K."},{"family":"Yang","given":"Laurence T."},{"family":"Sun","given":"Jiayu"},{"family":"Ge","given":"Yunfei"},{"family":"Wang","given":"Jinke"}],"issued":{"date-parts":[["2020",4,1]]}}}],"schema":"https://github.com/citation-style-language/schema/raw/master/csl-citation.json"}</w:instrText>
      </w:r>
      <w:r>
        <w:fldChar w:fldCharType="separate"/>
      </w:r>
      <w:bookmarkStart w:id="1149" w:name="__Fieldmark__9007_2067855929"/>
      <w:r>
        <w:rPr/>
      </w:r>
      <w:r>
        <w:rPr>
          <w:szCs w:val="24"/>
        </w:rPr>
        <w:t>(</w:t>
      </w:r>
      <w:bookmarkStart w:id="1150" w:name="__Fieldmark__7795_498839314"/>
      <w:r>
        <w:rPr>
          <w:szCs w:val="24"/>
        </w:rPr>
        <w:t>Z</w:t>
      </w:r>
      <w:bookmarkStart w:id="1151" w:name="__Fieldmark__6931_998588997"/>
      <w:r>
        <w:rPr>
          <w:szCs w:val="24"/>
        </w:rPr>
        <w:t>h</w:t>
      </w:r>
      <w:bookmarkStart w:id="1152" w:name="__Fieldmark__10767_118561941"/>
      <w:r>
        <w:rPr>
          <w:szCs w:val="24"/>
        </w:rPr>
        <w:t>ao et al. 2020)</w:t>
      </w:r>
      <w:r>
        <w:rPr/>
      </w:r>
      <w:r>
        <w:fldChar w:fldCharType="end"/>
      </w:r>
      <w:bookmarkEnd w:id="1149"/>
      <w:bookmarkEnd w:id="1150"/>
      <w:bookmarkEnd w:id="1151"/>
      <w:bookmarkEnd w:id="1152"/>
      <w:r>
        <w:rPr/>
        <w:t xml:space="preserve"> </w:t>
      </w:r>
      <w:r>
        <w:fldChar w:fldCharType="begin"/>
      </w:r>
      <w:r>
        <w:instrText>ADDIN ZOTERO_ITEM CSL_CITATION {"citationID":"a1jd7oam6p2","properties":{"formattedCitation":"(Alves et\\uc0\\u160{}al. 2017)","plainCitation":"(Alves et al. 2017)","noteIndex":0},"citationItems":[{"id":"NJclqhNX/rxcEPsVx","uris":["http://zotero.org/users/local/rsuvzjK6/items/9NAN3QQG"],"uri":["http://zotero.org/users/local/rsuvzjK6/items/9NAN3QQG"],"itemData":{"id":3522,"type":"article-journal","abstract":"SCADA (Supervisory Control and Data Acquisition) databases have three main features that identify them as big data systems: volume, variety and velocity. SCADAs are extremely important for the safety and security operation of modern power system and provide essential online information about the power system state to system operators. A current research challenge is to efficiently process this big data, which involves real-time measurements of hundreds of thousands of heterogeneous electrical power system physical measurements. Among the foreseen automation tasks, outlier detection is one of the most important data mining techniques for power systems. However, like others data mining techniques, traditional outlier detection fails when dealing with problems in which the volume and dimensionality of data are as high as the ones observed in a SCADA. This work aims at circumventing these restrictions by presenting a methodology for dealing with SCADA big data that consists of a pre-processing algorithm and hybrid approach outlier detectors. The hybrid approach is assessed using real data from a Brazilian utility company. The results show that the proposed methodology is capable of identifying outliers correlated with important events that affect the system.","container-title":"IEEE Latin America Transactions","DOI":"10.1109/TLA.2017.7827888","ISSN":"1548-0992","issue":"1","note":"event: IEEE Latin America Transactions","page":"57-64","source":"IEEE Xplore","title":"A Hybrid Approach for Big Data Outlier Detection from Electric Power SCADA System","volume":"15","author":[{"family":"Alves","given":"W."},{"family":"Martins","given":"D."},{"family":"Bezerra","given":"U."},{"family":"Klautau","given":"A."}],"issued":{"date-parts":[["2017",1]]}}}],"schema":"https://github.com/citation-style-language/schema/raw/master/csl-citation.json"}</w:instrText>
      </w:r>
      <w:r>
        <w:fldChar w:fldCharType="separate"/>
      </w:r>
      <w:bookmarkStart w:id="1153" w:name="__Fieldmark__9022_2067855929"/>
      <w:r>
        <w:rPr/>
      </w:r>
      <w:r>
        <w:rPr>
          <w:szCs w:val="24"/>
        </w:rPr>
        <w:t>(</w:t>
      </w:r>
      <w:bookmarkStart w:id="1154" w:name="__Fieldmark__7806_498839314"/>
      <w:r>
        <w:rPr>
          <w:szCs w:val="24"/>
        </w:rPr>
        <w:t>A</w:t>
      </w:r>
      <w:bookmarkStart w:id="1155" w:name="__Fieldmark__6938_998588997"/>
      <w:r>
        <w:rPr>
          <w:szCs w:val="24"/>
        </w:rPr>
        <w:t>l</w:t>
      </w:r>
      <w:bookmarkStart w:id="1156" w:name="__Fieldmark__10772_118561941"/>
      <w:r>
        <w:rPr>
          <w:szCs w:val="24"/>
        </w:rPr>
        <w:t>ves et al. 2017)</w:t>
      </w:r>
      <w:r>
        <w:rPr/>
      </w:r>
      <w:r>
        <w:fldChar w:fldCharType="end"/>
      </w:r>
      <w:bookmarkEnd w:id="1153"/>
      <w:bookmarkEnd w:id="1154"/>
      <w:bookmarkEnd w:id="1155"/>
      <w:bookmarkEnd w:id="1156"/>
      <w:r>
        <w:rPr/>
        <w:t xml:space="preserve"> </w:t>
      </w:r>
      <w:r>
        <w:fldChar w:fldCharType="begin"/>
      </w:r>
      <w:r>
        <w:instrText>ADDIN ZOTERO_ITEM CSL_CITATION {"citationID":"a1aj7cch4qc","properties":{"formattedCitation":"(Cursi y Yang 2019)","plainCitation":"(Cursi y Yang 2019)","noteIndex":0},"citationItems":[{"id":"NJclqhNX/VqN2yDgW","uris":["http://zotero.org/users/local/rsuvzjK6/items/R74SX9LB"],"uri":["http://zotero.org/users/local/rsuvzjK6/items/R74SX9LB"],"itemData":{"id":3495,"type":"paper-conference","abstract":"In the past few decades machine learning and data analysis have been having a huge growth and they have been applied in many different problems in the field of robotics. Data are usually the result of sensor measurements and, as such, they might be subjected to noise and outliers. The presence of outliers has a huge impact on modelling the acquired data, resulting in inappropriate models. In this work a novel approach for outlier detection and rejection for input/output mapping in regression problems is presented. The robustness of the method is shown both through simulated data for linear and nonlinear regression, and real sensory data. Despite being validated by using artificial neural networks, the method can be generalized to any other regression method.","container-title":"2019 IEEE/RSJ International Conference on Intelligent Robots and Systems (IROS)","DOI":"10.1109/IROS40897.2019.8967653","event":"2019 IEEE/RSJ International Conference on Intelligent Robots and Systems (IROS)","note":"ISSN: 2153-0866","page":"4250-4257","source":"IEEE Xplore","title":"A Novel Approach for Outlier Detection and Robust Sensory Data Model Learning","author":[{"family":"Cursi","given":"F."},{"family":"Yang","given":"G."}],"issued":{"date-parts":[["2019",11]]}}}],"schema":"https://github.com/citation-style-language/schema/raw/master/csl-citation.json"}</w:instrText>
      </w:r>
      <w:r>
        <w:fldChar w:fldCharType="separate"/>
      </w:r>
      <w:bookmarkStart w:id="1157" w:name="__Fieldmark__9037_2067855929"/>
      <w:r>
        <w:rPr/>
        <w:t>(</w:t>
      </w:r>
      <w:bookmarkStart w:id="1158" w:name="__Fieldmark__7817_498839314"/>
      <w:r>
        <w:rPr/>
        <w:t>C</w:t>
      </w:r>
      <w:bookmarkStart w:id="1159" w:name="__Fieldmark__6945_998588997"/>
      <w:r>
        <w:rPr/>
        <w:t>u</w:t>
      </w:r>
      <w:bookmarkStart w:id="1160" w:name="__Fieldmark__10777_118561941"/>
      <w:r>
        <w:rPr/>
        <w:t>rsi y Yang 2019)</w:t>
      </w:r>
      <w:r>
        <w:rPr/>
      </w:r>
      <w:r>
        <w:fldChar w:fldCharType="end"/>
      </w:r>
      <w:bookmarkEnd w:id="1157"/>
      <w:bookmarkEnd w:id="1158"/>
      <w:bookmarkEnd w:id="1159"/>
      <w:bookmarkEnd w:id="1160"/>
      <w:r>
        <w:rPr/>
        <w:t xml:space="preserve">, métodos basados en distancias como </w:t>
      </w:r>
      <w:r>
        <w:fldChar w:fldCharType="begin"/>
      </w:r>
      <w:r>
        <w:instrText>ADDIN ZOTERO_ITEM CSL_CITATION {"citationID":"adl5kcvik4","properties":{"formattedCitation":"(Nguyen et\\uc0\\u160{}al. 2020)","plainCitation":"(Nguyen et al. 2020)","noteIndex":0},"citationItems":[{"id":"NJclqhNX/B4FTJrDc","uris":["http://zotero.org/users/local/rsuvzjK6/items/6SPX6NEA"],"uri":["http://zotero.org/users/local/rsuvzjK6/items/6SPX6NEA"],"itemData":{"id":3519,"type":"paper-conference","abstract":"Temporal anomaly detection looks for irregularities over space-time. Unsupervised temporal models employed thus far typically work on sequences of feature vectors, and much less on temporal multiway data. We focus our investigation on twoway data, in which a data matrix is observed at each time step. Leveraging recent advances in matrix-native recurrent neural networks, we investigated strategies for data arrangement and unsupervised training for temporal multiway anomaly detection. These include compressing-decompressing, encoding-predicting, and temporal data differencing. We conducted a comprehensive suite of experiments to evaluate model behaviors under various settings on synthetic data, moving digits, and ECG recordings. We found interesting phenomena not previously reported. These include the capacity of the compact matrix LSTM to compress noisy data near perfectly, making the strategy of compressingdecompressing data ill-suited for anomaly detection under the noise. Also, long sequence of vectors can be addressed directly by matrix models that allow very long context and multiple step prediction. Overall, the encoding-predicting strategy works very well for the matrix LSTMs in the conducted experiments, thanks to its compactness and better fit to the data dynamics.","container-title":"2020 IEEE Symposium Series on Computational Intelligence (SSCI)","DOI":"10.1109/SSCI47803.2020.9308219","event":"2020 IEEE Symposium Series on Computational Intelligence (SSCI)","page":"1059-1066","source":"IEEE Xplore","title":"Unsupervised Anomaly Detection on Temporal Multiway Data","author":[{"family":"Nguyen","given":"D."},{"family":"Nguyen","given":"P."},{"family":"Do","given":"K."},{"family":"Rana","given":"S."},{"family":"Gupta","given":"S."},{"family":"Tran","given":"T."}],"issued":{"date-parts":[["2020",12]]}}}],"schema":"https://github.com/citation-style-language/schema/raw/master/csl-citation.json"}</w:instrText>
      </w:r>
      <w:r>
        <w:fldChar w:fldCharType="separate"/>
      </w:r>
      <w:bookmarkStart w:id="1161" w:name="__Fieldmark__9052_2067855929"/>
      <w:r>
        <w:rPr/>
      </w:r>
      <w:r>
        <w:rPr>
          <w:szCs w:val="24"/>
        </w:rPr>
        <w:t>(</w:t>
      </w:r>
      <w:bookmarkStart w:id="1162" w:name="__Fieldmark__7828_498839314"/>
      <w:r>
        <w:rPr>
          <w:szCs w:val="24"/>
        </w:rPr>
        <w:t>N</w:t>
      </w:r>
      <w:bookmarkStart w:id="1163" w:name="__Fieldmark__6952_998588997"/>
      <w:r>
        <w:rPr>
          <w:szCs w:val="24"/>
        </w:rPr>
        <w:t>g</w:t>
      </w:r>
      <w:bookmarkStart w:id="1164" w:name="__Fieldmark__10783_118561941"/>
      <w:r>
        <w:rPr>
          <w:szCs w:val="24"/>
        </w:rPr>
        <w:t>uyen et al. 2020)</w:t>
      </w:r>
      <w:r>
        <w:rPr/>
      </w:r>
      <w:r>
        <w:fldChar w:fldCharType="end"/>
      </w:r>
      <w:bookmarkEnd w:id="1161"/>
      <w:bookmarkEnd w:id="1162"/>
      <w:bookmarkEnd w:id="1163"/>
      <w:bookmarkEnd w:id="1164"/>
      <w:r>
        <w:rPr/>
        <w:t xml:space="preserve"> </w:t>
      </w:r>
      <w:r>
        <w:fldChar w:fldCharType="begin"/>
      </w:r>
      <w:r>
        <w:instrText>ADDIN ZOTERO_ITEM CSL_CITATION {"citationID":"a11b7vl7c3n","properties":{"formattedCitation":"(Pokhrel, Pokharel y Kumar Timalsina 2019)","plainCitation":"(Pokhrel, Pokharel y Kumar Timalsina 2019)","noteIndex":0},"citationItems":[{"id":"NJclqhNX/JRr22ck7","uris":["http://zotero.org/users/local/rsuvzjK6/items/2UG58Z5T"],"uri":["http://zotero.org/users/local/rsuvzjK6/items/2UG58Z5T"],"itemData":{"id":3518,"type":"article-journal","abstract":"Intrusion Detection System (IDS) is a form of defense that aims to detect suspicious activities and attack against information systems in general. With new types of attacks appearing continuously, developing adaptive and flexible security oriented approaches is a severe challenge. In this scenario, this thesis presents an anomaly-based intrusion detection technique as a valuable technology to protect the target system against malicious activities. This technique uses a semi-supervised learning model to identify and learn from past events as manifested in system logs and build a user behavior profile. The observed behavior of the user is analyzed to infer whether or not the normal profile supports the observed one. This is carried out using two-class classifiers. A new hybrid approach using Support Vector Machine (SVM) and Naïve Bayes (NB) is proposed to provide better accuracy and to reduce the problem of high false positive. The comparison of the proposed approach is made with other SVM and NB techniques. Hybrid approach is found to outperform SVM and NB. For the validation of the result, cross-validation is employed, and the result is presented using Receiver Operating Characteristics (ROC) curve. The experimentation is implemented in datasets from two different organizations.","container-title":"International Journal of Scientific and Research Publications (IJSRP)","DOI":"10.29322/IJSRP.9.02.2019.p8631","ISSN":"2250-3153","issue":"2","journalAbbreviation":"IJSRP","language":"en","page":"p8631","source":"DOI.org (Crossref)","title":"Anomaly-Based – Intrusion Detection System using User Profile Generated from System Logs","volume":"9","author":[{"family":"Pokhrel","given":"Roshan"},{"family":"Pokharel","given":"Prabhat"},{"family":"Kumar Timalsina","given":"Arun"}],"issued":{"date-parts":[["2019",2,12]]}}}],"schema":"https://github.com/citation-style-language/schema/raw/master/csl-citation.json"}</w:instrText>
      </w:r>
      <w:r>
        <w:fldChar w:fldCharType="separate"/>
      </w:r>
      <w:bookmarkStart w:id="1165" w:name="__Fieldmark__9067_2067855929"/>
      <w:r>
        <w:rPr/>
        <w:t>(</w:t>
      </w:r>
      <w:bookmarkStart w:id="1166" w:name="__Fieldmark__7839_498839314"/>
      <w:r>
        <w:rPr/>
        <w:t>P</w:t>
      </w:r>
      <w:bookmarkStart w:id="1167" w:name="__Fieldmark__6959_998588997"/>
      <w:r>
        <w:rPr/>
        <w:t>o</w:t>
      </w:r>
      <w:bookmarkStart w:id="1168" w:name="__Fieldmark__10788_118561941"/>
      <w:r>
        <w:rPr/>
        <w:t>khrel, Pokharel y Kumar Timalsina 2019)</w:t>
      </w:r>
      <w:r>
        <w:rPr/>
      </w:r>
      <w:r>
        <w:fldChar w:fldCharType="end"/>
      </w:r>
      <w:bookmarkEnd w:id="1165"/>
      <w:bookmarkEnd w:id="1166"/>
      <w:bookmarkEnd w:id="1167"/>
      <w:bookmarkEnd w:id="1168"/>
      <w:r>
        <w:rPr/>
        <w:t xml:space="preserve"> </w:t>
      </w:r>
      <w:r>
        <w:fldChar w:fldCharType="begin"/>
      </w:r>
      <w:r>
        <w:instrText>ADDIN ZOTERO_ITEM CSL_CITATION {"citationID":"a2kdl285au3","properties":{"formattedCitation":"(Ning, Chen y Chen 2018)","plainCitation":"(Ning, Chen y Chen 2018)","noteIndex":0},"citationItems":[{"id":"NJclqhNX/woNUD1r6","uris":["http://zotero.org/users/local/rsuvzjK6/items/6YME9E8J"],"uri":["http://zotero.org/users/local/rsuvzjK6/items/6YME9E8J"],"itemData":{"id":3514,"type":"paper-conference","abstract":"Outlier detection is an important data mining technique to identify interesting and novel patterns, trends and anomalies from data. Density-based methods are among the most popular class of methods used in outlier detection. However, these methods suffer from the low density patterns problem that could lead to poor performance. In this paper, a novel relative density-based outlier detection algorithm is proposed, which utilizes a new measure of an object's neighborhood density. This approach takes into account an important factor for density: relative neighborhood. Experiments on both simulated and real data demonstrate that the proposed algorithm achieves better performance than other alternatives.","collection-title":"CSAI '18","container-title":"Proceedings of the 2018 2nd International Conference on Computer Science and Artificial Intelligence","DOI":"10.1145/3297156.3297236","event-place":"New York, NY, USA","ISBN":"978-1-4503-6606-9","page":"227–231","publisher":"Association for Computing Machinery","publisher-place":"New York, NY, USA","source":"ACM Digital Library","title":"Relative Density-Based Outlier Detection Algorithm","URL":"https://doi.org/10.1145/3297156.3297236","author":[{"family":"Ning","given":"Jin"},{"family":"Chen","given":"Leiting"},{"family":"Chen","given":"Junwei"}],"accessed":{"date-parts":[["2021",4,2]]},"issued":{"date-parts":[["2018",12,8]]}}}],"schema":"https://github.com/citation-style-language/schema/raw/master/csl-citation.json"}</w:instrText>
      </w:r>
      <w:r>
        <w:fldChar w:fldCharType="separate"/>
      </w:r>
      <w:bookmarkStart w:id="1169" w:name="__Fieldmark__9082_2067855929"/>
      <w:r>
        <w:rPr/>
        <w:t>(</w:t>
      </w:r>
      <w:bookmarkStart w:id="1170" w:name="__Fieldmark__7850_498839314"/>
      <w:r>
        <w:rPr/>
        <w:t>N</w:t>
      </w:r>
      <w:bookmarkStart w:id="1171" w:name="__Fieldmark__6966_998588997"/>
      <w:r>
        <w:rPr/>
        <w:t>i</w:t>
      </w:r>
      <w:bookmarkStart w:id="1172" w:name="__Fieldmark__10793_118561941"/>
      <w:r>
        <w:rPr/>
        <w:t>ng, Chen y Chen 2018)</w:t>
      </w:r>
      <w:r>
        <w:rPr/>
      </w:r>
      <w:r>
        <w:fldChar w:fldCharType="end"/>
      </w:r>
      <w:bookmarkEnd w:id="1169"/>
      <w:bookmarkEnd w:id="1170"/>
      <w:bookmarkEnd w:id="1171"/>
      <w:bookmarkEnd w:id="1172"/>
      <w:r>
        <w:rPr/>
        <w:t xml:space="preserve"> </w:t>
      </w:r>
      <w:r>
        <w:fldChar w:fldCharType="begin"/>
      </w:r>
      <w:r>
        <w:instrText>ADDIN ZOTERO_ITEM CSL_CITATION {"citationID":"adfamgbrql","properties":{"formattedCitation":"(Wang et\\uc0\\u160{}al. 2020)","plainCitation":"(Wang et al. 2020)","noteIndex":0},"citationItems":[{"id":"NJclqhNX/qODNNuiY","uris":["http://zotero.org/users/local/rsuvzjK6/items/D8DU4D5S"],"uri":["http://zotero.org/users/local/rsuvzjK6/items/D8DU4D5S"],"itemData":{"id":3515,"type":"article-journal","abstract":"Local outlier detection is a hot area and great challenge in data mining, especially for large-scale datasets. On the one hand, traditional algorithms often achieve low-quality detection results and are sensitive to neighborhood size. On the other hand, they are infeasible for large-scale datasets due to at least O(N2) time and space complexity. In light of these, we propose a new local outlier detection algorithm, which is designed based on a new stable neighborhood strategy-dynamic references nearest neighbors (DRNN). Meanwhile, we present a new detection framework by combining the proposed approach and k-mean for large-scale datasets. Experimental results demonstrate that the proposed algorithm can produce higher quality and robust detection results compared to several classic methods. Meanwhile, the new detection framework is able to significantly improve detecting efficiency without sacrificing accuracy.","container-title":"Egyptian Informatics Journal","DOI":"10.1016/j.eij.2020.06.001","ISSN":"1110-8665","journalAbbreviation":"Egyptian Informatics Journal","language":"en","source":"ScienceDirect","title":"Local dynamic neighborhood based outlier detection approach and its framework for large-scale datasets","URL":"https://www.sciencedirect.com/science/article/pii/S1110866520301328","author":[{"family":"Wang","given":"Renmin"},{"family":"Zhu","given":"Qingsheng"},{"family":"Luo","given":"Jiangmei"},{"family":"Zhu","given":"Fan"}],"accessed":{"date-parts":[["2021",4,2]]},"issued":{"date-parts":[["2020",7,3]]}}}],"schema":"https://github.com/citation-style-language/schema/raw/master/csl-citation.json"}</w:instrText>
      </w:r>
      <w:r>
        <w:fldChar w:fldCharType="separate"/>
      </w:r>
      <w:bookmarkStart w:id="1173" w:name="__Fieldmark__9097_2067855929"/>
      <w:r>
        <w:rPr/>
      </w:r>
      <w:r>
        <w:rPr>
          <w:szCs w:val="24"/>
        </w:rPr>
        <w:t>(</w:t>
      </w:r>
      <w:bookmarkStart w:id="1174" w:name="__Fieldmark__7861_498839314"/>
      <w:r>
        <w:rPr>
          <w:szCs w:val="24"/>
        </w:rPr>
        <w:t>W</w:t>
      </w:r>
      <w:bookmarkStart w:id="1175" w:name="__Fieldmark__6973_998588997"/>
      <w:r>
        <w:rPr>
          <w:szCs w:val="24"/>
        </w:rPr>
        <w:t>a</w:t>
      </w:r>
      <w:bookmarkStart w:id="1176" w:name="__Fieldmark__10798_118561941"/>
      <w:r>
        <w:rPr>
          <w:szCs w:val="24"/>
        </w:rPr>
        <w:t>ng et al. 2020)</w:t>
      </w:r>
      <w:r>
        <w:rPr/>
      </w:r>
      <w:r>
        <w:fldChar w:fldCharType="end"/>
      </w:r>
      <w:bookmarkEnd w:id="1173"/>
      <w:bookmarkEnd w:id="1174"/>
      <w:bookmarkEnd w:id="1175"/>
      <w:bookmarkEnd w:id="1176"/>
      <w:r>
        <w:rPr/>
        <w:t xml:space="preserve">, modelos basados en la densidad </w:t>
      </w:r>
      <w:r>
        <w:fldChar w:fldCharType="begin"/>
      </w:r>
      <w:r>
        <w:instrText>ADDIN ZOTERO_ITEM CSL_CITATION {"citationID":"a2244rgs7pq","properties":{"formattedCitation":"(Kamalov y Leung 2020)","plainCitation":"(Kamalov y Leung 2020)","noteIndex":0},"citationItems":[{"id":"NJclqhNX/5z522qEC","uris":["http://zotero.org/users/local/rsuvzjK6/items/R7Q9NP5W"],"uri":["http://zotero.org/users/local/rsuvzjK6/items/R7Q9NP5W"],"itemData":{"id":3511,"type":"article-journal","abstract":"High-dimensional data poses unique challenges in outlier detection process. Most of the existing algorithms fail to properly address the issues stemming from a large number of features. In particular, outlier detection algorithms perform poorly on dataset of small size with a large number of features. In this paper, we propose a novel outlier detection algorithm based on principal component analysis and kernel density estimation. The proposed method is designed to address the challenges of dealing with high-dimensional data by projecting the original data onto a smaller space and using the innate structure of the data to calculate anomaly scores for each data point. Numerical experiments on synthetic and real-life data show that our method performs well on high-dimensional data. In particular, the proposed method outperforms the benchmark methods as measured by F1F1&lt;math display=\"inline\" overflow=\"scroll\" altimg=\"eq-00001.gif\"&gt;&lt;msub&gt;&lt;mrow&gt;&lt;mi&gt;F&lt;/mi&gt;&lt;/mrow&gt;&lt;mrow&gt;&lt;mn&gt;1&lt;/mn&gt;&lt;/mrow&gt;&lt;/msub&gt;&lt;/math&gt;-score. Our method also produces better-than-average execution times compared with the benchmark methods.","container-title":"Journal of Information &amp; Knowledge Management","DOI":"10.1142/S0219649220400134","ISSN":"0219-6492","issue":"01","journalAbbreviation":"J. Info. Know. Mgmt.","note":"publisher: World Scientific Publishing Co.","page":"2040013","source":"worldscientific.com (Atypon)","title":"Outlier Detection in High Dimensional Data","volume":"19","author":[{"family":"Kamalov","given":"Firuz"},{"family":"Leung","given":"Ho Hon"}],"issued":{"date-parts":[["2020",3,1]]}}}],"schema":"https://github.com/citation-style-language/schema/raw/master/csl-citation.json"}</w:instrText>
      </w:r>
      <w:r>
        <w:fldChar w:fldCharType="separate"/>
      </w:r>
      <w:bookmarkStart w:id="1177" w:name="__Fieldmark__9113_2067855929"/>
      <w:r>
        <w:rPr/>
        <w:t>(</w:t>
      </w:r>
      <w:bookmarkStart w:id="1178" w:name="__Fieldmark__7872_498839314"/>
      <w:r>
        <w:rPr/>
        <w:t>K</w:t>
      </w:r>
      <w:bookmarkStart w:id="1179" w:name="__Fieldmark__6980_998588997"/>
      <w:r>
        <w:rPr/>
        <w:t>a</w:t>
      </w:r>
      <w:bookmarkStart w:id="1180" w:name="__Fieldmark__10805_118561941"/>
      <w:r>
        <w:rPr/>
        <w:t>malov y Leung 2020)</w:t>
      </w:r>
      <w:r>
        <w:rPr/>
      </w:r>
      <w:r>
        <w:fldChar w:fldCharType="end"/>
      </w:r>
      <w:bookmarkEnd w:id="1177"/>
      <w:bookmarkEnd w:id="1178"/>
      <w:bookmarkEnd w:id="1179"/>
      <w:bookmarkEnd w:id="1180"/>
      <w:r>
        <w:rPr/>
        <w:t xml:space="preserve"> </w:t>
      </w:r>
      <w:r>
        <w:fldChar w:fldCharType="begin"/>
      </w:r>
      <w:r>
        <w:instrText>ADDIN ZOTERO_ITEM CSL_CITATION {"citationID":"a2ck1q0s6do","properties":{"formattedCitation":"(Li et\\uc0\\u160{}al. 2020)","plainCitation":"(Li et al. 2020)","noteIndex":0},"citationItems":[{"id":"NJclqhNX/UBSNJGm6","uris":["http://zotero.org/users/local/rsuvzjK6/items/VAE9MCZD"],"uri":["http://zotero.org/users/local/rsuvzjK6/items/VAE9MCZD"],"itemData":{"id":3509,"type":"paper-conference","abstract":"Outlier detection is an important task for various data mining applications. Current outlier detection techniques are often manually designed for specific domains, requiring large human efforts of database setup, algorithm selection, and hyper-parameter tuning. To fill this gap, we present PyODDS, an automated end-to-end Python system for Outlier Detection with Database Support, which automatically optimizes an outlier detection pipeline for a new data source at hand. Specifically, we define the search space in the outlier detection pipeline, and produce a search strategy within the given search space. PyODDS enables end-to-end executions based on an Apache Spark backend server and a light-weight database. It also provides unified interfaces and visualizations for users with or without data science or machine learning background. In particular, we demonstrate PyODDS on several real-world datasets, with quantification analysis and visualization results.","collection-title":"WWW '20","container-title":"Companion Proceedings of the Web Conference 2020","DOI":"10.1145/3366424.3383530","event-place":"New York, NY, USA","ISBN":"978-1-4503-7024-0","page":"153–157","publisher":"Association for Computing Machinery","publisher-place":"New York, NY, USA","source":"ACM Digital Library","title":"PyODDS: An End-to-end Outlier Detection System with Automated Machine Learning","title-short":"PyODDS","URL":"https://doi.org/10.1145/3366424.3383530","author":[{"family":"Li","given":"Yuening"},{"family":"Zha","given":"Daochen"},{"family":"Venugopal","given":"Praveen"},{"family":"Zou","given":"Na"},{"family":"Hu","given":"Xia"}],"accessed":{"date-parts":[["2021",4,2]]},"issued":{"date-parts":[["2020",4,20]]}}}],"schema":"https://github.com/citation-style-language/schema/raw/master/csl-citation.json"}</w:instrText>
      </w:r>
      <w:r>
        <w:fldChar w:fldCharType="separate"/>
      </w:r>
      <w:bookmarkStart w:id="1181" w:name="__Fieldmark__9128_2067855929"/>
      <w:r>
        <w:rPr/>
      </w:r>
      <w:r>
        <w:rPr>
          <w:szCs w:val="24"/>
        </w:rPr>
        <w:t>(</w:t>
      </w:r>
      <w:bookmarkStart w:id="1182" w:name="__Fieldmark__7883_498839314"/>
      <w:r>
        <w:rPr>
          <w:szCs w:val="24"/>
        </w:rPr>
        <w:t>L</w:t>
      </w:r>
      <w:bookmarkStart w:id="1183" w:name="__Fieldmark__6987_998588997"/>
      <w:r>
        <w:rPr>
          <w:szCs w:val="24"/>
        </w:rPr>
        <w:t>i</w:t>
      </w:r>
      <w:bookmarkStart w:id="1184" w:name="__Fieldmark__10810_118561941"/>
      <w:r>
        <w:rPr>
          <w:szCs w:val="24"/>
        </w:rPr>
        <w:t xml:space="preserve"> et al. 2020)</w:t>
      </w:r>
      <w:r>
        <w:rPr/>
      </w:r>
      <w:r>
        <w:fldChar w:fldCharType="end"/>
      </w:r>
      <w:bookmarkEnd w:id="1181"/>
      <w:bookmarkEnd w:id="1182"/>
      <w:bookmarkEnd w:id="1183"/>
      <w:bookmarkEnd w:id="1184"/>
      <w:r>
        <w:rPr/>
        <w:t xml:space="preserve"> </w:t>
      </w:r>
      <w:r>
        <w:fldChar w:fldCharType="begin"/>
      </w:r>
      <w:r>
        <w:instrText>ADDIN ZOTERO_ITEM CSL_CITATION {"citationID":"a13ti3ueb3c","properties":{"formattedCitation":"(Verma, Taneja y Arora 2017)","plainCitation":"(Verma, Taneja y Arora 2017)","noteIndex":0},"citationItems":[{"id":"NJclqhNX/7YTLzB0U","uris":["http://zotero.org/users/local/rsuvzjK6/items/SRTTX9DE"],"uri":["http://zotero.org/users/local/rsuvzjK6/items/SRTTX9DE"],"itemData":{"id":3507,"type":"paper-conference","abstract":"Fraudulent insurance claims increase the burden on society. Frauds in health care systems have not only led to additional expenses but also degrade the quality and care which should be provided to patients. Insurance fraud detection is quite subjective in nature and is fettered with societal need. This empirical study aims to identify and gauge the frauds in health insurance data. The contribution of this insurance claim fraud detection experimental study untangle the fraud identification frequent patterns underlying in the insurance claim data using rule based pattern mining. This experiment is an effort to assess the fraudulent patterns in the data on the basis of two criteria-period based claim anomalies and disease based anomalies. Rule based mining results according to both criteria are analysed. Statistical Decision rules and k-means clustering are applied on Period based claim anomalies outliers detection and association rule based mining with Gaussian distribution is applied on disease based anomalies outlier detection. These outliers depict fraud insurance claims in the data. The proposed approach has been evaluated on real-world dataset of a health insurance organization and results show that our proposed approach is efficient in detecting fraud insurance claim using rule based mining.","container-title":"2017 Tenth International Conference on Contemporary Computing (IC3)","DOI":"10.1109/IC3.2017.8284299","event":"2017 Tenth International Conference on Contemporary Computing (IC3)","note":"ISSN: 2572-6129","page":"1-7","source":"IEEE Xplore","title":"Fraud detection and frequent pattern matching in insurance claims using data mining techniques","author":[{"family":"Verma","given":"A."},{"family":"Taneja","given":"A."},{"family":"Arora","given":"A."}],"issued":{"date-parts":[["2017",8]]}}}],"schema":"https://github.com/citation-style-language/schema/raw/master/csl-citation.json"}</w:instrText>
      </w:r>
      <w:r>
        <w:fldChar w:fldCharType="separate"/>
      </w:r>
      <w:bookmarkStart w:id="1185" w:name="__Fieldmark__9143_2067855929"/>
      <w:r>
        <w:rPr/>
        <w:t>(</w:t>
      </w:r>
      <w:bookmarkStart w:id="1186" w:name="__Fieldmark__7894_498839314"/>
      <w:r>
        <w:rPr/>
        <w:t>V</w:t>
      </w:r>
      <w:bookmarkStart w:id="1187" w:name="__Fieldmark__6994_998588997"/>
      <w:r>
        <w:rPr/>
        <w:t>e</w:t>
      </w:r>
      <w:bookmarkStart w:id="1188" w:name="__Fieldmark__10815_118561941"/>
      <w:r>
        <w:rPr/>
        <w:t>rma, Taneja y Arora 2017)</w:t>
      </w:r>
      <w:r>
        <w:rPr/>
      </w:r>
      <w:r>
        <w:fldChar w:fldCharType="end"/>
      </w:r>
      <w:bookmarkEnd w:id="1185"/>
      <w:bookmarkEnd w:id="1186"/>
      <w:bookmarkEnd w:id="1187"/>
      <w:bookmarkEnd w:id="1188"/>
      <w:r>
        <w:rPr/>
        <w:t xml:space="preserve">, modelos estadísticos basados en la distribución </w:t>
      </w:r>
      <w:r>
        <w:fldChar w:fldCharType="begin"/>
      </w:r>
      <w:r>
        <w:instrText>ADDIN ZOTERO_ITEM CSL_CITATION {"citationID":"a2a652si8kc","properties":{"formattedCitation":"(Zhang et\\uc0\\u160{}al. 2014)","plainCitation":"(Zhang et al. 2014)","noteIndex":0},"citationItems":[{"id":"NJclqhNX/XS6UaKnE","uris":["http://zotero.org/users/local/rsuvzjK6/items/MZBSYNEH"],"uri":["http://zotero.org/users/local/rsuvzjK6/items/MZBSYNEH"],"itemData":{"id":3504,"type":"article-journal","abstract":"Traditional outlier mining methods identify outliers from a global point of view. These methods are inefficient to find locally biased data points (outliers) in low dimensional subspaces. Constrained concept lattices can be used as an effective formal tool for data analysis because constrained concept lattices have the characteristics of high constructing efficiency, practicability and pertinency. In this paper, we propose an outlier mining algorithm that treats the intent of any constrained concept lattice node as a subspace. We introduce sparsity and density coefficients to measure outliers in low dimensional subspaces. The intent of any constrained concept lattice node is regarded as a subspace, and sparsity subspaces are searched by traversing the constrained concept lattice according to a sparsity coefficient threshold. If the intent of any father node of the sparsity subspace is a density subspace according to a density coefficient threshold, then objects contained in the extent of the sparsity subspace node are considered as bias data points or outliers. Our experimental results show that the proposed algorithm performs very well for high red-shift spectral data sets.","container-title":"International Journal of Systems Science","DOI":"10.1080/00207721.2012.745029","ISSN":"0020-7721","issue":"5","note":"publisher: Taylor &amp; Francis\n_eprint: https://doi.org/10.1080/00207721.2012.745029","page":"1170-1179","source":"Taylor and Francis+NEJM","title":"An outlier mining algorithm based on constrained concept lattice","volume":"45","author":[{"family":"Zhang","given":"Jifu"},{"family":"Zhang","given":"Sulan"},{"family":"Chang","given":"Kai H."},{"family":"Qin","given":"Xiao"}],"issued":{"date-parts":[["2014",5,4]]}}}],"schema":"https://github.com/citation-style-language/schema/raw/master/csl-citation.json"}</w:instrText>
      </w:r>
      <w:r>
        <w:fldChar w:fldCharType="separate"/>
      </w:r>
      <w:bookmarkStart w:id="1189" w:name="__Fieldmark__9158_2067855929"/>
      <w:r>
        <w:rPr/>
      </w:r>
      <w:r>
        <w:rPr>
          <w:szCs w:val="24"/>
        </w:rPr>
        <w:t>(</w:t>
      </w:r>
      <w:bookmarkStart w:id="1190" w:name="__Fieldmark__7905_498839314"/>
      <w:r>
        <w:rPr>
          <w:szCs w:val="24"/>
        </w:rPr>
        <w:t>Z</w:t>
      </w:r>
      <w:bookmarkStart w:id="1191" w:name="__Fieldmark__7001_998588997"/>
      <w:r>
        <w:rPr>
          <w:szCs w:val="24"/>
        </w:rPr>
        <w:t>h</w:t>
      </w:r>
      <w:bookmarkStart w:id="1192" w:name="__Fieldmark__10820_118561941"/>
      <w:r>
        <w:rPr>
          <w:szCs w:val="24"/>
        </w:rPr>
        <w:t>ang et al. 2014)</w:t>
      </w:r>
      <w:r>
        <w:rPr/>
      </w:r>
      <w:r>
        <w:fldChar w:fldCharType="end"/>
      </w:r>
      <w:bookmarkEnd w:id="1189"/>
      <w:bookmarkEnd w:id="1190"/>
      <w:bookmarkEnd w:id="1191"/>
      <w:bookmarkEnd w:id="1192"/>
      <w:r>
        <w:rPr/>
        <w:t>.</w:t>
      </w:r>
    </w:p>
    <w:p>
      <w:pPr>
        <w:pStyle w:val="Normal"/>
        <w:spacing w:before="120" w:after="120"/>
        <w:rPr/>
      </w:pPr>
      <w:r>
        <w:rPr/>
        <w:t xml:space="preserve">Un ejemplo de un algoritmo que se basa en el segundo enfoque lo constituye el </w:t>
      </w:r>
      <w:r>
        <w:rPr/>
        <w:fldChar w:fldCharType="begin"/>
      </w:r>
      <w:r>
        <w:instrText> REF _Ref68272707 \h </w:instrText>
      </w:r>
      <w:r>
        <w:fldChar w:fldCharType="separate"/>
      </w:r>
      <w:r>
        <w:t>Algoritmo 6</w:t>
      </w:r>
      <w:r>
        <w:fldChar w:fldCharType="end"/>
      </w:r>
      <w:r>
        <w:rPr/>
        <w:t xml:space="preserve">, el cual combina un algoritmo de detección de datos anómalos basado en la proximidad, que usa la distancia de </w:t>
      </w:r>
      <w:r>
        <w:rPr>
          <w:i/>
        </w:rPr>
        <w:t xml:space="preserve">Mahalanobis, </w:t>
      </w:r>
      <w:r>
        <w:rPr/>
        <w:t xml:space="preserve">y luego transforma los datos anómalos en resúmenes lingüísticos. </w:t>
      </w:r>
    </w:p>
    <w:p>
      <w:pPr>
        <w:pStyle w:val="Normal"/>
        <w:spacing w:before="120" w:after="120"/>
        <w:rPr/>
      </w:pPr>
      <w:bookmarkStart w:id="1193" w:name="_Ref68272707"/>
      <w:r>
        <w:rPr>
          <w:b/>
        </w:rPr>
        <w:t xml:space="preserve">Algoritmo </w:t>
      </w:r>
      <w:r>
        <w:rPr>
          <w:b/>
        </w:rPr>
        <w:fldChar w:fldCharType="begin"/>
      </w:r>
      <w:r>
        <w:instrText> SEQ Algoritmo \* ARABIC </w:instrText>
      </w:r>
      <w:r>
        <w:fldChar w:fldCharType="separate"/>
      </w:r>
      <w:r>
        <w:t>6</w:t>
      </w:r>
      <w:r>
        <w:fldChar w:fldCharType="end"/>
      </w:r>
      <w:bookmarkEnd w:id="1193"/>
      <w:r>
        <w:rPr>
          <w:b/>
        </w:rPr>
        <w:t xml:space="preserve">: Algoritmo </w:t>
      </w:r>
      <w:bookmarkStart w:id="1194" w:name="_Hlk81296394"/>
      <w:bookmarkEnd w:id="1194"/>
      <w:r>
        <w:rPr>
          <w:b/>
          <w:i/>
        </w:rPr>
        <w:t>LDS_outliers</w:t>
      </w:r>
    </w:p>
    <w:p>
      <w:pPr>
        <w:pStyle w:val="Normal"/>
        <w:spacing w:lineRule="auto" w:line="432" w:before="113" w:after="57"/>
        <w:ind w:left="720" w:hanging="360"/>
        <w:rPr>
          <w:rFonts w:eastAsia="MS Gothic"/>
          <w:i/>
          <w:i/>
          <w:iCs/>
        </w:rPr>
      </w:pPr>
      <w:bookmarkStart w:id="1195" w:name="_Hlk67331979"/>
      <w:r>
        <w:rPr>
          <w:rFonts w:eastAsia="MS Gothic"/>
          <w:i/>
          <w:iCs/>
        </w:rPr>
        <w:t>Entradas</w:t>
      </w:r>
      <w:bookmarkEnd w:id="1195"/>
      <w:r>
        <w:rPr>
          <w:rFonts w:eastAsia="MS Gothic"/>
          <w:i/>
          <w:iCs/>
        </w:rPr>
        <w:t>:</w:t>
      </w:r>
    </w:p>
    <w:p>
      <w:pPr>
        <w:pStyle w:val="Normal"/>
        <w:spacing w:before="0" w:after="0"/>
        <w:ind w:left="1320" w:hanging="663"/>
        <w:rPr>
          <w:i/>
          <w:i/>
          <w:iCs/>
        </w:rPr>
      </w:pPr>
      <w:r>
        <w:rPr>
          <w:i/>
          <w:iCs/>
        </w:rPr>
        <w:t>U, A</w:t>
      </w:r>
      <w:r>
        <w:rPr>
          <w:i/>
          <w:iCs/>
          <w:vertAlign w:val="subscript"/>
        </w:rPr>
        <w:t>LV</w:t>
      </w:r>
      <w:r>
        <w:rPr>
          <w:i/>
          <w:iCs/>
        </w:rPr>
        <w:t>,</w:t>
      </w:r>
      <w:r>
        <w:rPr>
          <w:i/>
          <w:iCs/>
          <w:vertAlign w:val="subscript"/>
        </w:rPr>
        <w:t xml:space="preserve"> </w:t>
      </w:r>
      <w:r>
        <w:rPr>
          <w:i/>
          <w:iCs/>
        </w:rPr>
        <w:t>LV</w:t>
      </w:r>
      <w:r>
        <w:rPr>
          <w:i/>
          <w:iCs/>
          <w:vertAlign w:val="subscript"/>
        </w:rPr>
        <w:t>Q</w:t>
      </w:r>
      <w:r>
        <w:rPr>
          <w:i/>
          <w:iCs/>
        </w:rPr>
        <w:t xml:space="preserve">, T, LNC, </w:t>
      </w:r>
      <w:r>
        <w:rPr>
          <w:rFonts w:eastAsia="Symbol" w:cs="Symbol" w:ascii="Symbol" w:hAnsi="Symbol"/>
          <w:i/>
          <w:iCs/>
        </w:rPr>
        <w:t></w:t>
      </w:r>
      <w:r>
        <w:rPr>
          <w:i/>
          <w:iCs/>
        </w:rPr>
        <w:t xml:space="preserve">: parámetros definidos en la </w:t>
      </w:r>
      <w:r>
        <w:rPr>
          <w:i/>
        </w:rPr>
        <w:t>sección 2.1 sobre notaciones</w:t>
      </w:r>
      <w:r>
        <w:rPr>
          <w:i/>
          <w:iCs/>
        </w:rPr>
        <w:t>.</w:t>
      </w:r>
    </w:p>
    <w:p>
      <w:pPr>
        <w:pStyle w:val="Normal"/>
        <w:spacing w:lineRule="auto" w:line="360" w:before="0" w:after="0"/>
        <w:ind w:left="630" w:hanging="0"/>
        <w:rPr>
          <w:i/>
          <w:i/>
          <w:iCs/>
        </w:rPr>
      </w:pPr>
      <w:r>
        <w:rPr>
          <w:i/>
          <w:iCs/>
        </w:rPr>
        <w:t>C: conjunto de semillas centroides.</w:t>
      </w:r>
    </w:p>
    <w:p>
      <w:pPr>
        <w:pStyle w:val="Normal"/>
        <w:spacing w:lineRule="auto" w:line="360" w:before="0" w:after="0"/>
        <w:ind w:left="630" w:hanging="0"/>
        <w:rPr>
          <w:i/>
          <w:i/>
          <w:iCs/>
        </w:rPr>
      </w:pPr>
      <w:r>
        <w:rPr>
          <w:i/>
          <w:iCs/>
        </w:rPr>
        <w:t>Distancia(d,P): función de distancia desde d al conjunto de puntos P.</w:t>
      </w:r>
    </w:p>
    <w:p>
      <w:pPr>
        <w:pStyle w:val="Normal"/>
        <w:spacing w:lineRule="auto" w:line="360" w:before="0" w:after="0"/>
        <w:ind w:left="630" w:hanging="0"/>
        <w:rPr>
          <w:i/>
          <w:i/>
          <w:iCs/>
        </w:rPr>
      </w:pPr>
      <w:r>
        <w:rPr>
          <w:i/>
          <w:iCs/>
        </w:rPr>
        <w:t>percentil: percentil usado para la determinación de datos anómalos.</w:t>
      </w:r>
    </w:p>
    <w:p>
      <w:pPr>
        <w:pStyle w:val="Normal"/>
        <w:spacing w:lineRule="auto" w:line="360" w:before="0" w:after="0"/>
        <w:ind w:left="709" w:hanging="425"/>
        <w:rPr>
          <w:i/>
          <w:i/>
          <w:iCs/>
        </w:rPr>
      </w:pPr>
      <w:r>
        <w:rPr>
          <w:i/>
          <w:iCs/>
        </w:rPr>
        <w:t xml:space="preserve">  </w:t>
      </w:r>
      <w:r>
        <w:rPr>
          <w:rFonts w:eastAsia="Symbol" w:cs="Symbol" w:ascii="Symbol" w:hAnsi="Symbol"/>
          <w:i/>
          <w:iCs/>
        </w:rPr>
        <w:t></w:t>
      </w:r>
      <w:r>
        <w:rPr>
          <w:i/>
          <w:iCs/>
          <w:vertAlign w:val="subscript"/>
        </w:rPr>
        <w:t>k1</w:t>
      </w:r>
      <w:r>
        <w:rPr>
          <w:i/>
          <w:iCs/>
        </w:rPr>
        <w:t>: alfa corte k</w:t>
      </w:r>
      <w:r>
        <w:rPr>
          <w:i/>
          <w:iCs/>
          <w:vertAlign w:val="subscript"/>
        </w:rPr>
        <w:t>1</w:t>
      </w:r>
      <w:r>
        <w:rPr>
          <w:i/>
          <w:iCs/>
        </w:rPr>
        <w:t>, establece límite superior de la dependencia en grado k en la generación de resúmenes.</w:t>
      </w:r>
    </w:p>
    <w:p>
      <w:pPr>
        <w:pStyle w:val="Normal"/>
        <w:spacing w:lineRule="auto" w:line="360" w:before="0" w:after="0"/>
        <w:ind w:left="709" w:hanging="425"/>
        <w:rPr>
          <w:i/>
          <w:i/>
          <w:iCs/>
        </w:rPr>
      </w:pPr>
      <w:r>
        <w:rPr>
          <w:i/>
          <w:iCs/>
        </w:rPr>
        <w:t xml:space="preserve">  </w:t>
      </w:r>
      <w:r>
        <w:rPr>
          <w:rFonts w:eastAsia="Symbol" w:cs="Symbol" w:ascii="Symbol" w:hAnsi="Symbol"/>
          <w:i/>
          <w:iCs/>
        </w:rPr>
        <w:t></w:t>
      </w:r>
      <w:r>
        <w:rPr>
          <w:i/>
          <w:iCs/>
          <w:vertAlign w:val="subscript"/>
        </w:rPr>
        <w:t>k2</w:t>
      </w:r>
      <w:r>
        <w:rPr>
          <w:i/>
          <w:iCs/>
        </w:rPr>
        <w:t>: alfa corte k</w:t>
      </w:r>
      <w:r>
        <w:rPr>
          <w:i/>
          <w:iCs/>
          <w:vertAlign w:val="subscript"/>
        </w:rPr>
        <w:t>2</w:t>
      </w:r>
      <w:r>
        <w:rPr>
          <w:i/>
          <w:iCs/>
        </w:rPr>
        <w:t>, establece límite inferior de la dependencia en grado k en la generación de resúmenes.</w:t>
      </w:r>
    </w:p>
    <w:p>
      <w:pPr>
        <w:pStyle w:val="Normal"/>
        <w:spacing w:lineRule="auto" w:line="432" w:before="113" w:after="57"/>
        <w:ind w:left="720" w:hanging="360"/>
        <w:rPr>
          <w:rFonts w:eastAsia="MS Gothic"/>
          <w:i/>
          <w:i/>
          <w:iCs/>
          <w:szCs w:val="18"/>
          <w:lang w:val="en-US"/>
        </w:rPr>
      </w:pPr>
      <w:r>
        <w:rPr>
          <w:rFonts w:eastAsia="MS Gothic"/>
          <w:i/>
          <w:iCs/>
          <w:szCs w:val="18"/>
          <w:lang w:val="en-US"/>
        </w:rPr>
        <w:t>Inicio</w:t>
      </w:r>
    </w:p>
    <w:p>
      <w:pPr>
        <w:pStyle w:val="Normal"/>
        <w:numPr>
          <w:ilvl w:val="0"/>
          <w:numId w:val="43"/>
        </w:numPr>
        <w:spacing w:lineRule="auto" w:line="288" w:before="120" w:after="120"/>
        <w:ind w:left="1276" w:hanging="916"/>
        <w:rPr>
          <w:i/>
          <w:i/>
          <w:szCs w:val="20"/>
        </w:rPr>
      </w:pPr>
      <w:r>
        <w:rPr>
          <w:i/>
          <w:szCs w:val="20"/>
        </w:rPr>
        <w:t>Out = U // se inicializa con todos los datos</w:t>
      </w:r>
    </w:p>
    <w:p>
      <w:pPr>
        <w:pStyle w:val="Normal"/>
        <w:numPr>
          <w:ilvl w:val="0"/>
          <w:numId w:val="43"/>
        </w:numPr>
        <w:spacing w:lineRule="auto" w:line="288" w:before="120" w:after="120"/>
        <w:ind w:left="1276" w:hanging="916"/>
        <w:rPr>
          <w:i/>
          <w:i/>
          <w:szCs w:val="20"/>
          <w:lang w:val="en-US"/>
        </w:rPr>
      </w:pPr>
      <w:r>
        <w:rPr>
          <w:i/>
          <w:szCs w:val="20"/>
          <w:lang w:val="en-US"/>
        </w:rPr>
        <w:t>clusters = Cluster(U, centers=C)</w:t>
      </w:r>
    </w:p>
    <w:p>
      <w:pPr>
        <w:pStyle w:val="Normal"/>
        <w:numPr>
          <w:ilvl w:val="0"/>
          <w:numId w:val="43"/>
        </w:numPr>
        <w:spacing w:lineRule="auto" w:line="288" w:before="120" w:after="120"/>
        <w:ind w:left="1276" w:hanging="916"/>
        <w:rPr>
          <w:i/>
          <w:i/>
          <w:szCs w:val="20"/>
          <w:lang w:val="en-US"/>
        </w:rPr>
      </w:pPr>
      <w:r>
        <w:rPr>
          <w:i/>
          <w:szCs w:val="20"/>
          <w:lang w:val="en-US"/>
        </w:rPr>
        <w:t>centers = clusters.centers</w:t>
      </w:r>
    </w:p>
    <w:p>
      <w:pPr>
        <w:pStyle w:val="Normal"/>
        <w:numPr>
          <w:ilvl w:val="0"/>
          <w:numId w:val="43"/>
        </w:numPr>
        <w:spacing w:lineRule="auto" w:line="288" w:before="120" w:after="120"/>
        <w:ind w:left="1276" w:hanging="916"/>
        <w:rPr>
          <w:i/>
          <w:i/>
          <w:szCs w:val="20"/>
        </w:rPr>
      </w:pPr>
      <w:r>
        <w:rPr>
          <w:i/>
          <w:szCs w:val="20"/>
        </w:rPr>
        <w:t>Para cada cluster</w:t>
      </w:r>
      <w:r>
        <w:rPr>
          <w:i/>
          <w:szCs w:val="20"/>
          <w:vertAlign w:val="subscript"/>
        </w:rPr>
        <w:t>i</w:t>
      </w:r>
      <w:r>
        <w:rPr>
          <w:i/>
          <w:szCs w:val="20"/>
        </w:rPr>
        <w:t xml:space="preserve"> en clusters, hacer</w:t>
      </w:r>
    </w:p>
    <w:p>
      <w:pPr>
        <w:pStyle w:val="Normal"/>
        <w:numPr>
          <w:ilvl w:val="0"/>
          <w:numId w:val="44"/>
        </w:numPr>
        <w:spacing w:before="120" w:after="120"/>
        <w:ind w:left="1701" w:hanging="1275"/>
        <w:rPr>
          <w:i/>
          <w:i/>
          <w:szCs w:val="20"/>
          <w:lang w:val="en-US"/>
        </w:rPr>
      </w:pPr>
      <w:r>
        <w:rPr>
          <w:i/>
          <w:szCs w:val="20"/>
          <w:lang w:val="en-US"/>
        </w:rPr>
        <w:t>B</w:t>
      </w:r>
      <w:r>
        <w:rPr>
          <w:i/>
          <w:szCs w:val="20"/>
          <w:vertAlign w:val="subscript"/>
          <w:lang w:val="en-US"/>
        </w:rPr>
        <w:t>0</w:t>
      </w:r>
      <w:r>
        <w:rPr>
          <w:i/>
          <w:szCs w:val="20"/>
          <w:lang w:val="en-US"/>
        </w:rPr>
        <w:t xml:space="preserve"> = Calculate_threshold(clusters</w:t>
      </w:r>
      <w:r>
        <w:rPr>
          <w:i/>
          <w:szCs w:val="20"/>
          <w:vertAlign w:val="subscript"/>
          <w:lang w:val="en-US"/>
        </w:rPr>
        <w:t>i</w:t>
      </w:r>
      <w:r>
        <w:rPr>
          <w:i/>
          <w:szCs w:val="20"/>
          <w:lang w:val="en-US"/>
        </w:rPr>
        <w:t>)</w:t>
      </w:r>
    </w:p>
    <w:p>
      <w:pPr>
        <w:pStyle w:val="Normal"/>
        <w:numPr>
          <w:ilvl w:val="0"/>
          <w:numId w:val="44"/>
        </w:numPr>
        <w:spacing w:before="120" w:after="120"/>
        <w:ind w:left="1701" w:hanging="1275"/>
        <w:rPr>
          <w:i/>
          <w:i/>
          <w:szCs w:val="20"/>
          <w:lang w:val="en-US"/>
        </w:rPr>
      </w:pPr>
      <w:r>
        <w:rPr>
          <w:i/>
          <w:szCs w:val="20"/>
          <w:lang w:val="en-US"/>
        </w:rPr>
        <w:t>O</w:t>
      </w:r>
      <w:r>
        <w:rPr>
          <w:i/>
          <w:szCs w:val="20"/>
          <w:vertAlign w:val="subscript"/>
          <w:lang w:val="en-US"/>
        </w:rPr>
        <w:t>i</w:t>
      </w:r>
      <w:r>
        <w:rPr>
          <w:i/>
          <w:szCs w:val="20"/>
          <w:lang w:val="en-US"/>
        </w:rPr>
        <w:t xml:space="preserve"> = out_centers(B</w:t>
      </w:r>
      <w:r>
        <w:rPr>
          <w:i/>
          <w:szCs w:val="20"/>
          <w:vertAlign w:val="subscript"/>
          <w:lang w:val="en-US"/>
        </w:rPr>
        <w:t xml:space="preserve">o, </w:t>
      </w:r>
      <w:r>
        <w:rPr>
          <w:i/>
          <w:szCs w:val="20"/>
          <w:lang w:val="en-US"/>
        </w:rPr>
        <w:t>cluster</w:t>
      </w:r>
      <w:r>
        <w:rPr>
          <w:i/>
          <w:szCs w:val="20"/>
          <w:vertAlign w:val="subscript"/>
          <w:lang w:val="en-US"/>
        </w:rPr>
        <w:t>i</w:t>
      </w:r>
      <w:r>
        <w:rPr>
          <w:i/>
          <w:szCs w:val="20"/>
          <w:lang w:val="en-US"/>
        </w:rPr>
        <w:t xml:space="preserve">) </w:t>
      </w:r>
    </w:p>
    <w:p>
      <w:pPr>
        <w:pStyle w:val="Normal"/>
        <w:numPr>
          <w:ilvl w:val="0"/>
          <w:numId w:val="44"/>
        </w:numPr>
        <w:spacing w:before="120" w:after="120"/>
        <w:ind w:left="1701" w:hanging="1275"/>
        <w:rPr>
          <w:i/>
          <w:i/>
          <w:szCs w:val="20"/>
          <w:lang w:val="en-US"/>
        </w:rPr>
      </w:pPr>
      <w:r>
        <w:rPr>
          <w:i/>
          <w:szCs w:val="20"/>
          <w:lang w:val="en-US"/>
        </w:rPr>
        <w:t xml:space="preserve">Out = Out </w:t>
      </w:r>
      <w:r>
        <w:rPr>
          <w:rFonts w:eastAsia="Symbol" w:cs="Symbol" w:ascii="Symbol" w:hAnsi="Symbol"/>
          <w:i/>
          <w:szCs w:val="20"/>
          <w:lang w:val="en-US"/>
        </w:rPr>
        <w:t></w:t>
      </w:r>
      <w:r>
        <w:rPr>
          <w:i/>
          <w:szCs w:val="20"/>
          <w:lang w:val="en-US"/>
        </w:rPr>
        <w:t xml:space="preserve"> O</w:t>
      </w:r>
      <w:r>
        <w:rPr>
          <w:i/>
          <w:szCs w:val="20"/>
          <w:vertAlign w:val="subscript"/>
          <w:lang w:val="en-US"/>
        </w:rPr>
        <w:t>i</w:t>
      </w:r>
    </w:p>
    <w:p>
      <w:pPr>
        <w:pStyle w:val="Normal"/>
        <w:spacing w:lineRule="auto" w:line="288" w:before="120" w:after="120"/>
        <w:ind w:left="1276" w:hanging="0"/>
        <w:rPr>
          <w:rFonts w:eastAsia="MS Gothic"/>
          <w:i/>
          <w:i/>
          <w:lang w:val="en-US"/>
        </w:rPr>
      </w:pPr>
      <w:r>
        <w:rPr>
          <w:i/>
          <w:szCs w:val="20"/>
          <w:lang w:val="en-US"/>
        </w:rPr>
        <w:t>Fin del ciclo paso 4</w:t>
      </w:r>
    </w:p>
    <w:p>
      <w:pPr>
        <w:pStyle w:val="Normal"/>
        <w:numPr>
          <w:ilvl w:val="0"/>
          <w:numId w:val="43"/>
        </w:numPr>
        <w:spacing w:lineRule="auto" w:line="288" w:before="120" w:after="120"/>
        <w:ind w:left="1276" w:hanging="916"/>
        <w:rPr>
          <w:rFonts w:eastAsia="MS Gothic"/>
          <w:i/>
          <w:i/>
          <w:lang w:val="en-US"/>
        </w:rPr>
      </w:pPr>
      <w:r>
        <w:rPr>
          <w:i/>
          <w:szCs w:val="20"/>
          <w:lang w:val="en-US"/>
        </w:rPr>
        <w:t xml:space="preserve">Out = Ranking_outlier(Out, </w:t>
      </w:r>
      <w:r>
        <w:rPr>
          <w:i/>
          <w:sz w:val="20"/>
          <w:szCs w:val="20"/>
          <w:lang w:val="en-US"/>
        </w:rPr>
        <w:t>percentil</w:t>
      </w:r>
      <w:r>
        <w:rPr>
          <w:i/>
          <w:szCs w:val="20"/>
          <w:lang w:val="en-US"/>
        </w:rPr>
        <w:t>)</w:t>
      </w:r>
    </w:p>
    <w:p>
      <w:pPr>
        <w:pStyle w:val="Normal"/>
        <w:numPr>
          <w:ilvl w:val="0"/>
          <w:numId w:val="43"/>
        </w:numPr>
        <w:spacing w:lineRule="auto" w:line="288" w:before="120" w:after="120"/>
        <w:ind w:left="1276" w:hanging="916"/>
        <w:rPr>
          <w:rFonts w:eastAsia="MS Gothic"/>
          <w:i/>
          <w:i/>
          <w:lang w:val="en-US"/>
        </w:rPr>
      </w:pPr>
      <w:r>
        <w:rPr>
          <w:i/>
          <w:szCs w:val="18"/>
          <w:lang w:val="en-US"/>
        </w:rPr>
        <w:t>CandidateSummaries</w:t>
      </w:r>
      <w:r>
        <w:rPr>
          <w:i/>
          <w:szCs w:val="18"/>
          <w:lang w:val="en-US" w:eastAsia="ja-JP"/>
        </w:rPr>
        <w:t>＝</w:t>
      </w:r>
      <w:r>
        <w:rPr>
          <w:i/>
          <w:szCs w:val="18"/>
          <w:lang w:val="en-US" w:eastAsia="ja-JP"/>
        </w:rPr>
        <w:t xml:space="preserve">Aplicar </w:t>
      </w:r>
      <w:r>
        <w:rPr>
          <w:i/>
          <w:szCs w:val="18"/>
          <w:lang w:val="en-US"/>
        </w:rPr>
        <w:t>RST_LDS(</w:t>
      </w:r>
      <w:r>
        <w:rPr>
          <w:i/>
          <w:szCs w:val="20"/>
          <w:lang w:val="en-US"/>
        </w:rPr>
        <w:t>Out</w:t>
      </w:r>
      <w:r>
        <w:rPr>
          <w:i/>
          <w:sz w:val="20"/>
          <w:szCs w:val="20"/>
          <w:lang w:val="en-US"/>
        </w:rPr>
        <w:t>, A</w:t>
      </w:r>
      <w:r>
        <w:rPr>
          <w:i/>
          <w:sz w:val="20"/>
          <w:szCs w:val="20"/>
          <w:vertAlign w:val="subscript"/>
          <w:lang w:val="en-US"/>
        </w:rPr>
        <w:t>LV</w:t>
      </w:r>
      <w:r>
        <w:rPr>
          <w:i/>
          <w:sz w:val="20"/>
          <w:szCs w:val="20"/>
          <w:lang w:val="en-US"/>
        </w:rPr>
        <w:t xml:space="preserve">, </w:t>
      </w:r>
      <w:r>
        <w:rPr>
          <w:rFonts w:eastAsia="Symbol" w:cs="Symbol" w:ascii="Symbol" w:hAnsi="Symbol"/>
          <w:i/>
          <w:szCs w:val="20"/>
        </w:rPr>
        <w:t></w:t>
      </w:r>
      <w:r>
        <w:rPr>
          <w:i/>
          <w:sz w:val="20"/>
          <w:szCs w:val="20"/>
          <w:vertAlign w:val="subscript"/>
          <w:lang w:val="en-US"/>
        </w:rPr>
        <w:t>k1</w:t>
      </w:r>
      <w:r>
        <w:rPr>
          <w:i/>
          <w:sz w:val="20"/>
          <w:szCs w:val="20"/>
          <w:lang w:val="en-US"/>
        </w:rPr>
        <w:t>,</w:t>
      </w:r>
      <w:r>
        <w:rPr>
          <w:i/>
          <w:sz w:val="20"/>
          <w:szCs w:val="20"/>
          <w:vertAlign w:val="subscript"/>
          <w:lang w:val="en-US"/>
        </w:rPr>
        <w:t xml:space="preserve"> </w:t>
      </w:r>
      <w:r>
        <w:rPr>
          <w:rFonts w:eastAsia="Symbol" w:cs="Symbol" w:ascii="Symbol" w:hAnsi="Symbol"/>
          <w:i/>
          <w:szCs w:val="20"/>
        </w:rPr>
        <w:t></w:t>
      </w:r>
      <w:r>
        <w:rPr>
          <w:i/>
          <w:sz w:val="20"/>
          <w:szCs w:val="20"/>
          <w:vertAlign w:val="subscript"/>
          <w:lang w:val="en-US"/>
        </w:rPr>
        <w:t>k2</w:t>
      </w:r>
      <w:r>
        <w:rPr>
          <w:i/>
          <w:sz w:val="20"/>
          <w:szCs w:val="20"/>
          <w:lang w:val="en-US"/>
        </w:rPr>
        <w:t>,</w:t>
      </w:r>
      <w:r>
        <w:rPr>
          <w:i/>
          <w:sz w:val="20"/>
          <w:szCs w:val="20"/>
          <w:vertAlign w:val="subscript"/>
          <w:lang w:val="en-US"/>
        </w:rPr>
        <w:t xml:space="preserve"> </w:t>
      </w:r>
      <w:r>
        <w:rPr>
          <w:i/>
          <w:szCs w:val="18"/>
          <w:lang w:val="en-US"/>
        </w:rPr>
        <w:t>LV</w:t>
      </w:r>
      <w:r>
        <w:rPr>
          <w:i/>
          <w:szCs w:val="18"/>
          <w:vertAlign w:val="subscript"/>
          <w:lang w:val="en-US"/>
        </w:rPr>
        <w:t>Q</w:t>
      </w:r>
      <w:r>
        <w:rPr>
          <w:i/>
          <w:sz w:val="20"/>
          <w:szCs w:val="20"/>
          <w:lang w:val="en-US"/>
        </w:rPr>
        <w:t xml:space="preserve">, T, </w:t>
      </w:r>
      <w:r>
        <w:rPr>
          <w:rFonts w:eastAsia="Symbol" w:cs="Symbol" w:ascii="Symbol" w:hAnsi="Symbol"/>
          <w:i/>
          <w:szCs w:val="20"/>
        </w:rPr>
        <w:t></w:t>
      </w:r>
      <w:r>
        <w:rPr>
          <w:i/>
          <w:sz w:val="20"/>
          <w:szCs w:val="20"/>
          <w:lang w:val="en-US"/>
        </w:rPr>
        <w:t>)</w:t>
      </w:r>
    </w:p>
    <w:p>
      <w:pPr>
        <w:pStyle w:val="Normal"/>
        <w:numPr>
          <w:ilvl w:val="0"/>
          <w:numId w:val="43"/>
        </w:numPr>
        <w:spacing w:lineRule="auto" w:line="288" w:before="120" w:after="120"/>
        <w:ind w:left="1276" w:hanging="916"/>
        <w:rPr>
          <w:rFonts w:eastAsia="MS Gothic"/>
          <w:i/>
          <w:i/>
          <w:lang w:val="en-US"/>
        </w:rPr>
      </w:pPr>
      <w:r>
        <w:rPr>
          <w:i/>
          <w:szCs w:val="18"/>
          <w:lang w:val="en-US"/>
        </w:rPr>
        <w:t xml:space="preserve">CandidateSummaries = empower_summaries(CandidateSummaries, </w:t>
      </w:r>
      <w:r>
        <w:rPr>
          <w:rFonts w:eastAsia="Symbol" w:cs="Symbol" w:ascii="Symbol" w:hAnsi="Symbol"/>
          <w:i/>
          <w:szCs w:val="18"/>
          <w:lang w:val="en-US"/>
        </w:rPr>
        <w:t></w:t>
      </w:r>
      <w:r>
        <w:rPr>
          <w:i/>
          <w:szCs w:val="18"/>
          <w:lang w:val="en-US"/>
        </w:rPr>
        <w:t xml:space="preserve">, </w:t>
      </w:r>
      <w:r>
        <w:rPr>
          <w:i/>
          <w:szCs w:val="20"/>
          <w:lang w:val="en-US"/>
        </w:rPr>
        <w:t>Out</w:t>
      </w:r>
      <w:r>
        <w:rPr>
          <w:i/>
          <w:szCs w:val="20"/>
          <w:vertAlign w:val="subscript"/>
          <w:lang w:val="en-US"/>
        </w:rPr>
        <w:t>f</w:t>
      </w:r>
      <w:r>
        <w:rPr>
          <w:i/>
          <w:szCs w:val="18"/>
          <w:lang w:val="en-US"/>
        </w:rPr>
        <w:t xml:space="preserve">)  </w:t>
      </w:r>
    </w:p>
    <w:p>
      <w:pPr>
        <w:pStyle w:val="Normal"/>
        <w:numPr>
          <w:ilvl w:val="0"/>
          <w:numId w:val="43"/>
        </w:numPr>
        <w:spacing w:lineRule="auto" w:line="288" w:before="120" w:after="120"/>
        <w:ind w:left="1276" w:hanging="916"/>
        <w:rPr>
          <w:rFonts w:eastAsia="MS Gothic"/>
          <w:i/>
          <w:i/>
          <w:lang w:val="en-US"/>
        </w:rPr>
      </w:pPr>
      <w:r>
        <w:rPr>
          <w:i/>
          <w:szCs w:val="18"/>
          <w:lang w:val="en-US"/>
        </w:rPr>
        <w:t>Summaries = filter_with_experts(CandidateSummaries)</w:t>
      </w:r>
    </w:p>
    <w:p>
      <w:pPr>
        <w:pStyle w:val="Normal"/>
        <w:numPr>
          <w:ilvl w:val="0"/>
          <w:numId w:val="43"/>
        </w:numPr>
        <w:spacing w:lineRule="auto" w:line="288" w:before="120" w:after="120"/>
        <w:ind w:left="1276" w:hanging="916"/>
        <w:rPr>
          <w:rFonts w:eastAsia="MS Gothic"/>
          <w:i/>
          <w:i/>
          <w:lang w:val="en-US"/>
        </w:rPr>
      </w:pPr>
      <w:r>
        <w:rPr>
          <w:rFonts w:eastAsia="MS Gothic"/>
          <w:i/>
        </w:rPr>
        <w:t>Return S</w:t>
      </w:r>
      <w:r>
        <w:rPr>
          <w:i/>
          <w:szCs w:val="18"/>
        </w:rPr>
        <w:t>ummaries</w:t>
      </w:r>
    </w:p>
    <w:p>
      <w:pPr>
        <w:pStyle w:val="Normal"/>
        <w:spacing w:before="120" w:after="120"/>
        <w:rPr/>
      </w:pPr>
      <w:r>
        <w:rPr/>
        <w:t xml:space="preserve">En el primer paso se inicializa el conjunto de datos anómalos </w:t>
      </w:r>
      <w:r>
        <w:rPr>
          <w:i/>
          <w:iCs/>
        </w:rPr>
        <w:t>Out</w:t>
      </w:r>
      <w:r>
        <w:rPr/>
        <w:t xml:space="preserve"> con todos los datos, se pretende eliminar de este conjunto todos los datos que no tengan comportamiento anómalo.    En el paso 2 se construyen </w:t>
      </w:r>
      <w:r>
        <w:rPr>
          <w:i/>
        </w:rPr>
        <w:t>C</w:t>
      </w:r>
      <w:r>
        <w:rPr/>
        <w:t xml:space="preserve"> clústeres a partir de los datos, este algoritmo podría aplicarse con diferentes métodos de agrupación. La selección del algoritmo apropiado para el agrupamiento, corresponde a los expertos del dominio en cuestión y depende de la naturaleza de los datos, conociendo las potencialidades y desventajas de cada algoritmo </w:t>
      </w:r>
      <w:r>
        <w:fldChar w:fldCharType="begin"/>
      </w:r>
      <w:r>
        <w:instrText>ADDIN ZOTERO_ITEM CSL_CITATION {"citationID":"a1pge91kft4","properties":{"formattedCitation":"(Pasuoathi et\\uc0\\u160{}al. 2021)","plainCitation":"(Pasuoathi et al. 2021)","noteIndex":0},"citationItems":[{"id":3462,"uris":["http://zotero.org/users/local/EJ15hJE2/items/99B7H7GT"],"uri":["http://zotero.org/users/local/EJ15hJE2/items/99B7H7GT"],"itemData":{"id":3462,"type":"article-journal","container-title":"The Journal of Supercomputing","DOI":"10.1007/S11227-020-03580-9","issue":"77","page":"6505-6524","title":"Trend analysis using agglomerative hierarchical clustering approach for time series big data","author":[{"family":"Pasuoathi","given":"S"},{"family":"Shanmuganathan","given":"V"},{"family":"Madasamy","given":"K"},{"family":"Yesudhas","given":"H"},{"family":"Kim","given":"M"}],"issued":{"date-parts":[["2021"]]}}}],"schema":"https://github.com/citation-style-language/schema/raw/master/csl-citation.json"}</w:instrText>
      </w:r>
      <w:r>
        <w:fldChar w:fldCharType="separate"/>
      </w:r>
      <w:bookmarkStart w:id="1196" w:name="__Fieldmark__9289_2067855929"/>
      <w:r>
        <w:rPr/>
      </w:r>
      <w:r>
        <w:rPr>
          <w:szCs w:val="24"/>
        </w:rPr>
        <w:t>(</w:t>
      </w:r>
      <w:bookmarkStart w:id="1197" w:name="__Fieldmark__8027_498839314"/>
      <w:r>
        <w:rPr>
          <w:szCs w:val="24"/>
        </w:rPr>
        <w:t>P</w:t>
      </w:r>
      <w:bookmarkStart w:id="1198" w:name="__Fieldmark__7119_998588997"/>
      <w:r>
        <w:rPr>
          <w:szCs w:val="24"/>
        </w:rPr>
        <w:t>a</w:t>
      </w:r>
      <w:bookmarkStart w:id="1199" w:name="__Fieldmark__10993_118561941"/>
      <w:r>
        <w:rPr>
          <w:szCs w:val="24"/>
        </w:rPr>
        <w:t>suoathi et al. 2021)</w:t>
      </w:r>
      <w:r>
        <w:rPr/>
      </w:r>
      <w:r>
        <w:fldChar w:fldCharType="end"/>
      </w:r>
      <w:bookmarkEnd w:id="1196"/>
      <w:bookmarkEnd w:id="1197"/>
      <w:bookmarkEnd w:id="1198"/>
      <w:bookmarkEnd w:id="1199"/>
      <w:r>
        <w:rPr/>
        <w:t xml:space="preserve">. La complejidad de este paso dependerá del algoritmo de agrupamiento que se aplique. Por ejemplo, para datos numéricos se podría utilizar el algoritmo </w:t>
      </w:r>
      <w:r>
        <w:rPr>
          <w:i/>
        </w:rPr>
        <w:t xml:space="preserve">kmeans, </w:t>
      </w:r>
      <w:r>
        <w:rPr/>
        <w:t xml:space="preserve">conociendo que los métodos basados en distancias tienden a formar híper-esferas, tendría una complejidad </w:t>
      </w:r>
      <w:r>
        <w:rPr>
          <w:i/>
        </w:rPr>
        <w:t>O(n</w:t>
      </w:r>
      <w:r>
        <w:rPr>
          <w:i/>
          <w:vertAlign w:val="superscript"/>
        </w:rPr>
        <w:t>2</w:t>
      </w:r>
      <w:r>
        <w:rPr>
          <w:i/>
        </w:rPr>
        <w:t>)</w:t>
      </w:r>
      <w:r>
        <w:rPr>
          <w:rFonts w:eastAsia="MS Gothic"/>
          <w:i/>
          <w:iCs/>
          <w:szCs w:val="18"/>
        </w:rPr>
        <w:t xml:space="preserve"> </w:t>
      </w:r>
      <w:r>
        <w:fldChar w:fldCharType="begin"/>
      </w:r>
      <w:r>
        <w:instrText>ADDIN ZOTERO_ITEM CSL_CITATION {"citationID":"a1mgvr82mqk","properties":{"formattedCitation":"(Nerurkar et\\uc0\\u160{}al. 2018)","plainCitation":"(Nerurkar et al. 2018)","noteIndex":0},"citationItems":[{"id":3477,"uris":["http://zotero.org/users/local/EJ15hJE2/items/GQPB37X7"],"uri":["http://zotero.org/users/local/EJ15hJE2/items/GQPB37X7"],"itemData":{"id":3477,"type":"article-journal","abstract":"Clustering is performed to get insights into the data whose volume makes it problematic for analysis by humans. Due to this, clustering algorithms have emerged as meta learning tools for performing exploratory data analysis. A Cluster is defined as a set of objects which have a higher degree of similarity to each other compared to objects not in the same set. However there is ambiguity regarding a suitable similarity metric for clustering. Multiple measures have been proposed related to quantifying similarity such as euclidean distance, density in data space etc. making clustering a multi-objective optimization problem. In this paper, different clustering approaches are studied from the theoretical perspective to understand their relevance in context of massive data-sets and empirically these have been tested on artificial benchmarks to highlight their strengths and weaknesses.","collection-title":"The 6th International Conference on Smart Computing and Communications","container-title":"Procedia Computer Science","DOI":"10.1016/j.procs.2017.12.099","ISSN":"1877-0509","journalAbbreviation":"Procedia Computer Science","language":"en","page":"770-779","source":"ScienceDirect","title":"Empirical Analysis of Data Clustering Algorithms","volume":"125","author":[{"family":"Nerurkar","given":"Pranav"},{"family":"Shirke","given":"Archana"},{"family":"Chandane","given":"Madhav"},{"family":"Bhirud","given":"Sunil"}],"issued":{"date-parts":[["2018",1,1]]}}}],"schema":"https://github.com/citation-style-language/schema/raw/master/csl-citation.json"}</w:instrText>
      </w:r>
      <w:r>
        <w:fldChar w:fldCharType="separate"/>
      </w:r>
      <w:bookmarkStart w:id="1200" w:name="__Fieldmark__9311_2067855929"/>
      <w:r>
        <w:rPr>
          <w:rFonts w:eastAsia="MS Gothic"/>
          <w:i/>
          <w:iCs/>
          <w:szCs w:val="18"/>
        </w:rPr>
      </w:r>
      <w:r>
        <w:rPr>
          <w:rFonts w:eastAsia="MS Gothic"/>
          <w:i/>
          <w:iCs/>
          <w:szCs w:val="24"/>
          <w:lang w:val="en-US"/>
        </w:rPr>
        <w:t>(</w:t>
      </w:r>
      <w:bookmarkStart w:id="1201" w:name="__Fieldmark__8044_498839314"/>
      <w:r>
        <w:rPr>
          <w:rFonts w:eastAsia="MS Gothic"/>
          <w:i/>
          <w:iCs/>
          <w:szCs w:val="24"/>
          <w:lang w:val="en-US"/>
        </w:rPr>
        <w:t>N</w:t>
      </w:r>
      <w:bookmarkStart w:id="1202" w:name="__Fieldmark__7132_998588997"/>
      <w:r>
        <w:rPr>
          <w:rFonts w:eastAsia="MS Gothic"/>
          <w:i/>
          <w:iCs/>
          <w:szCs w:val="24"/>
          <w:lang w:val="en-US"/>
        </w:rPr>
        <w:t>e</w:t>
      </w:r>
      <w:bookmarkStart w:id="1203" w:name="__Fieldmark__11016_118561941"/>
      <w:r>
        <w:rPr>
          <w:rFonts w:eastAsia="MS Gothic"/>
          <w:i/>
          <w:iCs/>
          <w:szCs w:val="24"/>
          <w:lang w:val="en-US"/>
        </w:rPr>
        <w:t>rurkar et al. 2018)</w:t>
      </w:r>
      <w:r>
        <w:rPr>
          <w:rFonts w:eastAsia="MS Gothic"/>
          <w:i/>
          <w:iCs/>
          <w:szCs w:val="18"/>
        </w:rPr>
      </w:r>
      <w:r>
        <w:fldChar w:fldCharType="end"/>
      </w:r>
      <w:bookmarkEnd w:id="1200"/>
      <w:bookmarkEnd w:id="1201"/>
      <w:bookmarkEnd w:id="1202"/>
      <w:bookmarkEnd w:id="1203"/>
      <w:r>
        <w:rPr>
          <w:rFonts w:eastAsia="MS Gothic"/>
          <w:i/>
          <w:iCs/>
          <w:szCs w:val="18"/>
          <w:lang w:val="en-US"/>
        </w:rPr>
        <w:t xml:space="preserve"> </w:t>
      </w:r>
      <w:r>
        <w:fldChar w:fldCharType="begin"/>
      </w:r>
      <w:r>
        <w:instrText>ADDIN ZOTERO_ITEM CSL_CITATION {"citationID":"a2jvbvo1bs9","properties":{"formattedCitation":"(Dalatu 2016)","plainCitation":"(Dalatu 2016)","noteIndex":0},"citationItems":[{"id":"NJclqhNX/a4AQJORb","uris":["http://zotero.org/users/local/rsuvzjK6/items/SUIJFFVS"],"uri":["http://zotero.org/users/local/rsuvzjK6/items/SUIJFFVS"],"itemData":{"id":3528,"type":"article-journal","abstract":"Data mining responsibilities show the broad features of the data in the database and also examine the current data in order to determine some arrangements. While, clustering establishes an important part of professed data mining, a procedure of exploring and analyzing large volumes of data in order to determine valuable information. Outliers are points that do not conform with the common performance of the data. Therefore, we applied the K-Means and K-Medians clustering algorithms to calculate the run time complexity analysis in identiﬁcation of outliers in clustering analysis. The result shows that the K-Medians clustering algorithm with the use of medians served as robust for its faster and effective run time facilities better performance compared to the K-Means clustering algorithm in detecting outliers.","container-title":"Global Journal of Pure and Applied Mathematics","ISSN":"0973-1768","issue":"5","language":"en","page":"4405–4418","source":"Zotero","title":"Time Complexity of K-Means and K-Medians Clustering Algorithms in Outliers Detection","volume":"12","author":[{"family":"Dalatu","given":"Paul Inuwa"}],"issued":{"date-parts":[["2016"]]}}}],"schema":"https://github.com/citation-style-language/schema/raw/master/csl-citation.json"}</w:instrText>
      </w:r>
      <w:r>
        <w:fldChar w:fldCharType="separate"/>
      </w:r>
      <w:bookmarkStart w:id="1204" w:name="__Fieldmark__9326_2067855929"/>
      <w:r>
        <w:rPr>
          <w:rFonts w:eastAsia="MS Gothic"/>
          <w:i/>
          <w:iCs/>
          <w:szCs w:val="18"/>
          <w:lang w:val="en-US"/>
        </w:rPr>
        <w:t>(</w:t>
      </w:r>
      <w:bookmarkStart w:id="1205" w:name="__Fieldmark__8055_498839314"/>
      <w:r>
        <w:rPr>
          <w:rFonts w:eastAsia="MS Gothic"/>
          <w:i/>
          <w:iCs/>
          <w:szCs w:val="18"/>
          <w:lang w:val="en-US"/>
        </w:rPr>
        <w:t>D</w:t>
      </w:r>
      <w:bookmarkStart w:id="1206" w:name="__Fieldmark__7139_998588997"/>
      <w:r>
        <w:rPr>
          <w:rFonts w:eastAsia="MS Gothic"/>
          <w:i/>
          <w:iCs/>
          <w:szCs w:val="18"/>
          <w:lang w:val="en-US"/>
        </w:rPr>
        <w:t>a</w:t>
      </w:r>
      <w:bookmarkStart w:id="1207" w:name="__Fieldmark__11021_118561941"/>
      <w:r>
        <w:rPr>
          <w:rFonts w:eastAsia="MS Gothic"/>
          <w:i/>
          <w:iCs/>
          <w:szCs w:val="18"/>
          <w:lang w:val="en-US"/>
        </w:rPr>
        <w:t>latu 2016)</w:t>
      </w:r>
      <w:r>
        <w:rPr>
          <w:rFonts w:eastAsia="MS Gothic"/>
          <w:i/>
          <w:iCs/>
          <w:szCs w:val="18"/>
          <w:lang w:val="en-US"/>
        </w:rPr>
      </w:r>
      <w:r>
        <w:fldChar w:fldCharType="end"/>
      </w:r>
      <w:bookmarkEnd w:id="1204"/>
      <w:bookmarkEnd w:id="1205"/>
      <w:bookmarkEnd w:id="1206"/>
      <w:bookmarkEnd w:id="1207"/>
      <w:r>
        <w:rPr>
          <w:rFonts w:eastAsia="MS Gothic"/>
          <w:i/>
          <w:iCs/>
          <w:szCs w:val="18"/>
          <w:lang w:val="en-US"/>
        </w:rPr>
        <w:t xml:space="preserve"> </w:t>
      </w:r>
      <w:r>
        <w:fldChar w:fldCharType="begin"/>
      </w:r>
      <w:r>
        <w:instrText>ADDIN ZOTERO_ITEM CSL_CITATION {"citationID":"a2aufnavf10","properties":{"formattedCitation":"(Zhang, Xiaoliang et\\uc0\\u160{}al. 2020)","plainCitation":"(Zhang, Xiaoliang et al. 2020)","noteIndex":0},"citationItems":[{"id":"NJclqhNX/2L9ZR332","uris":["http://zotero.org/users/local/rsuvzjK6/items/D8WJ6IFT"],"uri":["http://zotero.org/users/local/rsuvzjK6/items/D8WJ6IFT"],"itemData":{"id":3529,"type":"article-journal","abstract":"The k-means algorithm is sensitive to the outliers. In this paper, we propose a robust two-stage k-means clustering algorithm based on the observation point mechanism, which can accurately discover the cluster centers without the disturbance of outliers. In the first stage, a small subset of the original data set is selected based on a set of nondegenerate observation points. The subset is a good representation of the original data set because it only contains all those points that have a higher density of the original data set and does not include the outliers. In the second stage, we use the k-means clustering algorithm to cluster the selected subset and find the proper cluster centers as the true cluster centers of the original data set. Based on these cluster centers, the rest data points of the original data set are assigned to the clusters whose centers are the closest to the data points. The theoretical analysis and experimental results show that the proposed clustering algorithm has the lower computational complexity and better robustness in comparison with k-means clustering algorithm, thus demonstrating the feasibility and effectiveness of our proposed clustering algorithm.","container-title":"Complexity","DOI":"10.1155/2020/3650926","ISSN":"1076-2787","language":"en","note":"publisher: Hindawi","page":"e3650926","source":"www.hindawi.com","title":"A Robust k-Means Clustering Algorithm Based on Observation Point Mechanism","volume":"2020","author":[{"family":"Zhang","given":"Xiaoliang"},{"family":"He","given":"Yulin"},{"family":"Jin","given":"Yi"},{"family":"Qin","given":"Honglian"},{"family":"Azhar","given":"Muhammad"},{"family":"Huang","given":"Joshua Zhexue"}],"issued":{"date-parts":[["2020",3,30]]}}}],"schema":"https://github.com/citation-style-language/schema/raw/master/csl-citation.json"}</w:instrText>
      </w:r>
      <w:r>
        <w:fldChar w:fldCharType="separate"/>
      </w:r>
      <w:bookmarkStart w:id="1208" w:name="__Fieldmark__9341_2067855929"/>
      <w:r>
        <w:rPr>
          <w:rFonts w:eastAsia="MS Gothic"/>
          <w:i/>
          <w:iCs/>
          <w:szCs w:val="18"/>
          <w:lang w:val="en-US"/>
        </w:rPr>
      </w:r>
      <w:r>
        <w:rPr>
          <w:rFonts w:eastAsia="MS Gothic"/>
          <w:i/>
          <w:iCs/>
          <w:szCs w:val="24"/>
          <w:lang w:val="en-US"/>
        </w:rPr>
        <w:t>(</w:t>
      </w:r>
      <w:bookmarkStart w:id="1209" w:name="__Fieldmark__8066_498839314"/>
      <w:r>
        <w:rPr>
          <w:rFonts w:eastAsia="MS Gothic"/>
          <w:i/>
          <w:iCs/>
          <w:szCs w:val="24"/>
          <w:lang w:val="en-US"/>
        </w:rPr>
        <w:t>Z</w:t>
      </w:r>
      <w:bookmarkStart w:id="1210" w:name="__Fieldmark__7146_998588997"/>
      <w:r>
        <w:rPr>
          <w:rFonts w:eastAsia="MS Gothic"/>
          <w:i/>
          <w:iCs/>
          <w:szCs w:val="24"/>
          <w:lang w:val="en-US"/>
        </w:rPr>
        <w:t>h</w:t>
      </w:r>
      <w:bookmarkStart w:id="1211" w:name="__Fieldmark__11026_118561941"/>
      <w:r>
        <w:rPr>
          <w:rFonts w:eastAsia="MS Gothic"/>
          <w:i/>
          <w:iCs/>
          <w:szCs w:val="24"/>
          <w:lang w:val="en-US"/>
        </w:rPr>
        <w:t>ang, Xiaoliang et al. 2020)</w:t>
      </w:r>
      <w:r>
        <w:rPr>
          <w:rFonts w:eastAsia="MS Gothic"/>
          <w:i/>
          <w:iCs/>
          <w:szCs w:val="18"/>
          <w:lang w:val="en-US"/>
        </w:rPr>
      </w:r>
      <w:r>
        <w:fldChar w:fldCharType="end"/>
      </w:r>
      <w:bookmarkEnd w:id="1208"/>
      <w:bookmarkEnd w:id="1209"/>
      <w:bookmarkEnd w:id="1210"/>
      <w:bookmarkEnd w:id="1211"/>
      <w:r>
        <w:rPr>
          <w:rFonts w:eastAsia="MS Gothic"/>
          <w:i/>
          <w:iCs/>
          <w:szCs w:val="18"/>
          <w:lang w:val="en-US"/>
        </w:rPr>
        <w:t>.</w:t>
      </w:r>
    </w:p>
    <w:p>
      <w:pPr>
        <w:pStyle w:val="Normal"/>
        <w:spacing w:before="120" w:after="120"/>
        <w:rPr/>
      </w:pPr>
      <w:r>
        <w:rPr/>
        <w:t xml:space="preserve">En el paso 4, para cada uno de los clústeres obtenidos, se calcula el umbral </w:t>
      </w:r>
      <w:r>
        <w:rPr>
          <w:i/>
        </w:rPr>
        <w:t>B</w:t>
      </w:r>
      <w:r>
        <w:rPr>
          <w:i/>
          <w:vertAlign w:val="subscript"/>
        </w:rPr>
        <w:t>0</w:t>
      </w:r>
      <w:r>
        <w:rPr>
          <w:i/>
        </w:rPr>
        <w:t>,</w:t>
      </w:r>
      <w:r>
        <w:rPr>
          <w:i/>
          <w:vertAlign w:val="subscript"/>
        </w:rPr>
        <w:t xml:space="preserve"> </w:t>
      </w:r>
      <w:r>
        <w:rPr/>
        <w:t xml:space="preserve">basado en el concepto “conjunto </w:t>
      </w:r>
      <w:r>
        <w:rPr>
          <w:i/>
          <w:iCs/>
        </w:rPr>
        <w:t>b</w:t>
      </w:r>
      <w:r>
        <w:rPr>
          <w:i/>
          <w:iCs/>
          <w:vertAlign w:val="subscript"/>
        </w:rPr>
        <w:t>0</w:t>
      </w:r>
      <w:r>
        <w:rPr/>
        <w:t xml:space="preserve"> compacto” definido en </w:t>
      </w:r>
      <w:r>
        <w:fldChar w:fldCharType="begin"/>
      </w:r>
      <w:r>
        <w:instrText>ADDIN ZOTERO_ITEM CSL_CITATION {"citationID":"a12r1nb1d2d","properties":{"formattedCitation":"(Ruiz-Shulcloper 2009)","plainCitation":"(Ruiz-Shulcloper 2009)","noteIndex":0},"citationItems":[{"id":"NJclqhNX/k98GNPZK","uris":["http://zotero.org/users/local/rsuvzjK6/items/EWTTZ85D"],"uri":["http://zotero.org/users/local/rsuvzjK6/items/EWTTZ85D"],"itemData":{"id":2091,"type":"thesis","event-place":"Universidad Central \"Marta Abreu\" de Las Villas, Santa Clara","genre":"PhD Thesis","publisher":"Centro de Investigaciones de Tecnologías de Avanzadas CENATAV","publisher-place":"Universidad Central \"Marta Abreu\" de Las Villas, Santa Clara","title":"Reconocimiento lógico combinatorio de patrones: teoría y aplicaciones","author":[{"family":"Ruiz-Shulcloper","given":"J."}],"issued":{"date-parts":[["2009"]]}}}],"schema":"https://github.com/citation-style-language/schema/raw/master/csl-citation.json"}</w:instrText>
      </w:r>
      <w:r>
        <w:fldChar w:fldCharType="separate"/>
      </w:r>
      <w:bookmarkStart w:id="1212" w:name="__Fieldmark__9368_2067855929"/>
      <w:r>
        <w:rPr/>
        <w:t>(</w:t>
      </w:r>
      <w:bookmarkStart w:id="1213" w:name="__Fieldmark__8087_498839314"/>
      <w:r>
        <w:rPr/>
        <w:t>R</w:t>
      </w:r>
      <w:bookmarkStart w:id="1214" w:name="__Fieldmark__7163_998588997"/>
      <w:r>
        <w:rPr/>
        <w:t>u</w:t>
      </w:r>
      <w:bookmarkStart w:id="1215" w:name="__Fieldmark__11055_118561941"/>
      <w:r>
        <w:rPr/>
        <w:t>iz-Shulcloper 2009)</w:t>
      </w:r>
      <w:r>
        <w:rPr/>
      </w:r>
      <w:r>
        <w:fldChar w:fldCharType="end"/>
      </w:r>
      <w:bookmarkEnd w:id="1212"/>
      <w:bookmarkEnd w:id="1213"/>
      <w:bookmarkEnd w:id="1214"/>
      <w:bookmarkEnd w:id="1215"/>
      <w:r>
        <w:rPr/>
        <w:t xml:space="preserve">. Luego en el paso 4.2 se detecta, para cada clúster, el conjunto de datos que tienen comportamiento anómalo y se intercepta este conjunto con los elementos del conjunto </w:t>
      </w:r>
      <w:r>
        <w:rPr>
          <w:i/>
          <w:iCs/>
        </w:rPr>
        <w:t>Out</w:t>
      </w:r>
      <w:r>
        <w:rPr/>
        <w:t xml:space="preserve">. Al finalizar este paso, se tiene en </w:t>
      </w:r>
      <w:r>
        <w:rPr>
          <w:i/>
          <w:iCs/>
        </w:rPr>
        <w:t>Out</w:t>
      </w:r>
      <w:r>
        <w:rPr/>
        <w:t xml:space="preserve"> solo los datos que pueden ser anómalos. </w:t>
      </w:r>
    </w:p>
    <w:p>
      <w:pPr>
        <w:pStyle w:val="Normal"/>
        <w:spacing w:before="120" w:after="120"/>
        <w:rPr/>
      </w:pPr>
      <w:r>
        <w:rPr/>
        <w:t>En el paso 5, los objetos identificados como posibles valores anómalos son ordenados en un ranking, donde los elementos más alejados de los centros de los clústeres quedan ubicados en los primeros lugares del ranking. Este paso está acotado superiormente por O(</w:t>
      </w:r>
      <w:r>
        <w:rPr>
          <w:i/>
          <w:iCs/>
        </w:rPr>
        <w:t>m</w:t>
      </w:r>
      <w:r>
        <w:rPr>
          <w:i/>
        </w:rPr>
        <w:t>·</w:t>
      </w:r>
      <w:r>
        <w:rPr>
          <w:i/>
          <w:iCs/>
        </w:rPr>
        <w:t>log(m)</w:t>
      </w:r>
      <w:r>
        <w:rPr/>
        <w:t>)</w:t>
      </w:r>
      <w:r>
        <w:rPr>
          <w:lang w:eastAsia="ja-JP"/>
        </w:rPr>
        <w:t xml:space="preserve">, siendo </w:t>
      </w:r>
      <w:r>
        <w:rPr>
          <w:i/>
          <w:lang w:eastAsia="ja-JP"/>
        </w:rPr>
        <w:t>m</w:t>
      </w:r>
      <w:r>
        <w:rPr>
          <w:lang w:eastAsia="ja-JP"/>
        </w:rPr>
        <w:t xml:space="preserve"> la cantidad de datos anómalos</w:t>
      </w:r>
      <w:r>
        <w:rPr>
          <w:i/>
          <w:lang w:eastAsia="ja-JP"/>
        </w:rPr>
        <w:t xml:space="preserve"> m&lt;&lt;n</w:t>
      </w:r>
      <w:r>
        <w:rPr/>
        <w:t xml:space="preserve">. </w:t>
      </w:r>
    </w:p>
    <w:p>
      <w:pPr>
        <w:pStyle w:val="Normal"/>
        <w:spacing w:before="120" w:after="120"/>
        <w:rPr/>
      </w:pPr>
      <w:r>
        <w:rPr/>
        <w:t xml:space="preserve">En el paso 6 se aplica el algoritmo </w:t>
      </w:r>
      <w:r>
        <w:rPr>
          <w:i/>
        </w:rPr>
        <w:t>RST_LDS</w:t>
      </w:r>
      <w:r>
        <w:rPr/>
        <w:t xml:space="preserve"> para la generación de resúmenes a partir del conjunto de datos anómalos </w:t>
      </w:r>
      <w:r>
        <w:rPr>
          <w:i/>
        </w:rPr>
        <w:t>Out</w:t>
      </w:r>
      <w:r>
        <w:rPr/>
        <w:t>. Luego en el paso 7, los resúmenes lingüísticos generados se enriquecen y se les asocian los datos anómalos que están representados con mayor fuerza en el resumen. Finalmente, en el paso 8 se produce un proceso de aprendizaje activo</w:t>
      </w:r>
      <w:r>
        <w:rPr>
          <w:rStyle w:val="FootnoteAnchor"/>
        </w:rPr>
        <w:footnoteReference w:id="10"/>
      </w:r>
      <w:r>
        <w:rPr/>
        <w:t xml:space="preserve">, donde los expertos identifican aquellos resúmenes lingüísticos que representen realmente datos anómalos y que sean interesantes para los procesos de toma de decisiones. </w:t>
      </w:r>
      <w:r>
        <w:rPr>
          <w:rFonts w:eastAsia="MS Gothic" w:cs="Times New Roman"/>
          <w:bCs w:val="false"/>
          <w:szCs w:val="24"/>
          <w:lang w:val="en-US"/>
        </w:rPr>
        <w:t xml:space="preserve">En general la </w:t>
      </w:r>
      <w:r>
        <w:rPr/>
        <w:t xml:space="preserve">complejidad computacional del </w:t>
      </w:r>
      <w:r>
        <w:rPr/>
        <w:fldChar w:fldCharType="begin"/>
      </w:r>
      <w:r>
        <w:instrText> REF _Ref68272707 \h </w:instrText>
      </w:r>
      <w:r>
        <w:fldChar w:fldCharType="separate"/>
      </w:r>
      <w:r>
        <w:t>Algoritmo 6</w:t>
      </w:r>
      <w:r>
        <w:fldChar w:fldCharType="end"/>
      </w:r>
      <w:r>
        <w:rPr/>
        <w:t xml:space="preserve"> está acotada superiormente por </w:t>
      </w:r>
      <w:r>
        <w:rPr>
          <w:i/>
        </w:rPr>
        <w:t>O(n</w:t>
      </w:r>
      <w:r>
        <w:rPr>
          <w:i/>
          <w:vertAlign w:val="superscript"/>
        </w:rPr>
        <w:t>3</w:t>
      </w:r>
      <w:r>
        <w:rPr>
          <w:i/>
        </w:rPr>
        <w:t>).</w:t>
      </w:r>
    </w:p>
    <w:p>
      <w:pPr>
        <w:pStyle w:val="Heading2"/>
        <w:numPr>
          <w:ilvl w:val="1"/>
          <w:numId w:val="80"/>
        </w:numPr>
        <w:rPr/>
      </w:pPr>
      <w:bookmarkStart w:id="1216" w:name="_Ref70244576"/>
      <w:bookmarkStart w:id="1217" w:name="_Toc84598935"/>
      <w:bookmarkEnd w:id="1216"/>
      <w:bookmarkEnd w:id="1217"/>
      <w:r>
        <w:rPr/>
        <w:t>Valoración general de los algoritmos propuestos</w:t>
      </w:r>
    </w:p>
    <w:p>
      <w:pPr>
        <w:pStyle w:val="Normal"/>
        <w:rPr/>
      </w:pPr>
      <w:r>
        <w:rPr/>
        <w:t xml:space="preserve">Los algoritmos </w:t>
      </w:r>
      <w:r>
        <w:rPr>
          <w:i/>
          <w:iCs/>
          <w:szCs w:val="18"/>
        </w:rPr>
        <w:t>LPA_LDS</w:t>
      </w:r>
      <w:r>
        <w:rPr>
          <w:iCs/>
          <w:szCs w:val="18"/>
        </w:rPr>
        <w:t xml:space="preserve">, </w:t>
      </w:r>
      <w:r>
        <w:rPr>
          <w:i/>
          <w:iCs/>
          <w:szCs w:val="18"/>
        </w:rPr>
        <w:t xml:space="preserve">PCA_LDS </w:t>
      </w:r>
      <w:r>
        <w:rPr>
          <w:iCs/>
          <w:szCs w:val="18"/>
        </w:rPr>
        <w:t>y</w:t>
      </w:r>
      <w:r>
        <w:rPr>
          <w:i/>
          <w:iCs/>
          <w:szCs w:val="18"/>
        </w:rPr>
        <w:t xml:space="preserve"> RST_LDS </w:t>
      </w:r>
      <w:r>
        <w:rPr/>
        <w:t xml:space="preserve">fueron diseñados sobre la base de mejorar la eficacia de los algoritmos de generación de resúmenes lingüísticos reportados en la bibliografía consultada. Un breve resumen comparativo de estos algoritmos se muestra en la </w:t>
      </w:r>
      <w:r>
        <w:rPr/>
        <w:fldChar w:fldCharType="begin"/>
      </w:r>
      <w:r>
        <w:instrText> REF _Ref69994707 \h </w:instrText>
      </w:r>
      <w:r>
        <w:fldChar w:fldCharType="separate"/>
      </w:r>
      <w:r>
        <w:t>Tabla 5</w:t>
      </w:r>
      <w:r>
        <w:fldChar w:fldCharType="end"/>
      </w:r>
      <w:r>
        <w:rPr/>
        <w:t>.</w:t>
      </w:r>
    </w:p>
    <w:p>
      <w:pPr>
        <w:pStyle w:val="Caption1"/>
        <w:rPr/>
      </w:pPr>
      <w:bookmarkStart w:id="1218" w:name="_Toc84598975"/>
      <w:bookmarkStart w:id="1219" w:name="_Ref69994707"/>
      <w:r>
        <w:rPr/>
        <w:t xml:space="preserve">Tabla </w:t>
      </w:r>
      <w:r>
        <w:rPr/>
        <w:fldChar w:fldCharType="begin"/>
      </w:r>
      <w:r>
        <w:instrText> SEQ Tabla \* ARABIC </w:instrText>
      </w:r>
      <w:r>
        <w:fldChar w:fldCharType="separate"/>
      </w:r>
      <w:r>
        <w:t>5</w:t>
      </w:r>
      <w:r>
        <w:fldChar w:fldCharType="end"/>
      </w:r>
      <w:bookmarkEnd w:id="1218"/>
      <w:bookmarkEnd w:id="1219"/>
      <w:r>
        <w:rPr/>
        <w:t>: Comparación teórica de los algoritmos.</w:t>
      </w:r>
    </w:p>
    <w:tbl>
      <w:tblPr>
        <w:tblStyle w:val="Tablaconcuadrcula"/>
        <w:tblW w:w="5000" w:type="pct"/>
        <w:jc w:val="center"/>
        <w:tblInd w:w="0" w:type="dxa"/>
        <w:tblCellMar>
          <w:top w:w="0" w:type="dxa"/>
          <w:left w:w="123" w:type="dxa"/>
          <w:bottom w:w="0" w:type="dxa"/>
          <w:right w:w="108" w:type="dxa"/>
        </w:tblCellMar>
        <w:tblLook w:val="04a0" w:noVBand="1" w:noHBand="0" w:lastColumn="0" w:firstColumn="1" w:lastRow="0" w:firstRow="1"/>
      </w:tblPr>
      <w:tblGrid>
        <w:gridCol w:w="1651"/>
        <w:gridCol w:w="2968"/>
        <w:gridCol w:w="1871"/>
        <w:gridCol w:w="2488"/>
      </w:tblGrid>
      <w:tr>
        <w:trPr/>
        <w:tc>
          <w:tcPr>
            <w:tcW w:w="1651" w:type="dxa"/>
            <w:tcBorders>
              <w:top w:val="nil"/>
              <w:left w:val="nil"/>
              <w:bottom w:val="nil"/>
              <w:right w:val="nil"/>
              <w:insideH w:val="nil"/>
              <w:insideV w:val="nil"/>
            </w:tcBorders>
            <w:shd w:color="auto" w:fill="auto" w:val="clear"/>
            <w:vAlign w:val="center"/>
          </w:tcPr>
          <w:p>
            <w:pPr>
              <w:pStyle w:val="Normal"/>
              <w:spacing w:before="80" w:after="60"/>
              <w:rPr>
                <w:sz w:val="21"/>
              </w:rPr>
            </w:pPr>
            <w:r>
              <w:rPr>
                <w:sz w:val="21"/>
              </w:rPr>
            </w:r>
          </w:p>
        </w:tc>
        <w:tc>
          <w:tcPr>
            <w:tcW w:w="2968" w:type="dxa"/>
            <w:tcBorders>
              <w:top w:val="nil"/>
              <w:left w:val="nil"/>
              <w:right w:val="nil"/>
              <w:insideV w:val="nil"/>
            </w:tcBorders>
            <w:shd w:color="auto" w:fill="auto" w:val="clear"/>
            <w:vAlign w:val="center"/>
          </w:tcPr>
          <w:p>
            <w:pPr>
              <w:pStyle w:val="Normal"/>
              <w:spacing w:before="80" w:after="0"/>
              <w:jc w:val="center"/>
              <w:rPr>
                <w:sz w:val="21"/>
              </w:rPr>
            </w:pPr>
            <w:r>
              <w:rPr>
                <w:i/>
                <w:iCs/>
                <w:sz w:val="21"/>
                <w:szCs w:val="18"/>
              </w:rPr>
              <w:t>PCA_LDS</w:t>
            </w:r>
          </w:p>
        </w:tc>
        <w:tc>
          <w:tcPr>
            <w:tcW w:w="1871" w:type="dxa"/>
            <w:tcBorders>
              <w:top w:val="nil"/>
              <w:left w:val="nil"/>
              <w:right w:val="nil"/>
              <w:insideV w:val="nil"/>
            </w:tcBorders>
            <w:shd w:color="auto" w:fill="auto" w:val="clear"/>
            <w:vAlign w:val="center"/>
          </w:tcPr>
          <w:p>
            <w:pPr>
              <w:pStyle w:val="Normal"/>
              <w:spacing w:before="80" w:after="0"/>
              <w:jc w:val="center"/>
              <w:rPr>
                <w:sz w:val="21"/>
              </w:rPr>
            </w:pPr>
            <w:r>
              <w:rPr>
                <w:i/>
                <w:iCs/>
                <w:sz w:val="21"/>
                <w:szCs w:val="18"/>
              </w:rPr>
              <w:t>LPA_LDS</w:t>
            </w:r>
          </w:p>
        </w:tc>
        <w:tc>
          <w:tcPr>
            <w:tcW w:w="2488" w:type="dxa"/>
            <w:tcBorders>
              <w:top w:val="nil"/>
              <w:left w:val="nil"/>
              <w:right w:val="nil"/>
              <w:insideV w:val="nil"/>
            </w:tcBorders>
            <w:shd w:color="auto" w:fill="auto" w:val="clear"/>
            <w:vAlign w:val="center"/>
          </w:tcPr>
          <w:p>
            <w:pPr>
              <w:pStyle w:val="Normal"/>
              <w:spacing w:before="80" w:after="0"/>
              <w:jc w:val="center"/>
              <w:rPr>
                <w:sz w:val="21"/>
              </w:rPr>
            </w:pPr>
            <w:r>
              <w:rPr>
                <w:i/>
                <w:iCs/>
                <w:sz w:val="21"/>
                <w:szCs w:val="18"/>
              </w:rPr>
              <w:t>RST_LDS</w:t>
            </w:r>
          </w:p>
        </w:tc>
      </w:tr>
      <w:tr>
        <w:trPr/>
        <w:tc>
          <w:tcPr>
            <w:tcW w:w="1651" w:type="dxa"/>
            <w:tcBorders>
              <w:top w:val="nil"/>
              <w:left w:val="nil"/>
              <w:bottom w:val="nil"/>
              <w:insideH w:val="nil"/>
            </w:tcBorders>
            <w:shd w:color="auto" w:fill="auto" w:val="clear"/>
            <w:vAlign w:val="center"/>
          </w:tcPr>
          <w:p>
            <w:pPr>
              <w:pStyle w:val="Normal"/>
              <w:spacing w:before="80" w:after="60"/>
              <w:jc w:val="right"/>
              <w:rPr>
                <w:sz w:val="20"/>
                <w:szCs w:val="20"/>
              </w:rPr>
            </w:pPr>
            <w:r>
              <w:rPr>
                <w:sz w:val="20"/>
                <w:szCs w:val="20"/>
              </w:rPr>
              <w:t>Complejidad</w:t>
            </w:r>
          </w:p>
        </w:tc>
        <w:tc>
          <w:tcPr>
            <w:tcW w:w="2968" w:type="dxa"/>
            <w:tcBorders>
              <w:top w:val="nil"/>
              <w:left w:val="nil"/>
              <w:bottom w:val="nil"/>
              <w:right w:val="nil"/>
              <w:insideH w:val="nil"/>
              <w:insideV w:val="nil"/>
            </w:tcBorders>
            <w:shd w:color="auto" w:fill="auto" w:val="clear"/>
            <w:tcMar>
              <w:left w:w="103" w:type="dxa"/>
            </w:tcMar>
            <w:vAlign w:val="center"/>
          </w:tcPr>
          <w:p>
            <w:pPr>
              <w:pStyle w:val="Normal"/>
              <w:spacing w:before="80" w:after="60"/>
              <w:jc w:val="center"/>
              <w:rPr/>
            </w:pPr>
            <w:r>
              <w:rPr>
                <w:i/>
              </w:rPr>
              <w:t>O(max(p·2</w:t>
            </w:r>
            <w:r>
              <w:rPr>
                <w:i/>
                <w:vertAlign w:val="superscript"/>
              </w:rPr>
              <w:t>p+1</w:t>
            </w:r>
            <w:r>
              <w:rPr>
                <w:i/>
              </w:rPr>
              <w:t>, n</w:t>
            </w:r>
            <w:r>
              <w:rPr>
                <w:i/>
                <w:vertAlign w:val="superscript"/>
              </w:rPr>
              <w:t>2</w:t>
            </w:r>
            <w:r>
              <w:rPr>
                <w:i/>
              </w:rPr>
              <w:t>·p, n·m·p</w:t>
            </w:r>
            <w:r>
              <w:rPr>
                <w:i/>
                <w:vertAlign w:val="superscript"/>
              </w:rPr>
              <w:t>2</w:t>
            </w:r>
            <w:r>
              <w:rPr>
                <w:i/>
              </w:rPr>
              <w:t>))</w:t>
            </w:r>
          </w:p>
        </w:tc>
        <w:tc>
          <w:tcPr>
            <w:tcW w:w="1871" w:type="dxa"/>
            <w:tcBorders>
              <w:top w:val="nil"/>
              <w:left w:val="nil"/>
              <w:bottom w:val="nil"/>
              <w:right w:val="nil"/>
              <w:insideH w:val="nil"/>
              <w:insideV w:val="nil"/>
            </w:tcBorders>
            <w:shd w:color="auto" w:fill="auto" w:val="clear"/>
            <w:vAlign w:val="center"/>
          </w:tcPr>
          <w:p>
            <w:pPr>
              <w:pStyle w:val="Normal"/>
              <w:spacing w:before="80" w:after="60"/>
              <w:jc w:val="center"/>
              <w:rPr/>
            </w:pPr>
            <w:r>
              <w:rPr>
                <w:i/>
              </w:rPr>
              <w:t>O(n</w:t>
            </w:r>
            <w:r>
              <w:rPr>
                <w:i/>
                <w:vertAlign w:val="superscript"/>
              </w:rPr>
              <w:t>3</w:t>
            </w:r>
            <w:r>
              <w:rPr>
                <w:i/>
              </w:rPr>
              <w:t>)</w:t>
            </w:r>
          </w:p>
        </w:tc>
        <w:tc>
          <w:tcPr>
            <w:tcW w:w="2488" w:type="dxa"/>
            <w:tcBorders>
              <w:top w:val="nil"/>
              <w:left w:val="nil"/>
              <w:bottom w:val="nil"/>
              <w:right w:val="nil"/>
              <w:insideH w:val="nil"/>
              <w:insideV w:val="nil"/>
            </w:tcBorders>
            <w:shd w:color="auto" w:fill="auto" w:val="clear"/>
            <w:vAlign w:val="center"/>
          </w:tcPr>
          <w:p>
            <w:pPr>
              <w:pStyle w:val="Normal"/>
              <w:spacing w:before="80" w:after="60"/>
              <w:jc w:val="center"/>
              <w:rPr/>
            </w:pPr>
            <w:r>
              <w:rPr>
                <w:i/>
              </w:rPr>
              <w:t>O(max (n</w:t>
            </w:r>
            <w:r>
              <w:rPr>
                <w:i/>
                <w:vertAlign w:val="superscript"/>
              </w:rPr>
              <w:t>2</w:t>
            </w:r>
            <w:r>
              <w:rPr>
                <w:i/>
              </w:rPr>
              <w:t>·p, n·m·p</w:t>
            </w:r>
            <w:r>
              <w:rPr>
                <w:i/>
                <w:vertAlign w:val="superscript"/>
              </w:rPr>
              <w:t>2</w:t>
            </w:r>
            <w:r>
              <w:rPr>
                <w:i/>
              </w:rPr>
              <w:t>))</w:t>
            </w:r>
          </w:p>
        </w:tc>
      </w:tr>
      <w:tr>
        <w:trPr/>
        <w:tc>
          <w:tcPr>
            <w:tcW w:w="1651" w:type="dxa"/>
            <w:tcBorders>
              <w:top w:val="nil"/>
              <w:left w:val="nil"/>
              <w:bottom w:val="nil"/>
              <w:insideH w:val="nil"/>
            </w:tcBorders>
            <w:shd w:color="auto" w:fill="auto" w:val="clear"/>
            <w:vAlign w:val="center"/>
          </w:tcPr>
          <w:p>
            <w:pPr>
              <w:pStyle w:val="Normal"/>
              <w:spacing w:before="80" w:after="60"/>
              <w:jc w:val="right"/>
              <w:rPr>
                <w:sz w:val="20"/>
                <w:szCs w:val="20"/>
              </w:rPr>
            </w:pPr>
            <w:r>
              <w:rPr>
                <w:sz w:val="20"/>
                <w:szCs w:val="20"/>
              </w:rPr>
              <w:t>Tipos de datos</w:t>
            </w:r>
          </w:p>
        </w:tc>
        <w:tc>
          <w:tcPr>
            <w:tcW w:w="2968" w:type="dxa"/>
            <w:tcBorders>
              <w:top w:val="nil"/>
              <w:left w:val="nil"/>
              <w:bottom w:val="nil"/>
              <w:right w:val="nil"/>
              <w:insideH w:val="nil"/>
              <w:insideV w:val="nil"/>
            </w:tcBorders>
            <w:shd w:color="auto" w:fill="auto" w:val="clear"/>
            <w:tcMar>
              <w:left w:w="103" w:type="dxa"/>
            </w:tcMar>
            <w:vAlign w:val="center"/>
          </w:tcPr>
          <w:p>
            <w:pPr>
              <w:pStyle w:val="Normal"/>
              <w:spacing w:before="80" w:after="60"/>
              <w:jc w:val="center"/>
              <w:rPr/>
            </w:pPr>
            <w:r>
              <w:rPr/>
              <w:t>Continuos</w:t>
            </w:r>
          </w:p>
        </w:tc>
        <w:tc>
          <w:tcPr>
            <w:tcW w:w="1871" w:type="dxa"/>
            <w:tcBorders>
              <w:top w:val="nil"/>
              <w:left w:val="nil"/>
              <w:bottom w:val="nil"/>
              <w:right w:val="nil"/>
              <w:insideH w:val="nil"/>
              <w:insideV w:val="nil"/>
            </w:tcBorders>
            <w:shd w:color="auto" w:fill="auto" w:val="clear"/>
            <w:vAlign w:val="center"/>
          </w:tcPr>
          <w:p>
            <w:pPr>
              <w:pStyle w:val="Normal"/>
              <w:spacing w:before="80" w:after="60"/>
              <w:jc w:val="center"/>
              <w:rPr/>
            </w:pPr>
            <w:r>
              <w:rPr/>
              <w:t>Heterogéneos</w:t>
            </w:r>
          </w:p>
        </w:tc>
        <w:tc>
          <w:tcPr>
            <w:tcW w:w="2488" w:type="dxa"/>
            <w:tcBorders>
              <w:top w:val="nil"/>
              <w:left w:val="nil"/>
              <w:bottom w:val="nil"/>
              <w:right w:val="nil"/>
              <w:insideH w:val="nil"/>
              <w:insideV w:val="nil"/>
            </w:tcBorders>
            <w:shd w:color="auto" w:fill="auto" w:val="clear"/>
            <w:vAlign w:val="center"/>
          </w:tcPr>
          <w:p>
            <w:pPr>
              <w:pStyle w:val="Normal"/>
              <w:spacing w:before="80" w:after="60"/>
              <w:jc w:val="center"/>
              <w:rPr/>
            </w:pPr>
            <w:r>
              <w:rPr/>
              <w:t>Heterogéneos</w:t>
            </w:r>
          </w:p>
        </w:tc>
      </w:tr>
      <w:tr>
        <w:trPr/>
        <w:tc>
          <w:tcPr>
            <w:tcW w:w="1651" w:type="dxa"/>
            <w:tcBorders>
              <w:top w:val="nil"/>
              <w:left w:val="nil"/>
              <w:bottom w:val="nil"/>
              <w:insideH w:val="nil"/>
            </w:tcBorders>
            <w:shd w:color="auto" w:fill="auto" w:val="clear"/>
            <w:vAlign w:val="center"/>
          </w:tcPr>
          <w:p>
            <w:pPr>
              <w:pStyle w:val="Normal"/>
              <w:spacing w:before="80" w:after="60"/>
              <w:jc w:val="right"/>
              <w:rPr>
                <w:sz w:val="20"/>
                <w:szCs w:val="20"/>
              </w:rPr>
            </w:pPr>
            <w:r>
              <w:rPr>
                <w:sz w:val="20"/>
                <w:szCs w:val="20"/>
              </w:rPr>
              <w:t>Capacidad de descubrir datos anómalos</w:t>
            </w:r>
          </w:p>
        </w:tc>
        <w:tc>
          <w:tcPr>
            <w:tcW w:w="2968" w:type="dxa"/>
            <w:tcBorders>
              <w:top w:val="nil"/>
              <w:left w:val="nil"/>
              <w:bottom w:val="nil"/>
              <w:right w:val="nil"/>
              <w:insideH w:val="nil"/>
              <w:insideV w:val="nil"/>
            </w:tcBorders>
            <w:shd w:color="auto" w:fill="auto" w:val="clear"/>
            <w:tcMar>
              <w:left w:w="103" w:type="dxa"/>
            </w:tcMar>
            <w:vAlign w:val="center"/>
          </w:tcPr>
          <w:p>
            <w:pPr>
              <w:pStyle w:val="Normal"/>
              <w:spacing w:before="80" w:after="60"/>
              <w:jc w:val="center"/>
              <w:rPr/>
            </w:pPr>
            <w:r>
              <w:rPr/>
              <w:t>No</w:t>
            </w:r>
          </w:p>
        </w:tc>
        <w:tc>
          <w:tcPr>
            <w:tcW w:w="1871" w:type="dxa"/>
            <w:tcBorders>
              <w:top w:val="nil"/>
              <w:left w:val="nil"/>
              <w:bottom w:val="nil"/>
              <w:right w:val="nil"/>
              <w:insideH w:val="nil"/>
              <w:insideV w:val="nil"/>
            </w:tcBorders>
            <w:shd w:color="auto" w:fill="auto" w:val="clear"/>
            <w:vAlign w:val="center"/>
          </w:tcPr>
          <w:p>
            <w:pPr>
              <w:pStyle w:val="Normal"/>
              <w:spacing w:before="80" w:after="60"/>
              <w:jc w:val="center"/>
              <w:rPr/>
            </w:pPr>
            <w:r>
              <w:rPr/>
              <w:t>Sí</w:t>
            </w:r>
          </w:p>
        </w:tc>
        <w:tc>
          <w:tcPr>
            <w:tcW w:w="2488" w:type="dxa"/>
            <w:tcBorders>
              <w:top w:val="nil"/>
              <w:left w:val="nil"/>
              <w:bottom w:val="nil"/>
              <w:right w:val="nil"/>
              <w:insideH w:val="nil"/>
              <w:insideV w:val="nil"/>
            </w:tcBorders>
            <w:shd w:color="auto" w:fill="auto" w:val="clear"/>
            <w:vAlign w:val="center"/>
          </w:tcPr>
          <w:p>
            <w:pPr>
              <w:pStyle w:val="Normal"/>
              <w:spacing w:before="80" w:after="60"/>
              <w:jc w:val="center"/>
              <w:rPr/>
            </w:pPr>
            <w:r>
              <w:rPr/>
              <w:t>Sí</w:t>
            </w:r>
          </w:p>
        </w:tc>
      </w:tr>
    </w:tbl>
    <w:p>
      <w:pPr>
        <w:pStyle w:val="Normal"/>
        <w:rPr/>
      </w:pPr>
      <w:r>
        <w:rPr/>
        <w:t xml:space="preserve">En particular, el </w:t>
      </w:r>
      <w:r>
        <w:rPr>
          <w:i/>
          <w:iCs/>
          <w:szCs w:val="18"/>
        </w:rPr>
        <w:t>PCA_LDS</w:t>
      </w:r>
      <w:r>
        <w:rPr/>
        <w:t xml:space="preserve"> aprovecha las potencialidades del algoritmo </w:t>
      </w:r>
      <w:r>
        <w:rPr>
          <w:i/>
          <w:iCs/>
        </w:rPr>
        <w:t>PCA</w:t>
      </w:r>
      <w:r>
        <w:rPr/>
        <w:t xml:space="preserve"> para identificar las relaciones entre variables como primer paso del proceso de construcción de resúmenes lingüísticos, de esta forma se reduce el espacio de búsqueda, una de las limitaciones presentes en los algoritmos que descubren resúmenes lingüísticos basados en reglas de asociación </w:t>
      </w:r>
      <w:r>
        <w:fldChar w:fldCharType="begin"/>
      </w:r>
      <w:r>
        <w:instrText>ADDIN ZOTERO_ITEM CSL_CITATION {"citationID":"x80qOBN4","properties":{"formattedCitation":"(Kacprzyk y Zadro\\uc0\\u380{}ny 2003)","plainCitation":"(Kacprzyk y Zadrożny 2003)","noteIndex":0},"citationItems":[{"id":"NJclqhNX/s9XdLmzK","uris":["http://zotero.org/users/local/rsuvzjK6/items/W6K9ANJX"],"uri":["http://zotero.org/users/local/rsuvzjK6/items/W6K9ANJX"],"itemData":{"id":9,"type":"paper-conference","container-title":"Fuzzy Systems, 2003. FUZZ'03. The 12th IEEE International Conference on","page":"702–707","publisher":"IEEE","title":"Linguistic summarization of data sets using association rules","volume":"1","author":[{"family":"Kacprzyk","given":"Janusz"},{"family":"Zadrożny","given":"Slawomir"}],"issued":{"date-parts":[["2003"]]}}}],"schema":"https://github.com/citation-style-language/schema/raw/master/csl-citation.json"}</w:instrText>
      </w:r>
      <w:r>
        <w:fldChar w:fldCharType="separate"/>
      </w:r>
      <w:bookmarkStart w:id="1220" w:name="__Fieldmark__9488_2067855929"/>
      <w:r>
        <w:rPr/>
      </w:r>
      <w:r>
        <w:rPr>
          <w:szCs w:val="24"/>
        </w:rPr>
        <w:t>(</w:t>
      </w:r>
      <w:bookmarkStart w:id="1221" w:name="__Fieldmark__8195_498839314"/>
      <w:r>
        <w:rPr>
          <w:szCs w:val="24"/>
        </w:rPr>
        <w:t>K</w:t>
      </w:r>
      <w:bookmarkStart w:id="1222" w:name="__Fieldmark__7267_998588997"/>
      <w:r>
        <w:rPr>
          <w:szCs w:val="24"/>
        </w:rPr>
        <w:t>a</w:t>
      </w:r>
      <w:bookmarkStart w:id="1223" w:name="__Fieldmark__11219_118561941"/>
      <w:r>
        <w:rPr>
          <w:szCs w:val="24"/>
        </w:rPr>
        <w:t>cprzyk y Zadrożny 2003)</w:t>
      </w:r>
      <w:r>
        <w:rPr/>
      </w:r>
      <w:r>
        <w:fldChar w:fldCharType="end"/>
      </w:r>
      <w:bookmarkEnd w:id="1220"/>
      <w:bookmarkEnd w:id="1221"/>
      <w:bookmarkEnd w:id="1222"/>
      <w:bookmarkEnd w:id="1223"/>
      <w:r>
        <w:rPr/>
        <w:t xml:space="preserve"> </w:t>
      </w:r>
      <w:r>
        <w:fldChar w:fldCharType="begin"/>
      </w:r>
      <w:r>
        <w:instrText>ADDIN ZOTERO_ITEM CSL_CITATION {"citationID":"4wZkmtii","properties":{"formattedCitation":"(Wilbik, Kaymak y Dijkman 2017)","plainCitation":"(Wilbik, Kaymak y Dijkman 2017)","noteIndex":0},"citationItems":[{"id":"NJclqhNX/oxiUFrrO","uris":["http://zotero.org/users/local/rsuvzjK6/items/IMZ9T5H2"],"uri":["http://zotero.org/users/local/rsuvzjK6/items/IMZ9T5H2"],"itemData":{"id":3258,"type":"paper-conference","abstract":"Generation of linguistic summaries that are compact, short and relevant to the user remains an open challenge. In this paper, we propose a novel method for improving the generation of linguistic summaries inspired by the a-priori algorithm and the degree of appropriateness. The method generates all true summaries with related predicates in the summarizer, resulting in a small set of linguistic summaries, whose presentation to the user is compact. We tested our method on three real world data sets. The results indicate that our proposed approach is a good alternative to previous methods suggested for generating linguistic summaries.","container-title":"2017 IEEE International Conference on Fuzzy Systems (FUZZ-IEEE)","DOI":"10.1109/FUZZ-IEEE.2017.8015752","page":"1–6","title":"A method for improving the generation of linguistic summaries","author":[{"family":"Wilbik","given":"Anna"},{"family":"Kaymak","given":"Uzay"},{"family":"Dijkman","given":"Remco M."}],"issued":{"date-parts":[["2017",7]]}}}],"schema":"https://github.com/citation-style-language/schema/raw/master/csl-citation.json"}</w:instrText>
      </w:r>
      <w:r>
        <w:fldChar w:fldCharType="separate"/>
      </w:r>
      <w:bookmarkStart w:id="1224" w:name="__Fieldmark__9503_2067855929"/>
      <w:r>
        <w:rPr/>
        <w:t>(</w:t>
      </w:r>
      <w:bookmarkStart w:id="1225" w:name="__Fieldmark__8206_498839314"/>
      <w:r>
        <w:rPr/>
        <w:t>W</w:t>
      </w:r>
      <w:bookmarkStart w:id="1226" w:name="__Fieldmark__7274_998588997"/>
      <w:r>
        <w:rPr/>
        <w:t>i</w:t>
      </w:r>
      <w:bookmarkStart w:id="1227" w:name="__Fieldmark__11224_118561941"/>
      <w:r>
        <w:rPr/>
        <w:t>lbik, Kaymak y Dijkman 2017)</w:t>
      </w:r>
      <w:r>
        <w:rPr/>
      </w:r>
      <w:r>
        <w:fldChar w:fldCharType="end"/>
      </w:r>
      <w:bookmarkEnd w:id="1224"/>
      <w:bookmarkEnd w:id="1225"/>
      <w:bookmarkEnd w:id="1226"/>
      <w:bookmarkEnd w:id="1227"/>
      <w:r>
        <w:rPr/>
        <w:t>. Este algoritmo parte de datos continuos, por lo que se identifica como oportunidad de mejora, el uso de otras técnicas que permitan la reducción del espacio de búsqueda partiendo de datos heterogéneos.</w:t>
      </w:r>
    </w:p>
    <w:p>
      <w:pPr>
        <w:pStyle w:val="Normal"/>
        <w:rPr/>
      </w:pPr>
      <w:r>
        <w:rPr/>
        <w:t xml:space="preserve">El algoritmo </w:t>
      </w:r>
      <w:bookmarkStart w:id="1228" w:name="_Hlk81296205"/>
      <w:r>
        <w:rPr>
          <w:i/>
        </w:rPr>
        <w:t>LPA_LDS</w:t>
      </w:r>
      <w:r>
        <w:rPr/>
        <w:t xml:space="preserve"> </w:t>
      </w:r>
      <w:bookmarkEnd w:id="1228"/>
      <w:r>
        <w:rPr/>
        <w:t xml:space="preserve">aprovecha las potencialidades de los algoritmos de aprendizaje de grafos probabilísticos. En este sentido existen varios algoritmos que pueden ser empleados para el descubrimiento de los grafos probabilísticos, siendo el </w:t>
      </w:r>
      <w:r>
        <w:rPr>
          <w:i/>
          <w:iCs/>
        </w:rPr>
        <w:t>LPA</w:t>
      </w:r>
      <w:r>
        <w:rPr/>
        <w:t xml:space="preserve"> la variante que se emplea en la </w:t>
      </w:r>
      <w:r>
        <w:rPr>
          <w:rFonts w:cs="Times New Roman"/>
        </w:rPr>
        <w:t xml:space="preserve">experimentación de esta investigación por las siguientes razones: mejora la eficiencia respecto a los algoritmos que le preceden y </w:t>
      </w:r>
      <w:r>
        <w:rPr/>
        <w:t xml:space="preserve">resuelve la dirección de las dependencias </w:t>
      </w:r>
      <w:r>
        <w:fldChar w:fldCharType="begin"/>
      </w:r>
      <w:r>
        <w:instrText>ADDIN ZOTERO_ITEM CSL_CITATION {"citationID":"DIDUu0x9","properties":{"formattedCitation":"(Soto 2003)","plainCitation":"(Soto 2003)","noteIndex":0},"citationItems":[{"id":"NJclqhNX/xzCfhuHa","uris":["http://zotero.org/users/local/rsuvzjK6/items/K9TL5QNH"],"uri":["http://zotero.org/users/local/rsuvzjK6/items/K9TL5QNH"],"itemData":{"id":3477,"type":"thesis","event-place":"Universidad de La Habana, Cuba","genre":"Doctorado","number-of-pages":"100","publisher":"Instituto de Cibernética, Matemática y Física. Departamento Matemática Interdisciplinaria","publisher-place":"Universidad de La Habana, Cuba","title":"A single connected factorized distribution algorithm and its cost of evaluation","author":[{"family":"Soto","given":"Marta"}],"issued":{"date-parts":[["2003"]]}}}],"schema":"https://github.com/citation-style-language/schema/raw/master/csl-citation.json"}</w:instrText>
      </w:r>
      <w:r>
        <w:fldChar w:fldCharType="separate"/>
      </w:r>
      <w:bookmarkStart w:id="1229" w:name="__Fieldmark__9565_2067855929"/>
      <w:r>
        <w:rPr/>
        <w:t>(</w:t>
      </w:r>
      <w:bookmarkStart w:id="1230" w:name="__Fieldmark__8261_498839314"/>
      <w:r>
        <w:rPr/>
        <w:t>S</w:t>
      </w:r>
      <w:bookmarkStart w:id="1231" w:name="__Fieldmark__7325_998588997"/>
      <w:r>
        <w:rPr/>
        <w:t>o</w:t>
      </w:r>
      <w:bookmarkStart w:id="1232" w:name="__Fieldmark__11284_118561941"/>
      <w:r>
        <w:rPr/>
        <w:t>to 2003)</w:t>
      </w:r>
      <w:r>
        <w:rPr/>
      </w:r>
      <w:r>
        <w:fldChar w:fldCharType="end"/>
      </w:r>
      <w:bookmarkEnd w:id="1229"/>
      <w:bookmarkEnd w:id="1230"/>
      <w:bookmarkEnd w:id="1231"/>
      <w:bookmarkEnd w:id="1232"/>
      <w:r>
        <w:rPr>
          <w:i/>
        </w:rPr>
        <w:t xml:space="preserve">, </w:t>
      </w:r>
      <w:r>
        <w:fldChar w:fldCharType="begin"/>
      </w:r>
      <w:r>
        <w:instrText>ADDIN ZOTERO_ITEM CSL_CITATION {"citationID":"aw2E48pT","properties":{"formattedCitation":"(Soto y Ochoa 2000)","plainCitation":"(Soto y Ochoa 2000)","noteIndex":0},"citationItems":[{"id":"NJclqhNX/GqNb2O8O","uris":["http://zotero.org/users/local/EJ15hJE2/items/B2FZI855"],"uri":["http://zotero.org/users/local/EJ15hJE2/items/B2FZI855"],"itemData":{"id":440,"type":"paper-conference","abstract":"The class of factorized distribution algorithms (FDA) uses factorizations of the joint distribution of the best points. At each stage of the evolution, PDA algorithms build a model from which new points are efficiently sampled. This paper explores the class of single connected factorizations: polytrees. Using this class, we gain in efficiency and simplicity in the procedures for learning the networks. The price we have to pay is a less expressive power. However, sometimes the representation power of polytrees is adequate for optimization purposes.","container-title":"Proceedings of the 2000 Congress on Evolutionary Computation. CEC00 (Cat. No.00TH8512)","DOI":"10.1109/CEC.2000.870300","event":"Proceedings of the 2000 Congress on Evolutionary Computation. CEC00 (Cat. No.00TH8512)","page":"232-237 vol.1","source":"IEEE Xplore","title":"A factorized distribution algorithm based on polytrees","volume":"1","author":[{"family":"Soto","given":"M."},{"family":"Ochoa","given":"A."}],"issued":{"date-parts":[["2000",7]]}}}],"schema":"https://github.com/citation-style-language/schema/raw/master/csl-citation.json"}</w:instrText>
      </w:r>
      <w:r>
        <w:fldChar w:fldCharType="separate"/>
      </w:r>
      <w:bookmarkStart w:id="1233" w:name="__Fieldmark__9580_2067855929"/>
      <w:r>
        <w:rPr>
          <w:i/>
        </w:rPr>
        <w:t>(</w:t>
      </w:r>
      <w:bookmarkStart w:id="1234" w:name="__Fieldmark__8272_498839314"/>
      <w:r>
        <w:rPr>
          <w:i/>
        </w:rPr>
        <w:t>S</w:t>
      </w:r>
      <w:bookmarkStart w:id="1235" w:name="__Fieldmark__7332_998588997"/>
      <w:r>
        <w:rPr>
          <w:i/>
        </w:rPr>
        <w:t>o</w:t>
      </w:r>
      <w:bookmarkStart w:id="1236" w:name="__Fieldmark__11289_118561941"/>
      <w:r>
        <w:rPr>
          <w:i/>
        </w:rPr>
        <w:t>to y Ochoa 2000)</w:t>
      </w:r>
      <w:r>
        <w:rPr>
          <w:i/>
        </w:rPr>
      </w:r>
      <w:r>
        <w:fldChar w:fldCharType="end"/>
      </w:r>
      <w:bookmarkEnd w:id="1233"/>
      <w:bookmarkEnd w:id="1234"/>
      <w:bookmarkEnd w:id="1235"/>
      <w:bookmarkEnd w:id="1236"/>
      <w:r>
        <w:rPr/>
        <w:t>. Este algoritmo, por su naturaleza, es capaz de descubrir relaciones fuertes entre variables, aunque sean poco frecuentes en la base de datos; esta característica permite su uso también para el descubrimiento de datos anómalos.</w:t>
      </w:r>
    </w:p>
    <w:p>
      <w:pPr>
        <w:pStyle w:val="Normal"/>
        <w:rPr/>
      </w:pPr>
      <w:r>
        <w:rPr/>
        <w:t xml:space="preserve">El algoritmo </w:t>
      </w:r>
      <w:r>
        <w:rPr>
          <w:i/>
        </w:rPr>
        <w:t>RST_LDS</w:t>
      </w:r>
      <w:r>
        <w:rPr/>
        <w:t xml:space="preserve"> aprovecha los principios de dependencia en grado </w:t>
      </w:r>
      <w:r>
        <w:rPr>
          <w:i/>
        </w:rPr>
        <w:t xml:space="preserve">k </w:t>
      </w:r>
      <w:r>
        <w:rPr/>
        <w:t xml:space="preserve">de la teoría de los conjuntos aproximados, para el descubrimiento de relaciones entre conceptos que luego son transformadas en resúmenes lingüísticos. Al igual que el </w:t>
      </w:r>
      <w:r>
        <w:rPr>
          <w:i/>
        </w:rPr>
        <w:t>LPA_LDS</w:t>
      </w:r>
      <w:r>
        <w:rPr/>
        <w:t xml:space="preserve">, es capaz de identificar relaciones fuertes entre variables, tanto en situaciones con alta frecuencia de aparición en la base de datos, como en situaciones con baja frecuencia de aparición. Una de las ventajas de los algoritmos </w:t>
      </w:r>
      <w:r>
        <w:rPr>
          <w:i/>
        </w:rPr>
        <w:t>RST_LDS</w:t>
      </w:r>
      <w:r>
        <w:rPr/>
        <w:t xml:space="preserve"> y </w:t>
      </w:r>
      <w:r>
        <w:rPr>
          <w:i/>
        </w:rPr>
        <w:t xml:space="preserve">LPA_LDS </w:t>
      </w:r>
      <w:r>
        <w:rPr/>
        <w:t xml:space="preserve">respecto al </w:t>
      </w:r>
      <w:r>
        <w:rPr>
          <w:i/>
          <w:iCs/>
          <w:szCs w:val="18"/>
        </w:rPr>
        <w:t xml:space="preserve">PCA_LDS </w:t>
      </w:r>
      <w:r>
        <w:rPr>
          <w:iCs/>
          <w:szCs w:val="18"/>
        </w:rPr>
        <w:t>es que permiten el trabajo con datos heterogéneos.</w:t>
      </w:r>
    </w:p>
    <w:p>
      <w:pPr>
        <w:pStyle w:val="Normal"/>
        <w:rPr/>
      </w:pPr>
      <w:r>
        <w:rPr/>
        <w:t xml:space="preserve">En la </w:t>
      </w:r>
      <w:r>
        <w:rPr/>
        <w:fldChar w:fldCharType="begin"/>
      </w:r>
      <w:r>
        <w:instrText> REF _Ref69994707 \h </w:instrText>
      </w:r>
      <w:r>
        <w:fldChar w:fldCharType="separate"/>
      </w:r>
      <w:r>
        <w:t>Tabla 5</w:t>
      </w:r>
      <w:r>
        <w:fldChar w:fldCharType="end"/>
      </w:r>
      <w:r>
        <w:rPr/>
        <w:t xml:space="preserve"> se puede observar que el algoritmo de mayor complejidad entre los propuestos es el </w:t>
      </w:r>
      <w:r>
        <w:rPr>
          <w:i/>
          <w:iCs/>
          <w:szCs w:val="18"/>
        </w:rPr>
        <w:t xml:space="preserve">LPA_LDS, </w:t>
      </w:r>
      <w:r>
        <w:rPr>
          <w:iCs/>
          <w:szCs w:val="18"/>
        </w:rPr>
        <w:t>su complejidad depende fundamentalmente de la cantidad de objetos de la base de datos (</w:t>
      </w:r>
      <w:r>
        <w:rPr>
          <w:i/>
          <w:iCs/>
          <w:szCs w:val="18"/>
        </w:rPr>
        <w:t>n)</w:t>
      </w:r>
      <w:r>
        <w:rPr>
          <w:iCs/>
          <w:szCs w:val="18"/>
        </w:rPr>
        <w:t>;</w:t>
      </w:r>
      <w:r>
        <w:rPr>
          <w:i/>
          <w:iCs/>
          <w:szCs w:val="18"/>
        </w:rPr>
        <w:t xml:space="preserve"> </w:t>
      </w:r>
      <w:r>
        <w:rPr>
          <w:iCs/>
          <w:szCs w:val="18"/>
        </w:rPr>
        <w:t xml:space="preserve">mientras que la complejidad de los algoritmos </w:t>
      </w:r>
      <w:r>
        <w:rPr>
          <w:i/>
          <w:iCs/>
          <w:szCs w:val="18"/>
        </w:rPr>
        <w:t xml:space="preserve">PCA_LDS </w:t>
      </w:r>
      <w:r>
        <w:rPr>
          <w:iCs/>
          <w:szCs w:val="18"/>
        </w:rPr>
        <w:t>y</w:t>
      </w:r>
      <w:r>
        <w:rPr>
          <w:i/>
          <w:iCs/>
          <w:szCs w:val="18"/>
        </w:rPr>
        <w:t xml:space="preserve"> RST_LDS </w:t>
      </w:r>
      <w:r>
        <w:rPr>
          <w:iCs/>
          <w:szCs w:val="18"/>
        </w:rPr>
        <w:t>dependen de la cantidad de objetos de la base de datos (</w:t>
      </w:r>
      <w:r>
        <w:rPr>
          <w:i/>
          <w:iCs/>
          <w:szCs w:val="18"/>
        </w:rPr>
        <w:t>n</w:t>
      </w:r>
      <w:r>
        <w:rPr>
          <w:iCs/>
          <w:szCs w:val="18"/>
        </w:rPr>
        <w:t>) y de la cantidad de variables (</w:t>
      </w:r>
      <w:r>
        <w:rPr>
          <w:i/>
          <w:iCs/>
          <w:szCs w:val="18"/>
        </w:rPr>
        <w:t>p</w:t>
      </w:r>
      <w:r>
        <w:rPr>
          <w:iCs/>
          <w:szCs w:val="18"/>
        </w:rPr>
        <w:t xml:space="preserve">), siendo </w:t>
      </w:r>
      <w:r>
        <w:rPr>
          <w:i/>
          <w:iCs/>
          <w:szCs w:val="18"/>
        </w:rPr>
        <w:t>RST_LDS</w:t>
      </w:r>
      <w:r>
        <w:rPr>
          <w:iCs/>
          <w:szCs w:val="18"/>
        </w:rPr>
        <w:t xml:space="preserve"> el de menor complejidad.</w:t>
      </w:r>
    </w:p>
    <w:p>
      <w:pPr>
        <w:pStyle w:val="Normal"/>
        <w:rPr/>
      </w:pPr>
      <w:r>
        <w:rPr/>
        <w:t xml:space="preserve">Los algoritmos propuestos para la generación de resúmenes lingüísticos, presentan una complejidad inferior a otros algoritmos reportados en la bibliografía basados en el uso de metaheurísticas </w:t>
      </w:r>
      <w:r>
        <w:fldChar w:fldCharType="begin"/>
      </w:r>
      <w:r>
        <w:instrText>ADDIN ZOTERO_ITEM CSL_CITATION {"citationID":"eSS3Zlbg","properties":{"formattedCitation":"(Donis-D\\uc0\\u237{}az, Bello y Kacprzyk 2015)","plainCitation":"(Donis-Díaz, Bello y Kacprzyk 2015)","noteIndex":0},"citationItems":[{"id":"NJclqhNX/4naOJElr","uris":["http://zotero.org/users/local/rsuvzjK6/items/7DS66S9U"],"uri":["http://zotero.org/users/local/rsuvzjK6/items/7DS66S9U"],"itemData":{"id":3264,"type":"paper-conference","abstract":"Some models using metaheuristics based in an “improvement of solutions” procedure, specifically Genetic Algorithms (GA), have been proposed previously to the linguistic summarization of numerical data (LDS). In the present work is proposed a new model for LDS based in Ant Colony Optimization (ACO), a metaheuristic that use a “construction of solution” procedure. Both models are compared in LDS over creep data. Results show how the ACO based model overcomes the measures of goodness of the final summary but fails to improve the results of the GA based model in relation to the diversity of the summary. Features of both models are considered to explain the results.","collection-title":"Advances in Intelligent Systems and Computing","container-title":"Intelligent Systems'2014","DOI":"10.1007/978-3-319-11313-5_8","event-place":"Cham","ISBN":"978-3-319-11313-5","language":"en","page":"81–92","publisher":"Springer International Publishing","publisher-place":"Cham","title":"Using Ant Colony Optimization and Genetic Algorithms for the Linguistic Summarization of Creep Data","author":[{"family":"Donis-Díaz","given":"Carlos A."},{"family":"Bello","given":"Rafael"},{"family":"Kacprzyk","given":"Janusz"}],"editor":[{"family":"Angelov","given":"P."},{"family":"Atanassov","given":"K.T."},{"family":"Doukovska","given":"L."},{"family":"Hadjiski","given":"M."},{"family":"Jotsov","given":"V."},{"family":"Kacprzyk","given":"J."},{"family":"Kasabov","given":"N."},{"family":"Sotirov","given":"S."},{"family":"Szmidt","given":"E."},{"family":"Zadrożny","given":"S."}],"issued":{"date-parts":[["2015"]]}}}],"schema":"https://github.com/citation-style-language/schema/raw/master/csl-citation.json"}</w:instrText>
      </w:r>
      <w:r>
        <w:fldChar w:fldCharType="separate"/>
      </w:r>
      <w:bookmarkStart w:id="1237" w:name="__Fieldmark__9637_2067855929"/>
      <w:r>
        <w:rPr/>
      </w:r>
      <w:r>
        <w:rPr>
          <w:szCs w:val="24"/>
        </w:rPr>
        <w:t>(</w:t>
      </w:r>
      <w:bookmarkStart w:id="1238" w:name="__Fieldmark__8319_498839314"/>
      <w:r>
        <w:rPr>
          <w:szCs w:val="24"/>
        </w:rPr>
        <w:t>D</w:t>
      </w:r>
      <w:bookmarkStart w:id="1239" w:name="__Fieldmark__7375_998588997"/>
      <w:r>
        <w:rPr>
          <w:szCs w:val="24"/>
        </w:rPr>
        <w:t>o</w:t>
      </w:r>
      <w:bookmarkStart w:id="1240" w:name="__Fieldmark__11354_118561941"/>
      <w:r>
        <w:rPr>
          <w:szCs w:val="24"/>
        </w:rPr>
        <w:t>nis-Díaz, Bello y Kacprzyk 2015)</w:t>
      </w:r>
      <w:r>
        <w:rPr/>
      </w:r>
      <w:r>
        <w:fldChar w:fldCharType="end"/>
      </w:r>
      <w:bookmarkEnd w:id="1237"/>
      <w:bookmarkEnd w:id="1238"/>
      <w:bookmarkEnd w:id="1239"/>
      <w:bookmarkEnd w:id="1240"/>
      <w:r>
        <w:rPr/>
        <w:t xml:space="preserve"> </w:t>
      </w:r>
      <w:r>
        <w:fldChar w:fldCharType="begin"/>
      </w:r>
      <w:r>
        <w:instrText>ADDIN ZOTERO_ITEM CSL_CITATION {"citationID":"Dhn2Use5","properties":{"formattedCitation":"(George et\\uc0\\u160{}al. 1996)","plainCitation":"(George et al. 1996)","noteIndex":0},"citationItems":[{"id":"NJclqhNX/jHm2LdnZ","uris":["http://zotero.org/users/local/rsuvzjK6/items/I82VLKI2"],"uri":["http://zotero.org/users/local/rsuvzjK6/items/I82VLKI2"],"itemData":{"id":3309,"type":"article-journal","container-title":"Genetic Algorithms and Soft Computing","page":"599–611","title":"Data summarization using genetic algorithms and fuzzy logic","author":[{"family":"George","given":"R."},{"family":"Srikant","given":"R."},{"family":"Herrera","given":"F."},{"family":"Verdegay","given":"J.L."}],"issued":{"date-parts":[["1996"]]}}}],"schema":"https://github.com/citation-style-language/schema/raw/master/csl-citation.json"}</w:instrText>
      </w:r>
      <w:r>
        <w:fldChar w:fldCharType="separate"/>
      </w:r>
      <w:bookmarkStart w:id="1241" w:name="__Fieldmark__9652_2067855929"/>
      <w:r>
        <w:rPr/>
      </w:r>
      <w:r>
        <w:rPr>
          <w:szCs w:val="24"/>
        </w:rPr>
        <w:t>(</w:t>
      </w:r>
      <w:bookmarkStart w:id="1242" w:name="__Fieldmark__8330_498839314"/>
      <w:r>
        <w:rPr>
          <w:szCs w:val="24"/>
        </w:rPr>
        <w:t>G</w:t>
      </w:r>
      <w:bookmarkStart w:id="1243" w:name="__Fieldmark__7382_998588997"/>
      <w:r>
        <w:rPr>
          <w:szCs w:val="24"/>
        </w:rPr>
        <w:t>e</w:t>
      </w:r>
      <w:bookmarkStart w:id="1244" w:name="__Fieldmark__11359_118561941"/>
      <w:r>
        <w:rPr>
          <w:szCs w:val="24"/>
        </w:rPr>
        <w:t>orge et al. 1996)</w:t>
      </w:r>
      <w:r>
        <w:rPr/>
      </w:r>
      <w:r>
        <w:fldChar w:fldCharType="end"/>
      </w:r>
      <w:bookmarkEnd w:id="1241"/>
      <w:bookmarkEnd w:id="1242"/>
      <w:bookmarkEnd w:id="1243"/>
      <w:bookmarkEnd w:id="1244"/>
      <w:r>
        <w:rPr/>
        <w:t xml:space="preserve"> </w:t>
      </w:r>
      <w:r>
        <w:fldChar w:fldCharType="begin"/>
      </w:r>
      <w:r>
        <w:instrText>ADDIN ZOTERO_ITEM CSL_CITATION {"citationID":"emI3YyYm","properties":{"formattedCitation":"(Kacprzyk y Strykowski 1999)","plainCitation":"(Kacprzyk y Strykowski 1999)","noteIndex":0},"citationItems":[{"id":"NJclqhNX/f5cwgFPZ","uris":["http://zotero.org/users/local/rsuvzjK6/items/82TIG4HA"],"uri":["http://zotero.org/users/local/rsuvzjK6/items/82TIG4HA"],"itemData":{"id":3359,"type":"article-journal","abstract":"We present an implementation (as an add-in to the DBMS) of fuzzy linguistic summaries of sales data of a small-to-medium size computer retailer in Southern Poland. The system derives linguistic summaries exemplified by \"about a half of sales of accessories is in autumn\" or \"about 1/3 of sales of network elements is in the beginning of the year\". An inherent imprecision of natural language is accounted for by using elements of fuzzy logic, and to effectively and efficiently search the company's database, a genetic algorithm is employed. The fitting function represents a multiaspect measure of the quality of a linguistic summary. The results obtained turned out to be useful to the owner, and suggested some changes in sales policy, determining the staff size, negotiation of commissions, etc. A combination of fuzzy logic and a genetic algorithm proved to be effective, efficient and synergistic.","container-title":"Proceedings of the 1999 Congress on Evolutionary Computation-CEC99 (Cat. No. 99TH8406)","DOI":"10.1109/CEC.1999.782523","page":"937–943","title":"Linguistic summaries of sales data at a computer retailer via fuzzy logic and a genetic algorithm","volume":"2","author":[{"family":"Kacprzyk","given":"J"},{"family":"Strykowski","given":"P"}],"issued":{"date-parts":[["1999"]]}}}],"schema":"https://github.com/citation-style-language/schema/raw/master/csl-citation.json"}</w:instrText>
      </w:r>
      <w:r>
        <w:fldChar w:fldCharType="separate"/>
      </w:r>
      <w:bookmarkStart w:id="1245" w:name="__Fieldmark__9667_2067855929"/>
      <w:r>
        <w:rPr/>
        <w:t>(</w:t>
      </w:r>
      <w:bookmarkStart w:id="1246" w:name="__Fieldmark__8341_498839314"/>
      <w:r>
        <w:rPr/>
        <w:t>K</w:t>
      </w:r>
      <w:bookmarkStart w:id="1247" w:name="__Fieldmark__7389_998588997"/>
      <w:r>
        <w:rPr/>
        <w:t>a</w:t>
      </w:r>
      <w:bookmarkStart w:id="1248" w:name="__Fieldmark__11364_118561941"/>
      <w:r>
        <w:rPr/>
        <w:t>cprzyk y Strykowski 1999)</w:t>
      </w:r>
      <w:r>
        <w:rPr/>
      </w:r>
      <w:r>
        <w:fldChar w:fldCharType="end"/>
      </w:r>
      <w:bookmarkEnd w:id="1245"/>
      <w:bookmarkEnd w:id="1246"/>
      <w:bookmarkEnd w:id="1247"/>
      <w:bookmarkEnd w:id="1248"/>
      <w:r>
        <w:rPr/>
        <w:t xml:space="preserve"> </w:t>
      </w:r>
      <w:r>
        <w:fldChar w:fldCharType="begin"/>
      </w:r>
      <w:r>
        <w:instrText>ADDIN ZOTERO_ITEM CSL_CITATION {"citationID":"a2pk0u22om6","properties":{"formattedCitation":"(Donis-D\\uc0\\u237{}az, Muro, et\\uc0\\u160{}al. 2014)","plainCitation":"(Donis-Díaz, Muro, et al. 2014)","noteIndex":0},"citationItems":[{"id":3152,"uris":["http://zotero.org/users/local/EJ15hJE2/items/AV3MBLF8"],"uri":["http://zotero.org/users/local/EJ15hJE2/items/AV3MBLF8"],"itemData":{"id":3152,"type":"article-journal","abstract":"A hybrid model of Genetic Algorithm (GA) with local search to discover linguistic summaries and its application into the creep data analysis is proposed in this paper. Two specifics operator and a called Diversity term in the fitness function are introduced by the model to guarantees summaries with high quality and a wide range of information respectively. The experiments show that the hybrid model improves the results compared to those obtained using the classical model of GA. The quality of the summaries was verified by the interpretation of some of them from the theoretical point of view.","container-title":"Expert Systems with Applications","DOI":"10.1016/j.eswa.2013.09.002","ISSN":"0957-4174","issue":"4, Part 2","language":"en","page":"2035–2042","title":"A hybrid model of genetic algorithm with local search to discover linguistic data summaries from creep data","volume":"41","author":[{"family":"Donis-Díaz","given":"C. A."},{"family":"Muro","given":"A. G."},{"family":"Bello-Pérez","given":"R."},{"family":"Morales","given":"E. V."}],"issued":{"date-parts":[["2014",3]]}}}],"schema":"https://github.com/citation-style-language/schema/raw/master/csl-citation.json"}</w:instrText>
      </w:r>
      <w:r>
        <w:fldChar w:fldCharType="separate"/>
      </w:r>
      <w:bookmarkStart w:id="1249" w:name="__Fieldmark__9682_2067855929"/>
      <w:r>
        <w:rPr/>
      </w:r>
      <w:r>
        <w:rPr>
          <w:szCs w:val="24"/>
        </w:rPr>
        <w:t>(</w:t>
      </w:r>
      <w:bookmarkStart w:id="1250" w:name="__Fieldmark__8352_498839314"/>
      <w:r>
        <w:rPr>
          <w:szCs w:val="24"/>
        </w:rPr>
        <w:t>D</w:t>
      </w:r>
      <w:bookmarkStart w:id="1251" w:name="__Fieldmark__7396_998588997"/>
      <w:r>
        <w:rPr>
          <w:szCs w:val="24"/>
        </w:rPr>
        <w:t>o</w:t>
      </w:r>
      <w:bookmarkStart w:id="1252" w:name="__Fieldmark__11369_118561941"/>
      <w:r>
        <w:rPr>
          <w:szCs w:val="24"/>
        </w:rPr>
        <w:t>nis-Díaz, Muro, et al. 2014)</w:t>
      </w:r>
      <w:r>
        <w:rPr/>
      </w:r>
      <w:r>
        <w:fldChar w:fldCharType="end"/>
      </w:r>
      <w:bookmarkEnd w:id="1249"/>
      <w:bookmarkEnd w:id="1250"/>
      <w:bookmarkEnd w:id="1251"/>
      <w:bookmarkEnd w:id="1252"/>
      <w:r>
        <w:rPr/>
        <w:t xml:space="preserve"> </w:t>
      </w:r>
      <w:r>
        <w:fldChar w:fldCharType="begin"/>
      </w:r>
      <w:r>
        <w:instrText>ADDIN ZOTERO_ITEM CSL_CITATION {"citationID":"a26vn1ugr9t","properties":{"formattedCitation":"(Donis-D\\uc0\\u237{}az, Bello, et\\uc0\\u160{}al. 2014)","plainCitation":"(Donis-Díaz, Bello, et al. 2014)","noteIndex":0},"citationItems":[{"id":3149,"uris":["http://zotero.org/users/local/EJ15hJE2/items/T2JFREYY"],"uri":["http://zotero.org/users/local/EJ15hJE2/items/T2JFREYY"],"itemData":{"id":3149,"type":"article-journal","container-title":"Czasopismo Techniczne","DOI":"10.4467/2353737XCT.14.019.2602","issue":"Automatyka Zeszyt 2 AC (10) 2013","page":"3–12","title":"Linguistic data summarization using an enhanced genetic algorithm","volume":"2013","author":[{"family":"Donis-Díaz","given":"C. A."},{"family":"Bello","given":"Rafael"},{"family":"Kacprzyk","given":"Janusz"},{"literal":"others"}],"issued":{"date-parts":[["2014"]]}}}],"schema":"https://github.com/citation-style-language/schema/raw/master/csl-citation.json"}</w:instrText>
      </w:r>
      <w:r>
        <w:fldChar w:fldCharType="separate"/>
      </w:r>
      <w:bookmarkStart w:id="1253" w:name="__Fieldmark__9697_2067855929"/>
      <w:r>
        <w:rPr/>
      </w:r>
      <w:r>
        <w:rPr>
          <w:szCs w:val="24"/>
        </w:rPr>
        <w:t>(</w:t>
      </w:r>
      <w:bookmarkStart w:id="1254" w:name="__Fieldmark__8363_498839314"/>
      <w:r>
        <w:rPr>
          <w:szCs w:val="24"/>
        </w:rPr>
        <w:t>D</w:t>
      </w:r>
      <w:bookmarkStart w:id="1255" w:name="__Fieldmark__7403_998588997"/>
      <w:r>
        <w:rPr>
          <w:szCs w:val="24"/>
        </w:rPr>
        <w:t>o</w:t>
      </w:r>
      <w:bookmarkStart w:id="1256" w:name="__Fieldmark__11374_118561941"/>
      <w:r>
        <w:rPr>
          <w:szCs w:val="24"/>
        </w:rPr>
        <w:t>nis-Díaz, Bello, et al. 2014)</w:t>
      </w:r>
      <w:r>
        <w:rPr/>
      </w:r>
      <w:r>
        <w:fldChar w:fldCharType="end"/>
      </w:r>
      <w:bookmarkEnd w:id="1253"/>
      <w:bookmarkEnd w:id="1254"/>
      <w:bookmarkEnd w:id="1255"/>
      <w:bookmarkEnd w:id="1256"/>
      <w:r>
        <w:rPr/>
        <w:t>. Además, los algoritmos propuestos están concebidos para ser integrados con lenguajes naturales controlados para facilitar la construcción de resúmenes lingüísticos en diferentes idiomas, garantizando su carácter multilingüe.</w:t>
      </w:r>
    </w:p>
    <w:p>
      <w:pPr>
        <w:pStyle w:val="Heading2"/>
        <w:numPr>
          <w:ilvl w:val="1"/>
          <w:numId w:val="80"/>
        </w:numPr>
        <w:rPr/>
      </w:pPr>
      <w:bookmarkStart w:id="1257" w:name="_Toc58849555"/>
      <w:bookmarkStart w:id="1258" w:name="_Toc84598936"/>
      <w:bookmarkEnd w:id="1257"/>
      <w:bookmarkEnd w:id="1258"/>
      <w:r>
        <w:rPr/>
        <w:t>Conclusiones del capítulo</w:t>
      </w:r>
    </w:p>
    <w:p>
      <w:pPr>
        <w:pStyle w:val="Normal"/>
        <w:spacing w:before="120" w:after="120"/>
        <w:rPr/>
      </w:pPr>
      <w:r>
        <w:rPr/>
        <w:t xml:space="preserve">En este capítulo se proponen varios algoritmos para la generación de resúmenes lingüísticos que combinan diferentes técnicas de </w:t>
      </w:r>
      <w:r>
        <w:rPr>
          <w:i/>
          <w:iCs/>
        </w:rPr>
        <w:t>soft computing</w:t>
      </w:r>
      <w:r>
        <w:rPr/>
        <w:t xml:space="preserve">, se arriba a las siguientes conclusiones: </w:t>
      </w:r>
    </w:p>
    <w:p>
      <w:pPr>
        <w:pStyle w:val="ListParagraph"/>
        <w:numPr>
          <w:ilvl w:val="0"/>
          <w:numId w:val="16"/>
        </w:numPr>
        <w:spacing w:before="120" w:after="120"/>
        <w:ind w:left="426" w:hanging="360"/>
        <w:rPr/>
      </w:pPr>
      <w:r>
        <w:rPr>
          <w:szCs w:val="24"/>
          <w:lang w:val="es-ES"/>
        </w:rPr>
        <w:t>E</w:t>
      </w:r>
      <w:r>
        <w:rPr>
          <w:szCs w:val="24"/>
        </w:rPr>
        <w:t xml:space="preserve">l algoritmo </w:t>
      </w:r>
      <w:r>
        <w:rPr>
          <w:i/>
          <w:szCs w:val="24"/>
        </w:rPr>
        <w:t>PCA_LDS</w:t>
      </w:r>
      <w:r>
        <w:rPr>
          <w:szCs w:val="24"/>
        </w:rPr>
        <w:t xml:space="preserve"> </w:t>
      </w:r>
      <w:r>
        <w:rPr/>
        <w:t xml:space="preserve">combina la generación de reglas de asociación </w:t>
      </w:r>
      <w:r>
        <w:rPr>
          <w:lang w:val="es-ES"/>
        </w:rPr>
        <w:t xml:space="preserve">con el </w:t>
      </w:r>
      <w:r>
        <w:rPr/>
        <w:t>análisis</w:t>
      </w:r>
      <w:r>
        <w:rPr>
          <w:lang w:val="es-ES"/>
        </w:rPr>
        <w:t xml:space="preserve"> de</w:t>
      </w:r>
      <w:r>
        <w:rPr/>
        <w:t xml:space="preserve"> componentes principales</w:t>
      </w:r>
      <w:r>
        <w:rPr>
          <w:lang w:val="es-ES"/>
        </w:rPr>
        <w:t>,</w:t>
      </w:r>
      <w:r>
        <w:rPr/>
        <w:t xml:space="preserve"> </w:t>
      </w:r>
      <w:r>
        <w:rPr>
          <w:lang w:val="es-ES"/>
        </w:rPr>
        <w:t xml:space="preserve">de esta forma </w:t>
      </w:r>
      <w:r>
        <w:rPr/>
        <w:t>reduc</w:t>
      </w:r>
      <w:r>
        <w:rPr>
          <w:lang w:val="es-ES"/>
        </w:rPr>
        <w:t xml:space="preserve">e </w:t>
      </w:r>
      <w:r>
        <w:rPr/>
        <w:t>las</w:t>
      </w:r>
      <w:r>
        <w:rPr>
          <w:lang w:val="es-ES"/>
        </w:rPr>
        <w:t xml:space="preserve"> </w:t>
      </w:r>
      <w:r>
        <w:rPr/>
        <w:t>dimensiones del espacio de búsqueda</w:t>
      </w:r>
      <w:r>
        <w:rPr>
          <w:lang w:val="es-ES"/>
        </w:rPr>
        <w:t xml:space="preserve"> durante la </w:t>
      </w:r>
      <w:r>
        <w:rPr/>
        <w:t>generación de resúmenes lingüísticos. Una limitante de este algoritmo es que requiere que los datos de entrada sean numéricos.</w:t>
      </w:r>
    </w:p>
    <w:p>
      <w:pPr>
        <w:pStyle w:val="ListParagraph"/>
        <w:numPr>
          <w:ilvl w:val="0"/>
          <w:numId w:val="16"/>
        </w:numPr>
        <w:spacing w:before="120" w:after="120"/>
        <w:ind w:left="426" w:hanging="360"/>
        <w:rPr/>
      </w:pPr>
      <w:r>
        <w:rPr>
          <w:szCs w:val="24"/>
          <w:lang w:val="es-ES"/>
        </w:rPr>
        <w:t>E</w:t>
      </w:r>
      <w:r>
        <w:rPr>
          <w:szCs w:val="24"/>
        </w:rPr>
        <w:t xml:space="preserve">l algoritmo </w:t>
      </w:r>
      <w:r>
        <w:rPr>
          <w:i/>
          <w:szCs w:val="24"/>
        </w:rPr>
        <w:t>LPA_LDS</w:t>
      </w:r>
      <w:r>
        <w:rPr>
          <w:szCs w:val="24"/>
        </w:rPr>
        <w:t xml:space="preserve"> </w:t>
      </w:r>
      <w:r>
        <w:rPr>
          <w:szCs w:val="24"/>
          <w:lang w:val="es-ES"/>
        </w:rPr>
        <w:t xml:space="preserve">descubre las relaciones más fuertes entre las variables empleando </w:t>
      </w:r>
      <w:r>
        <w:rPr>
          <w:szCs w:val="24"/>
        </w:rPr>
        <w:t xml:space="preserve">el aprendizaje de grafos probabilísticos. </w:t>
      </w:r>
      <w:r>
        <w:rPr>
          <w:szCs w:val="24"/>
          <w:lang w:val="es-ES"/>
        </w:rPr>
        <w:t xml:space="preserve">Luego genera resúmenes lingüísticos a partir de los grafos aprendidos, reduciendo el espacio de búsqueda. </w:t>
      </w:r>
      <w:r>
        <w:rPr>
          <w:szCs w:val="24"/>
        </w:rPr>
        <w:t>Este algoritmo es capaz de trabajar con datos heterogéneos</w:t>
      </w:r>
      <w:r>
        <w:rPr>
          <w:szCs w:val="24"/>
          <w:lang w:val="es-ES"/>
        </w:rPr>
        <w:t>. T</w:t>
      </w:r>
      <w:r>
        <w:rPr>
          <w:szCs w:val="24"/>
        </w:rPr>
        <w:t>iene como limitante, que s</w:t>
      </w:r>
      <w:r>
        <w:rPr>
          <w:szCs w:val="24"/>
          <w:lang w:val="es-ES"/>
        </w:rPr>
        <w:t xml:space="preserve">olo </w:t>
      </w:r>
      <w:r>
        <w:rPr>
          <w:szCs w:val="24"/>
        </w:rPr>
        <w:t>descubr</w:t>
      </w:r>
      <w:r>
        <w:rPr>
          <w:szCs w:val="24"/>
          <w:lang w:val="es-ES"/>
        </w:rPr>
        <w:t xml:space="preserve">e </w:t>
      </w:r>
      <w:r>
        <w:rPr>
          <w:szCs w:val="24"/>
        </w:rPr>
        <w:t>relaciones de primer, segundo y tercer orden</w:t>
      </w:r>
      <w:r>
        <w:rPr>
          <w:szCs w:val="24"/>
          <w:lang w:val="es-ES"/>
        </w:rPr>
        <w:t xml:space="preserve">, porque el consumo de </w:t>
      </w:r>
      <w:r>
        <w:rPr/>
        <w:t>espacio y tiempo aumenta exponencialmente con respecto al orden de las relaciones.</w:t>
      </w:r>
    </w:p>
    <w:p>
      <w:pPr>
        <w:pStyle w:val="ListParagraph"/>
        <w:numPr>
          <w:ilvl w:val="0"/>
          <w:numId w:val="16"/>
        </w:numPr>
        <w:spacing w:before="120" w:after="120"/>
        <w:ind w:left="426" w:hanging="360"/>
        <w:rPr/>
      </w:pPr>
      <w:r>
        <w:rPr>
          <w:szCs w:val="24"/>
          <w:lang w:val="es-ES"/>
        </w:rPr>
        <w:t>E</w:t>
      </w:r>
      <w:r>
        <w:rPr>
          <w:szCs w:val="24"/>
        </w:rPr>
        <w:t xml:space="preserve">l algoritmo </w:t>
      </w:r>
      <w:r>
        <w:rPr>
          <w:i/>
          <w:szCs w:val="24"/>
        </w:rPr>
        <w:t>RST_LDS</w:t>
      </w:r>
      <w:r>
        <w:rPr>
          <w:szCs w:val="24"/>
        </w:rPr>
        <w:t xml:space="preserve">, </w:t>
      </w:r>
      <w:r>
        <w:rPr>
          <w:szCs w:val="24"/>
          <w:lang w:val="es-ES"/>
        </w:rPr>
        <w:t xml:space="preserve">aplica la dependencia en grado k y otros conceptos de la teoría de conjuntos aproximados para la </w:t>
      </w:r>
      <w:r>
        <w:rPr>
          <w:szCs w:val="24"/>
        </w:rPr>
        <w:t>genera</w:t>
      </w:r>
      <w:r>
        <w:rPr>
          <w:szCs w:val="24"/>
          <w:lang w:val="es-ES"/>
        </w:rPr>
        <w:t xml:space="preserve">ción de </w:t>
      </w:r>
      <w:r>
        <w:rPr>
          <w:szCs w:val="24"/>
        </w:rPr>
        <w:t xml:space="preserve">resúmenes lingüísticos. Este algoritmo permite el trabajo con datos heterogéneos y por su naturaleza, permite generar resúmenes lingüísticos que representen tanto situaciones con </w:t>
      </w:r>
      <w:r>
        <w:rPr>
          <w:szCs w:val="24"/>
          <w:lang w:val="es-ES"/>
        </w:rPr>
        <w:t xml:space="preserve">alta frecuencia en la base de datos como resúmenes que representen </w:t>
      </w:r>
      <w:r>
        <w:rPr>
          <w:szCs w:val="24"/>
        </w:rPr>
        <w:t xml:space="preserve">situaciones </w:t>
      </w:r>
      <w:r>
        <w:rPr>
          <w:szCs w:val="24"/>
          <w:lang w:val="es-ES"/>
        </w:rPr>
        <w:t xml:space="preserve">con baja </w:t>
      </w:r>
      <w:r>
        <w:rPr>
          <w:szCs w:val="24"/>
        </w:rPr>
        <w:t>ocurrencia</w:t>
      </w:r>
      <w:r>
        <w:rPr>
          <w:szCs w:val="24"/>
          <w:lang w:val="es-ES"/>
        </w:rPr>
        <w:t>.</w:t>
      </w:r>
      <w:r>
        <w:rPr>
          <w:szCs w:val="24"/>
        </w:rPr>
        <w:t xml:space="preserve"> </w:t>
      </w:r>
    </w:p>
    <w:p>
      <w:pPr>
        <w:pStyle w:val="ListParagraph"/>
        <w:numPr>
          <w:ilvl w:val="0"/>
          <w:numId w:val="16"/>
        </w:numPr>
        <w:spacing w:before="120" w:after="120"/>
        <w:ind w:left="426" w:hanging="360"/>
        <w:rPr/>
      </w:pPr>
      <w:r>
        <w:rPr/>
        <w:t>En el capítulo se proponen dos enfoques que combinan la generación de resúmenes lingüísticos con el descubrimiento de datos anómalos.</w:t>
      </w:r>
      <w:r>
        <w:rPr>
          <w:lang w:val="es-ES"/>
        </w:rPr>
        <w:t xml:space="preserve"> </w:t>
      </w:r>
      <w:r>
        <w:rPr/>
        <w:t xml:space="preserve">El primer enfoque es centrado en el uso de algoritmos que sean capaces de identificar situaciones pocos frecuentes en la base de datos, que puedan representar datos anómalos. El </w:t>
      </w:r>
      <w:r>
        <w:rPr>
          <w:i/>
          <w:iCs/>
        </w:rPr>
        <w:t>RST_LDS</w:t>
      </w:r>
      <w:r>
        <w:rPr/>
        <w:t xml:space="preserve"> y </w:t>
      </w:r>
      <w:r>
        <w:rPr>
          <w:i/>
          <w:iCs/>
        </w:rPr>
        <w:t>LPA_LDS</w:t>
      </w:r>
      <w:r>
        <w:rPr/>
        <w:t xml:space="preserve"> son ejemplos de algoritmos que pueden detectar datos anómalos basados en </w:t>
      </w:r>
      <w:r>
        <w:rPr>
          <w:lang w:val="es-ES"/>
        </w:rPr>
        <w:t>este</w:t>
      </w:r>
      <w:r>
        <w:rPr/>
        <w:t xml:space="preserve"> primer enfoque</w:t>
      </w:r>
      <w:r>
        <w:rPr>
          <w:lang w:val="es-ES"/>
        </w:rPr>
        <w:t>.</w:t>
      </w:r>
      <w:r>
        <w:rPr/>
        <w:t xml:space="preserve"> </w:t>
      </w:r>
      <w:r>
        <w:rPr>
          <w:lang w:val="es-ES"/>
        </w:rPr>
        <w:t>Por otro lado,</w:t>
      </w:r>
      <w:r>
        <w:rPr/>
        <w:t xml:space="preserve"> el segundo enfoque combina algoritmos para la generación de datos anómalos y luego la construcción de resúmenes lingüísticos que faciliten la interpretabilidad de los datos anómalos</w:t>
      </w:r>
      <w:r>
        <w:rPr>
          <w:lang w:val="es-ES"/>
        </w:rPr>
        <w:t xml:space="preserve">, como el algoritmo </w:t>
      </w:r>
      <w:r>
        <w:rPr>
          <w:i/>
          <w:iCs/>
          <w:lang w:val="es-ES"/>
        </w:rPr>
        <w:t>LDS_outliers</w:t>
      </w:r>
      <w:bookmarkStart w:id="1259" w:name="_Hlk81295966"/>
      <w:bookmarkEnd w:id="1259"/>
      <w:r>
        <w:rPr/>
        <w:t>.</w:t>
      </w:r>
    </w:p>
    <w:p>
      <w:pPr>
        <w:pStyle w:val="ListParagraph"/>
        <w:numPr>
          <w:ilvl w:val="0"/>
          <w:numId w:val="16"/>
        </w:numPr>
        <w:spacing w:before="120" w:after="120"/>
        <w:ind w:left="426" w:hanging="360"/>
        <w:rPr/>
      </w:pPr>
      <w:r>
        <w:rPr/>
        <w:t>Los algoritmos propuestos incluyen una etapa de humanización que emplea lenguajes naturales controlados en los idiomas español, inglés, japonés y árabe</w:t>
      </w:r>
      <w:r>
        <w:rPr>
          <w:lang w:val="es-ES"/>
        </w:rPr>
        <w:t xml:space="preserve"> para mejorar la generación e interpretabilidad de los resúmenes lingüísticos bajo un enfoque multilingüe. </w:t>
      </w:r>
    </w:p>
    <w:p>
      <w:pPr>
        <w:pStyle w:val="Normal"/>
        <w:spacing w:before="120" w:after="120"/>
        <w:ind w:left="66" w:hanging="0"/>
        <w:rPr>
          <w:szCs w:val="24"/>
        </w:rPr>
      </w:pPr>
      <w:r>
        <w:rPr>
          <w:szCs w:val="24"/>
        </w:rPr>
      </w:r>
    </w:p>
    <w:p>
      <w:pPr>
        <w:pStyle w:val="NormalAlgorithm"/>
        <w:ind w:left="720" w:hanging="360"/>
        <w:rPr/>
      </w:pPr>
      <w:r>
        <w:rPr/>
      </w:r>
    </w:p>
    <w:p>
      <w:pPr>
        <w:pStyle w:val="Heading1"/>
        <w:numPr>
          <w:ilvl w:val="0"/>
          <w:numId w:val="80"/>
        </w:numPr>
        <w:rPr/>
      </w:pPr>
      <w:bookmarkStart w:id="1260" w:name="_Toc84598937"/>
      <w:bookmarkEnd w:id="1260"/>
      <w:r>
        <w:rPr/>
        <w:t>Capítulo 3: Nuevos métodos de evaluación de los resúmenes lingüísticos</w:t>
      </w:r>
    </w:p>
    <w:p>
      <w:pPr>
        <w:pStyle w:val="Normal"/>
        <w:rPr/>
      </w:pPr>
      <w:bookmarkStart w:id="1261" w:name="_Toc50464252"/>
      <w:bookmarkStart w:id="1262" w:name="_Toc54601335"/>
      <w:bookmarkStart w:id="1263" w:name="_Toc58849557"/>
      <w:bookmarkStart w:id="1264" w:name="_Toc60737132"/>
      <w:bookmarkStart w:id="1265" w:name="_Toc68721160"/>
      <w:bookmarkStart w:id="1266" w:name="_Toc68721551"/>
      <w:bookmarkStart w:id="1267" w:name="_Toc68721831"/>
      <w:bookmarkStart w:id="1268" w:name="_Toc68722185"/>
      <w:bookmarkStart w:id="1269" w:name="_Toc68722259"/>
      <w:bookmarkStart w:id="1270" w:name="_Toc68932991"/>
      <w:bookmarkStart w:id="1271" w:name="_Toc68946357"/>
      <w:bookmarkStart w:id="1272" w:name="_Toc68972831"/>
      <w:bookmarkStart w:id="1273" w:name="_Toc68974334"/>
      <w:bookmarkStart w:id="1274" w:name="_Toc68975205"/>
      <w:bookmarkStart w:id="1275" w:name="_Toc68978853"/>
      <w:bookmarkStart w:id="1276" w:name="_Toc70273133"/>
      <w:bookmarkStart w:id="1277" w:name="_Toc70274302"/>
      <w:bookmarkStart w:id="1278" w:name="_Toc70274351"/>
      <w:bookmarkStart w:id="1279" w:name="_Toc79055682"/>
      <w:bookmarkStart w:id="1280" w:name="_Toc79055839"/>
      <w:bookmarkStart w:id="1281" w:name="_Toc79078328"/>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r>
        <w:rPr/>
        <w:t>En este capítulo se analizan diferentes enfoques para la evaluación de los resúmenes lingüísticos y se organiza en tres secciones. En la primera sección 3.1 se analiza y describe un conjunto de indicadores reportados en la bibliografía. En la segunda sección 3.2 se propone un conjunto de nuevos indicadores que complementan o extienden a los tradicionales, siendo este uno de los elementos que se aporta como novedad en la presente investigación. Luego en la sección 3.3 se realiza la comparación de las extensiones propuestas con los indicadores tradicionales, a partir de evaluar el comportamiento de ambos grupos, en un conjunto de clases de pruebas que cubren diferentes escenarios de resúmenes. Finalmente se presentan las conclusiones del capítulo.</w:t>
      </w:r>
    </w:p>
    <w:p>
      <w:pPr>
        <w:pStyle w:val="Normal"/>
        <w:rPr>
          <w:rFonts w:eastAsia="MS Gothic"/>
          <w:b/>
          <w:b/>
          <w:bCs w:val="false"/>
          <w:caps/>
          <w:vanish/>
          <w:color w:val="00000A"/>
          <w:sz w:val="32"/>
          <w:szCs w:val="28"/>
          <w:lang w:eastAsia="ja-JP"/>
        </w:rPr>
      </w:pPr>
      <w:r>
        <w:rPr>
          <w:rFonts w:eastAsia="MS Gothic"/>
          <w:b/>
          <w:bCs w:val="false"/>
          <w:caps/>
          <w:vanish/>
          <w:color w:val="00000A"/>
          <w:sz w:val="32"/>
          <w:szCs w:val="28"/>
          <w:lang w:eastAsia="ja-JP"/>
        </w:rPr>
      </w:r>
    </w:p>
    <w:p>
      <w:pPr>
        <w:pStyle w:val="Heading2"/>
        <w:numPr>
          <w:ilvl w:val="1"/>
          <w:numId w:val="80"/>
        </w:numPr>
        <w:rPr/>
      </w:pPr>
      <w:bookmarkStart w:id="1282" w:name="_Toc84598938"/>
      <w:bookmarkStart w:id="1283" w:name="_Toc79055683"/>
      <w:bookmarkStart w:id="1284" w:name="_Toc79055840"/>
      <w:bookmarkStart w:id="1285" w:name="_Toc79078329"/>
      <w:bookmarkEnd w:id="1282"/>
      <w:bookmarkEnd w:id="1283"/>
      <w:bookmarkEnd w:id="1284"/>
      <w:bookmarkEnd w:id="1285"/>
      <w:r>
        <w:rPr/>
        <w:t>Indicadores tradicionales para la evaluación de los resúmenes lingüísticos</w:t>
      </w:r>
    </w:p>
    <w:p>
      <w:pPr>
        <w:pStyle w:val="Normal"/>
        <w:rPr/>
      </w:pPr>
      <w:bookmarkStart w:id="1286" w:name="_Toc68722187"/>
      <w:bookmarkStart w:id="1287" w:name="_Toc68722261"/>
      <w:bookmarkStart w:id="1288" w:name="_Toc68932993"/>
      <w:bookmarkStart w:id="1289" w:name="_Toc68946359"/>
      <w:bookmarkEnd w:id="1286"/>
      <w:bookmarkEnd w:id="1287"/>
      <w:bookmarkEnd w:id="1288"/>
      <w:bookmarkEnd w:id="1289"/>
      <w:r>
        <w:rPr/>
        <w:t xml:space="preserve">Existen artículos donde se propone el cálculo del valor de verdad de un resumen, como los trabajos publicados por Yager </w:t>
      </w:r>
      <w:r>
        <w:fldChar w:fldCharType="begin"/>
      </w:r>
      <w:r>
        <w:instrText>ADDIN ZOTERO_ITEM CSL_CITATION {"citationID":"bwQ8Byis","properties":{"formattedCitation":"(Yager 1982)","plainCitation":"(Yager 1982)","noteIndex":0},"citationItems":[{"id":"NJclqhNX/E1eUvurW","uris":["http://zotero.org/users/local/rsuvzjK6/items/YR5JT4VR"],"uri":["http://zotero.org/users/local/rsuvzjK6/items/YR5JT4VR"],"itemData":{"id":3204,"type":"article-journal","container-title":"Information Sciences","DOI":"10.1016/0020-0255(82)90033-0","issue":"1","page":"69–86","title":"A new approach to the summarization of data","volume":"28","author":[{"family":"Yager","given":"Ronald R"}],"issued":{"date-parts":[["1982"]]}}}],"schema":"https://github.com/citation-style-language/schema/raw/master/csl-citation.json"}</w:instrText>
      </w:r>
      <w:r>
        <w:fldChar w:fldCharType="separate"/>
      </w:r>
      <w:bookmarkStart w:id="1290" w:name="__Fieldmark__9902_2067855929"/>
      <w:r>
        <w:rPr/>
        <w:t>(</w:t>
      </w:r>
      <w:bookmarkStart w:id="1291" w:name="__Fieldmark__8549_498839314"/>
      <w:r>
        <w:rPr/>
        <w:t>Y</w:t>
      </w:r>
      <w:bookmarkStart w:id="1292" w:name="__Fieldmark__7585_998588997"/>
      <w:r>
        <w:rPr/>
        <w:t>a</w:t>
      </w:r>
      <w:bookmarkStart w:id="1293" w:name="__Fieldmark__11614_118561941"/>
      <w:r>
        <w:rPr/>
        <w:t>ger 1982)</w:t>
      </w:r>
      <w:r>
        <w:rPr/>
      </w:r>
      <w:r>
        <w:fldChar w:fldCharType="end"/>
      </w:r>
      <w:bookmarkEnd w:id="1290"/>
      <w:bookmarkEnd w:id="1291"/>
      <w:bookmarkEnd w:id="1292"/>
      <w:bookmarkEnd w:id="1293"/>
      <w:r>
        <w:rPr/>
        <w:t xml:space="preserve">, Zadeh </w:t>
      </w:r>
      <w:r>
        <w:fldChar w:fldCharType="begin"/>
      </w:r>
      <w:r>
        <w:instrText>ADDIN ZOTERO_ITEM CSL_CITATION {"citationID":"apIzN1QE","properties":{"formattedCitation":"(Zadeh 1983)","plainCitation":"(Zadeh 1983)","noteIndex":0},"citationItems":[{"id":"NJclqhNX/oiCPLXAg","uris":["http://zotero.org/users/local/rsuvzjK6/items/JNTI42JZ"],"uri":["http://zotero.org/users/local/rsuvzjK6/items/JNTI42JZ"],"itemData":{"id":16,"type":"article-journal","title":"A computational approach to fuzzy quantifiers in natural languages","container-title":"Computers &amp; Mathematics with applications","page":"149–184","volume":"9","issue":"1","author":[{"family":"Zadeh","given":"Lotfi A"}],"issued":{"date-parts":[["1983"]]}}}],"schema":"https://github.com/citation-style-language/schema/raw/master/csl-citation.json"}</w:instrText>
      </w:r>
      <w:r>
        <w:fldChar w:fldCharType="separate"/>
      </w:r>
      <w:bookmarkStart w:id="1294" w:name="__Fieldmark__9917_2067855929"/>
      <w:r>
        <w:rPr/>
        <w:t>(</w:t>
      </w:r>
      <w:bookmarkStart w:id="1295" w:name="__Fieldmark__8560_498839314"/>
      <w:r>
        <w:rPr/>
        <w:t>Z</w:t>
      </w:r>
      <w:bookmarkStart w:id="1296" w:name="__Fieldmark__7592_998588997"/>
      <w:r>
        <w:rPr/>
        <w:t>a</w:t>
      </w:r>
      <w:bookmarkStart w:id="1297" w:name="__Fieldmark__11619_118561941"/>
      <w:r>
        <w:rPr/>
        <w:t>deh 1983)</w:t>
      </w:r>
      <w:r>
        <w:rPr/>
      </w:r>
      <w:r>
        <w:fldChar w:fldCharType="end"/>
      </w:r>
      <w:bookmarkEnd w:id="1294"/>
      <w:bookmarkEnd w:id="1295"/>
      <w:bookmarkEnd w:id="1296"/>
      <w:bookmarkEnd w:id="1297"/>
      <w:r>
        <w:rPr/>
        <w:t xml:space="preserve"> y Kacprzyk y Zadrożny </w:t>
      </w:r>
      <w:r>
        <w:fldChar w:fldCharType="begin"/>
      </w:r>
      <w:r>
        <w:instrText>ADDIN ZOTERO_ITEM CSL_CITATION {"citationID":"WXRCeFVk","properties":{"formattedCitation":"(Kacprzyk y Zadro\\uc0\\u380{}ny 2000)","plainCitation":"(Kacprzyk y Zadrożny 2000)","noteIndex":0},"citationItems":[{"id":"NJclqhNX/R1euJRME","uris":["http://zotero.org/users/local/rsuvzjK6/items/HEBPVMMX"],"uri":["http://zotero.org/users/local/rsuvzjK6/items/HEBPVMMX"],"itemData":{"id":18,"type":"article-journal","container-title":"Kybernetika","issue":"6","page":"657–670","title":"On a fuzzy querying and data mining interface","volume":"36","author":[{"family":"Kacprzyk","given":"Janusz"},{"family":"Zadrożny","given":"S\\lawomir"}],"issued":{"date-parts":[["2000"]]}}}],"schema":"https://github.com/citation-style-language/schema/raw/master/csl-citation.json"}</w:instrText>
      </w:r>
      <w:r>
        <w:fldChar w:fldCharType="separate"/>
      </w:r>
      <w:bookmarkStart w:id="1298" w:name="__Fieldmark__9932_2067855929"/>
      <w:r>
        <w:rPr/>
      </w:r>
      <w:r>
        <w:rPr>
          <w:szCs w:val="24"/>
        </w:rPr>
        <w:t>(</w:t>
      </w:r>
      <w:bookmarkStart w:id="1299" w:name="__Fieldmark__8571_498839314"/>
      <w:r>
        <w:rPr>
          <w:szCs w:val="24"/>
        </w:rPr>
        <w:t>K</w:t>
      </w:r>
      <w:bookmarkStart w:id="1300" w:name="__Fieldmark__7599_998588997"/>
      <w:r>
        <w:rPr>
          <w:szCs w:val="24"/>
        </w:rPr>
        <w:t>a</w:t>
      </w:r>
      <w:bookmarkStart w:id="1301" w:name="__Fieldmark__11628_118561941"/>
      <w:r>
        <w:rPr>
          <w:szCs w:val="24"/>
        </w:rPr>
        <w:t>cprzyk y Zadrożny 2000)</w:t>
      </w:r>
      <w:r>
        <w:rPr/>
      </w:r>
      <w:r>
        <w:fldChar w:fldCharType="end"/>
      </w:r>
      <w:bookmarkEnd w:id="1298"/>
      <w:bookmarkEnd w:id="1299"/>
      <w:bookmarkEnd w:id="1300"/>
      <w:bookmarkEnd w:id="1301"/>
      <w:r>
        <w:rPr/>
        <w:t xml:space="preserve">. A éstos, le sucedieron otros artículos </w:t>
      </w:r>
      <w:r>
        <w:fldChar w:fldCharType="begin"/>
      </w:r>
      <w:r>
        <w:instrText>ADDIN ZOTERO_ITEM CSL_CITATION {"citationID":"gqCxDRI5","properties":{"formattedCitation":"(Kacprzyk, Yager y Zadro\\uc0\\u380{}ny 2000)","plainCitation":"(Kacprzyk, Yager y Zadrożny 2000)","noteIndex":0},"citationItems":[{"id":"NJclqhNX/kM4xhGSN","uris":["http://zotero.org/users/local/X7i2mGyy/items/2GVRM64E"],"uri":["http://zotero.org/users/local/X7i2mGyy/items/2GVRM64E"],"itemData":{"id":"CwCscVJx/kC1At5d3","type":"article-journal","abstract":"In this paper, we present basic ideas and perspectives related to the use of fuzzy logic for the derivation of linguistic summaries of data (databases). We concentrate on the issue of how to measure the goodness of a linguistic summary, and on how to embed data summarization within the fuzzy querying environment, for an effective and efficient implementation. In particular, we propose how to efficiently implement Kacprzyk and Yager's (2000) new quality indicators of linguistic summaries to derive summaries via Kacprzyk and Zadrozny's (1994; 1995a; 1995b; 1996) fuzzy querying add-on. Finally, we present an implementation for deriving linguistic summaries of a sales database at a computer retailer, and show how the linguistic summaries obtained can be useful for supporting decisions of the business owner.","container-title":"International Journal of Applied Mathematics and Computer Science","ISSN":"1641-876X","issue":"Vol. 10, no 4","language":"English","page":"813–834","title":"A Fuzzy Logic Based Approach to Linguistic Summaries of Databases","author":[{"family":"Kacprzyk","given":"J."},{"family":"Yager","given":"R. R."},{"family":"Zadrożny","given":"S."}],"issued":{"date-parts":[["2000"]]}}}],"schema":"https://github.com/citation-style-language/schema/raw/master/csl-citation.json"}</w:instrText>
      </w:r>
      <w:r>
        <w:fldChar w:fldCharType="separate"/>
      </w:r>
      <w:bookmarkStart w:id="1302" w:name="__Fieldmark__9949_2067855929"/>
      <w:r>
        <w:rPr/>
      </w:r>
      <w:r>
        <w:rPr>
          <w:szCs w:val="24"/>
        </w:rPr>
        <w:t>(</w:t>
      </w:r>
      <w:bookmarkStart w:id="1303" w:name="__Fieldmark__8582_498839314"/>
      <w:r>
        <w:rPr>
          <w:szCs w:val="24"/>
        </w:rPr>
        <w:t>K</w:t>
      </w:r>
      <w:bookmarkStart w:id="1304" w:name="__Fieldmark__7606_998588997"/>
      <w:r>
        <w:rPr>
          <w:szCs w:val="24"/>
        </w:rPr>
        <w:t>a</w:t>
      </w:r>
      <w:bookmarkStart w:id="1305" w:name="__Fieldmark__11633_118561941"/>
      <w:r>
        <w:rPr>
          <w:szCs w:val="24"/>
        </w:rPr>
        <w:t>cprzyk, Yager y Zadrożny 2000)</w:t>
      </w:r>
      <w:r>
        <w:rPr/>
      </w:r>
      <w:r>
        <w:fldChar w:fldCharType="end"/>
      </w:r>
      <w:bookmarkEnd w:id="1302"/>
      <w:bookmarkEnd w:id="1303"/>
      <w:bookmarkEnd w:id="1304"/>
      <w:bookmarkEnd w:id="1305"/>
      <w:r>
        <w:rPr/>
        <w:t xml:space="preserve"> </w:t>
      </w:r>
      <w:r>
        <w:fldChar w:fldCharType="begin"/>
      </w:r>
      <w:r>
        <w:instrText>ADDIN ZOTERO_ITEM CSL_CITATION {"citationID":"CsXtuR8o","properties":{"formattedCitation":"(Kacprzyk y Yager 2001)","plainCitation":"(Kacprzyk y Yager 2001)","noteIndex":0},"citationItems":[{"id":"NJclqhNX/TURQ402Z","uris":["http://zotero.org/users/local/X7i2mGyy/items/S59P8SBU"],"uri":["http://zotero.org/users/local/X7i2mGyy/items/S59P8SBU"],"itemData":{"id":"CwCscVJx/QBCl3gtv","type":"article-journal","container-title":"International Journal of General System","DOI":"10.1080/03081070108960702","issue":"2","page":"133–154","title":"Linguistic summaries of data using fuzzy logic","volume":"30","author":[{"family":"Kacprzyk","given":"Janusz"},{"family":"Yager","given":"Ronald R"}],"issued":{"date-parts":[["2001"]]}}}],"schema":"https://github.com/citation-style-language/schema/raw/master/csl-citation.json"}</w:instrText>
      </w:r>
      <w:r>
        <w:fldChar w:fldCharType="separate"/>
      </w:r>
      <w:bookmarkStart w:id="1306" w:name="__Fieldmark__9964_2067855929"/>
      <w:r>
        <w:rPr/>
        <w:t>(</w:t>
      </w:r>
      <w:bookmarkStart w:id="1307" w:name="__Fieldmark__8593_498839314"/>
      <w:r>
        <w:rPr/>
        <w:t>K</w:t>
      </w:r>
      <w:bookmarkStart w:id="1308" w:name="__Fieldmark__7613_998588997"/>
      <w:r>
        <w:rPr/>
        <w:t>a</w:t>
      </w:r>
      <w:bookmarkStart w:id="1309" w:name="__Fieldmark__11638_118561941"/>
      <w:r>
        <w:rPr/>
        <w:t>cprzyk y Yager 2001)</w:t>
      </w:r>
      <w:r>
        <w:rPr/>
      </w:r>
      <w:r>
        <w:fldChar w:fldCharType="end"/>
      </w:r>
      <w:bookmarkEnd w:id="1306"/>
      <w:bookmarkEnd w:id="1307"/>
      <w:bookmarkEnd w:id="1308"/>
      <w:bookmarkEnd w:id="1309"/>
      <w:r>
        <w:rPr/>
        <w:t xml:space="preserve"> </w:t>
      </w:r>
      <w:r>
        <w:fldChar w:fldCharType="begin"/>
      </w:r>
      <w:r>
        <w:instrText>ADDIN ZOTERO_ITEM CSL_CITATION {"citationID":"HXmwIfCA","properties":{"formattedCitation":"(Kacprzyk y Wilbik 2010)","plainCitation":"(Kacprzyk y Wilbik 2010)","noteIndex":0},"citationItems":[{"id":"NJclqhNX/izuZE6F0","uris":["http://zotero.org/users/local/X7i2mGyy/items/W35YWW9C"],"uri":["http://zotero.org/users/local/X7i2mGyy/items/W35YWW9C"],"itemData":{"id":"CwCscVJx/KCbhIbJT","type":"article-journal","container-title":"Studia i Materiały Polskiego Stowarzyszenia Zarzdzania Wiedza","issue":"31","page":"326-337","title":"Linguistic summaries of time series: on some extended aggregation techniques","volume":"2010","author":[{"family":"Kacprzyk","given":"Janusz"},{"family":"Wilbik","given":"Anna"}],"issued":{"date-parts":[["2010"]]}}}],"schema":"https://github.com/citation-style-language/schema/raw/master/csl-citation.json"}</w:instrText>
      </w:r>
      <w:r>
        <w:fldChar w:fldCharType="separate"/>
      </w:r>
      <w:bookmarkStart w:id="1310" w:name="__Fieldmark__9979_2067855929"/>
      <w:r>
        <w:rPr/>
        <w:t>(</w:t>
      </w:r>
      <w:bookmarkStart w:id="1311" w:name="__Fieldmark__8604_498839314"/>
      <w:r>
        <w:rPr/>
        <w:t>K</w:t>
      </w:r>
      <w:bookmarkStart w:id="1312" w:name="__Fieldmark__7620_998588997"/>
      <w:r>
        <w:rPr/>
        <w:t>a</w:t>
      </w:r>
      <w:bookmarkStart w:id="1313" w:name="__Fieldmark__11643_118561941"/>
      <w:r>
        <w:rPr/>
        <w:t>cprzyk y Wilbik 2010)</w:t>
      </w:r>
      <w:r>
        <w:rPr/>
      </w:r>
      <w:r>
        <w:fldChar w:fldCharType="end"/>
      </w:r>
      <w:bookmarkEnd w:id="1310"/>
      <w:bookmarkEnd w:id="1311"/>
      <w:bookmarkEnd w:id="1312"/>
      <w:bookmarkEnd w:id="1313"/>
      <w:r>
        <w:rPr>
          <w:i/>
        </w:rPr>
        <w:t xml:space="preserve"> </w:t>
      </w:r>
      <w:r>
        <w:rPr/>
        <w:t>donde se exponen otros indicadores para evaluar un resumen como el grado de imprecisión, de cobertura, de adecuación y la longitud de un resumen.</w:t>
      </w:r>
    </w:p>
    <w:p>
      <w:pPr>
        <w:pStyle w:val="Normal"/>
        <w:rPr/>
      </w:pPr>
      <w:r>
        <w:rPr/>
        <w:t xml:space="preserve">Antes del análisis de estos indicadores, revisemos las notaciones necesarias para su comprensión. </w:t>
      </w:r>
    </w:p>
    <w:p>
      <w:pPr>
        <w:pStyle w:val="Normal"/>
        <w:rPr/>
      </w:pPr>
      <w:r>
        <w:rPr/>
        <w:t xml:space="preserve">Sea </w:t>
      </w:r>
      <w:r>
        <w:rPr>
          <w:i/>
        </w:rPr>
        <w:t>Y = {y</w:t>
      </w:r>
      <w:r>
        <w:rPr>
          <w:i/>
          <w:vertAlign w:val="subscript"/>
        </w:rPr>
        <w:t>1</w:t>
      </w:r>
      <w:r>
        <w:rPr>
          <w:i/>
        </w:rPr>
        <w:t>, ..., y</w:t>
      </w:r>
      <w:r>
        <w:rPr>
          <w:i/>
          <w:vertAlign w:val="subscript"/>
        </w:rPr>
        <w:t>n</w:t>
      </w:r>
      <w:r>
        <w:rPr>
          <w:i/>
        </w:rPr>
        <w:t xml:space="preserve">} </w:t>
      </w:r>
      <w:r>
        <w:rPr/>
        <w:t>una base de datos de objetos</w:t>
      </w:r>
      <w:r>
        <w:rPr>
          <w:i/>
        </w:rPr>
        <w:t xml:space="preserve"> </w:t>
      </w:r>
      <w:r>
        <w:rPr/>
        <w:t>(ej. “persona”)</w:t>
      </w:r>
      <w:r>
        <w:rPr>
          <w:i/>
        </w:rPr>
        <w:t xml:space="preserve"> </w:t>
      </w:r>
      <w:r>
        <w:rPr/>
        <w:t>descritos por atributos</w:t>
      </w:r>
      <w:r>
        <w:rPr>
          <w:i/>
        </w:rPr>
        <w:t xml:space="preserve"> V </w:t>
      </w:r>
      <w:r>
        <w:rPr/>
        <w:t>(ej. “edad”)</w:t>
      </w:r>
      <w:r>
        <w:rPr>
          <w:i/>
        </w:rPr>
        <w:t xml:space="preserve"> </w:t>
      </w:r>
      <w:r>
        <w:rPr/>
        <w:t>el cual puede tomar valores</w:t>
      </w:r>
      <w:r>
        <w:rPr>
          <w:i/>
        </w:rPr>
        <w:t xml:space="preserve"> X = {x</w:t>
      </w:r>
      <w:r>
        <w:rPr>
          <w:i/>
          <w:vertAlign w:val="subscript"/>
        </w:rPr>
        <w:t>1</w:t>
      </w:r>
      <w:r>
        <w:rPr>
          <w:i/>
        </w:rPr>
        <w:t>, x</w:t>
      </w:r>
      <w:r>
        <w:rPr>
          <w:i/>
          <w:vertAlign w:val="subscript"/>
        </w:rPr>
        <w:t>2</w:t>
      </w:r>
      <w:r>
        <w:rPr>
          <w:i/>
        </w:rPr>
        <w:t>, ..., x</w:t>
      </w:r>
      <w:r>
        <w:rPr>
          <w:i/>
          <w:vertAlign w:val="subscript"/>
        </w:rPr>
        <w:t>m</w:t>
      </w:r>
      <w:r>
        <w:rPr>
          <w:i/>
        </w:rPr>
        <w:t xml:space="preserve">,}, </w:t>
      </w:r>
      <w:r>
        <w:rPr/>
        <w:t>ejemplo</w:t>
      </w:r>
      <w:r>
        <w:rPr>
          <w:i/>
        </w:rPr>
        <w:t xml:space="preserve"> {1, 2, ..., 100}</w:t>
      </w:r>
      <w:r>
        <w:rPr/>
        <w:t xml:space="preserve">. Luego, </w:t>
      </w:r>
      <w:r>
        <w:rPr>
          <w:i/>
        </w:rPr>
        <w:t>d</w:t>
      </w:r>
      <w:r>
        <w:rPr>
          <w:i/>
          <w:vertAlign w:val="subscript"/>
        </w:rPr>
        <w:t>i</w:t>
      </w:r>
      <w:r>
        <w:rPr>
          <w:i/>
        </w:rPr>
        <w:t>=V(y</w:t>
      </w:r>
      <w:r>
        <w:rPr>
          <w:i/>
          <w:vertAlign w:val="subscript"/>
        </w:rPr>
        <w:t>i</w:t>
      </w:r>
      <w:r>
        <w:rPr>
          <w:i/>
        </w:rPr>
        <w:t>)</w:t>
      </w:r>
      <w:r>
        <w:rPr/>
        <w:t xml:space="preserve"> denota el valor del atributo </w:t>
      </w:r>
      <w:r>
        <w:rPr>
          <w:i/>
        </w:rPr>
        <w:t>V</w:t>
      </w:r>
      <w:r>
        <w:rPr/>
        <w:t xml:space="preserve"> para el objeto </w:t>
      </w:r>
      <w:r>
        <w:rPr>
          <w:i/>
        </w:rPr>
        <w:t>y</w:t>
      </w:r>
      <w:r>
        <w:rPr>
          <w:i/>
          <w:vertAlign w:val="subscript"/>
        </w:rPr>
        <w:t>i</w:t>
      </w:r>
      <w:r>
        <w:rPr/>
        <w:t xml:space="preserve">. Para un conjunto de datos de </w:t>
      </w:r>
      <w:r>
        <w:rPr>
          <w:i/>
        </w:rPr>
        <w:t>m</w:t>
      </w:r>
      <w:r>
        <w:rPr/>
        <w:t xml:space="preserve"> atributos </w:t>
      </w:r>
      <w:r>
        <w:rPr>
          <w:i/>
        </w:rPr>
        <w:t>V={V</w:t>
      </w:r>
      <w:r>
        <w:rPr>
          <w:i/>
          <w:vertAlign w:val="subscript"/>
        </w:rPr>
        <w:t>1</w:t>
      </w:r>
      <w:r>
        <w:rPr>
          <w:i/>
        </w:rPr>
        <w:t>, V</w:t>
      </w:r>
      <w:r>
        <w:rPr>
          <w:i/>
          <w:vertAlign w:val="subscript"/>
        </w:rPr>
        <w:t>2</w:t>
      </w:r>
      <w:r>
        <w:rPr>
          <w:i/>
        </w:rPr>
        <w:t>, ..., V</w:t>
      </w:r>
      <w:r>
        <w:rPr>
          <w:i/>
          <w:vertAlign w:val="subscript"/>
        </w:rPr>
        <w:t>m</w:t>
      </w:r>
      <w:r>
        <w:rPr>
          <w:i/>
        </w:rPr>
        <w:t>}</w:t>
      </w:r>
      <w:r>
        <w:rPr/>
        <w:t xml:space="preserve">, de ahí que </w:t>
      </w:r>
      <w:r>
        <w:rPr>
          <w:i/>
        </w:rPr>
        <w:t>V</w:t>
      </w:r>
      <w:r>
        <w:rPr>
          <w:i/>
          <w:vertAlign w:val="subscript"/>
        </w:rPr>
        <w:t>j</w:t>
      </w:r>
      <w:r>
        <w:rPr>
          <w:i/>
        </w:rPr>
        <w:t>(y</w:t>
      </w:r>
      <w:r>
        <w:rPr>
          <w:i/>
          <w:vertAlign w:val="subscript"/>
        </w:rPr>
        <w:t>i</w:t>
      </w:r>
      <w:r>
        <w:rPr>
          <w:i/>
        </w:rPr>
        <w:t>)</w:t>
      </w:r>
      <w:r>
        <w:rPr/>
        <w:t xml:space="preserve"> denota el valor del atributo </w:t>
      </w:r>
      <w:r>
        <w:rPr>
          <w:i/>
        </w:rPr>
        <w:t>V</w:t>
      </w:r>
      <w:r>
        <w:rPr>
          <w:i/>
          <w:vertAlign w:val="subscript"/>
        </w:rPr>
        <w:t>j</w:t>
      </w:r>
      <w:r>
        <w:rPr/>
        <w:t xml:space="preserve"> para el objeto </w:t>
      </w:r>
      <w:r>
        <w:rPr>
          <w:i/>
        </w:rPr>
        <w:t>y</w:t>
      </w:r>
      <w:r>
        <w:rPr>
          <w:i/>
          <w:vertAlign w:val="subscript"/>
        </w:rPr>
        <w:t>i</w:t>
      </w:r>
      <w:r>
        <w:rPr/>
        <w:t xml:space="preserve">, y el atributo </w:t>
      </w:r>
      <w:r>
        <w:rPr>
          <w:i/>
        </w:rPr>
        <w:t>V</w:t>
      </w:r>
      <w:r>
        <w:rPr>
          <w:i/>
          <w:vertAlign w:val="subscript"/>
        </w:rPr>
        <w:t>j</w:t>
      </w:r>
      <w:r>
        <w:rPr/>
        <w:t xml:space="preserve"> toma valores en el dominio del conjunto </w:t>
      </w:r>
      <w:r>
        <w:rPr>
          <w:i/>
        </w:rPr>
        <w:t>X</w:t>
      </w:r>
      <w:r>
        <w:rPr>
          <w:i/>
          <w:vertAlign w:val="subscript"/>
        </w:rPr>
        <w:t>j</w:t>
      </w:r>
      <w:r>
        <w:rPr/>
        <w:t>.</w:t>
      </w:r>
    </w:p>
    <w:p>
      <w:pPr>
        <w:pStyle w:val="Normal"/>
        <w:rPr/>
      </w:pPr>
      <w:r>
        <w:rPr/>
        <w:t xml:space="preserve">A partir de </w:t>
      </w:r>
      <w:r>
        <w:rPr>
          <w:i/>
        </w:rPr>
        <w:t>Y</w:t>
      </w:r>
      <w:r>
        <w:rPr/>
        <w:t xml:space="preserve"> se puede formar el dataset </w:t>
      </w:r>
      <w:r>
        <w:rPr>
          <w:i/>
        </w:rPr>
        <w:t>D</w:t>
      </w:r>
      <w:r>
        <w:rPr/>
        <w:t xml:space="preserve"> tal que, ver </w:t>
      </w:r>
      <w:r>
        <w:rPr/>
        <w:fldChar w:fldCharType="begin"/>
      </w:r>
      <w:r>
        <w:instrText> REF _Ref70270868 \h </w:instrText>
      </w:r>
      <w:r>
        <w:fldChar w:fldCharType="separate"/>
      </w:r>
      <w:r>
        <w:t xml:space="preserve">Ecuación </w:t>
      </w:r>
      <w:r>
        <w:fldChar w:fldCharType="end"/>
      </w:r>
      <w:r>
        <w:rPr/>
        <w:t>:</w:t>
      </w:r>
    </w:p>
    <w:tbl>
      <w:tblPr>
        <w:tblStyle w:val="Tablaconcuadrcula"/>
        <w:tblW w:w="8971" w:type="dxa"/>
        <w:jc w:val="left"/>
        <w:tblInd w:w="0" w:type="dxa"/>
        <w:tblCellMar>
          <w:top w:w="0" w:type="dxa"/>
          <w:left w:w="123" w:type="dxa"/>
          <w:bottom w:w="0" w:type="dxa"/>
          <w:right w:w="108" w:type="dxa"/>
        </w:tblCellMar>
        <w:tblLook w:val="04a0" w:noVBand="1" w:noHBand="0" w:lastColumn="0" w:firstColumn="1" w:lastRow="0" w:firstRow="1"/>
      </w:tblPr>
      <w:tblGrid>
        <w:gridCol w:w="6660"/>
        <w:gridCol w:w="2310"/>
      </w:tblGrid>
      <w:tr>
        <w:trPr/>
        <w:tc>
          <w:tcPr>
            <w:tcW w:w="6660" w:type="dxa"/>
            <w:tcBorders>
              <w:top w:val="nil"/>
              <w:left w:val="nil"/>
              <w:bottom w:val="nil"/>
              <w:right w:val="nil"/>
              <w:insideH w:val="nil"/>
              <w:insideV w:val="nil"/>
            </w:tcBorders>
            <w:shd w:color="auto" w:fill="auto" w:val="clear"/>
          </w:tcPr>
          <w:p>
            <w:pPr>
              <w:pStyle w:val="Normal"/>
              <w:widowControl/>
              <w:suppressAutoHyphens w:val="true"/>
              <w:bidi w:val="0"/>
              <w:spacing w:lineRule="auto" w:line="312" w:before="80" w:after="60"/>
              <w:jc w:val="both"/>
              <w:textAlignment w:val="baseline"/>
              <w:rPr/>
            </w:pPr>
            <w:r>
              <w:rPr>
                <w:i/>
              </w:rPr>
              <w:t>D = {[V</w:t>
            </w:r>
            <w:r>
              <w:rPr>
                <w:i/>
                <w:vertAlign w:val="subscript"/>
              </w:rPr>
              <w:t>1</w:t>
            </w:r>
            <w:r>
              <w:rPr>
                <w:i/>
              </w:rPr>
              <w:t>(y</w:t>
            </w:r>
            <w:r>
              <w:rPr>
                <w:i/>
                <w:vertAlign w:val="subscript"/>
              </w:rPr>
              <w:t>1</w:t>
            </w:r>
            <w:r>
              <w:rPr>
                <w:i/>
              </w:rPr>
              <w:t>), V</w:t>
            </w:r>
            <w:r>
              <w:rPr>
                <w:i/>
                <w:vertAlign w:val="subscript"/>
              </w:rPr>
              <w:t>2</w:t>
            </w:r>
            <w:r>
              <w:rPr>
                <w:i/>
              </w:rPr>
              <w:t>(y</w:t>
            </w:r>
            <w:r>
              <w:rPr>
                <w:i/>
                <w:vertAlign w:val="subscript"/>
              </w:rPr>
              <w:t>1</w:t>
            </w:r>
            <w:r>
              <w:rPr>
                <w:i/>
              </w:rPr>
              <w:t>), ..., V</w:t>
            </w:r>
            <w:r>
              <w:rPr>
                <w:i/>
                <w:vertAlign w:val="subscript"/>
              </w:rPr>
              <w:t>m</w:t>
            </w:r>
            <w:r>
              <w:rPr>
                <w:i/>
              </w:rPr>
              <w:t>(y</w:t>
            </w:r>
            <w:r>
              <w:rPr>
                <w:i/>
                <w:vertAlign w:val="subscript"/>
              </w:rPr>
              <w:t>1</w:t>
            </w:r>
            <w:r>
              <w:rPr>
                <w:i/>
              </w:rPr>
              <w:t>)],..., [V</w:t>
            </w:r>
            <w:r>
              <w:rPr>
                <w:i/>
                <w:vertAlign w:val="subscript"/>
              </w:rPr>
              <w:t>1</w:t>
            </w:r>
            <w:r>
              <w:rPr>
                <w:i/>
              </w:rPr>
              <w:t>(y</w:t>
            </w:r>
            <w:r>
              <w:rPr>
                <w:i/>
                <w:vertAlign w:val="subscript"/>
              </w:rPr>
              <w:t>n</w:t>
            </w:r>
            <w:r>
              <w:rPr>
                <w:i/>
              </w:rPr>
              <w:t>), V</w:t>
            </w:r>
            <w:r>
              <w:rPr>
                <w:i/>
                <w:vertAlign w:val="subscript"/>
              </w:rPr>
              <w:t>2</w:t>
            </w:r>
            <w:r>
              <w:rPr>
                <w:i/>
              </w:rPr>
              <w:t>(y</w:t>
            </w:r>
            <w:r>
              <w:rPr>
                <w:i/>
                <w:vertAlign w:val="subscript"/>
              </w:rPr>
              <w:t>n</w:t>
            </w:r>
            <w:r>
              <w:rPr>
                <w:i/>
              </w:rPr>
              <w:t>), ..., V</w:t>
            </w:r>
            <w:r>
              <w:rPr>
                <w:i/>
                <w:vertAlign w:val="subscript"/>
              </w:rPr>
              <w:t>m</w:t>
            </w:r>
            <w:r>
              <w:rPr>
                <w:i/>
              </w:rPr>
              <w:t>(y</w:t>
            </w:r>
            <w:r>
              <w:rPr>
                <w:i/>
                <w:vertAlign w:val="subscript"/>
              </w:rPr>
              <w:t>n</w:t>
            </w:r>
            <w:r>
              <w:rPr>
                <w:i/>
              </w:rPr>
              <w:t>)]}</w:t>
            </w:r>
          </w:p>
        </w:tc>
        <w:tc>
          <w:tcPr>
            <w:tcW w:w="2310" w:type="dxa"/>
            <w:tcBorders>
              <w:top w:val="nil"/>
              <w:left w:val="nil"/>
              <w:bottom w:val="nil"/>
              <w:right w:val="nil"/>
              <w:insideH w:val="nil"/>
              <w:insideV w:val="nil"/>
            </w:tcBorders>
            <w:shd w:color="auto" w:fill="auto" w:val="clear"/>
          </w:tcPr>
          <w:p>
            <w:pPr>
              <w:pStyle w:val="Normal"/>
              <w:widowControl/>
              <w:suppressAutoHyphens w:val="true"/>
              <w:bidi w:val="0"/>
              <w:spacing w:lineRule="auto" w:line="312" w:before="80" w:after="60"/>
              <w:jc w:val="both"/>
              <w:textAlignment w:val="baseline"/>
              <w:rPr/>
            </w:pPr>
            <w:bookmarkStart w:id="1314" w:name="_Ref70270868"/>
            <w:r>
              <w:rPr/>
              <w:t xml:space="preserve">Ecuación </w:t>
            </w:r>
            <w:bookmarkEnd w:id="1314"/>
            <w:r>
              <w:rPr/>
              <w:fldChar w:fldCharType="begin"/>
            </w:r>
            <w:r>
              <w:instrText> SEQ Ecuación \* ARABIC </w:instrText>
            </w:r>
            <w:r>
              <w:fldChar w:fldCharType="separate"/>
            </w:r>
            <w:r>
              <w:t>11</w:t>
            </w:r>
            <w:r>
              <w:fldChar w:fldCharType="end"/>
            </w:r>
          </w:p>
        </w:tc>
      </w:tr>
    </w:tbl>
    <w:p>
      <w:pPr>
        <w:pStyle w:val="Normal"/>
        <w:rPr/>
      </w:pPr>
      <w:r>
        <w:rPr/>
        <w:t xml:space="preserve">Sea un sumarizador </w:t>
      </w:r>
      <w:r>
        <w:rPr>
          <w:i/>
        </w:rPr>
        <w:t>S = {S</w:t>
      </w:r>
      <w:r>
        <w:rPr>
          <w:i/>
          <w:vertAlign w:val="subscript"/>
        </w:rPr>
        <w:t>1</w:t>
      </w:r>
      <w:r>
        <w:rPr>
          <w:i/>
        </w:rPr>
        <w:t>, S</w:t>
      </w:r>
      <w:r>
        <w:rPr>
          <w:i/>
          <w:vertAlign w:val="subscript"/>
        </w:rPr>
        <w:t>2</w:t>
      </w:r>
      <w:r>
        <w:rPr>
          <w:i/>
        </w:rPr>
        <w:t>, ..., S</w:t>
      </w:r>
      <w:r>
        <w:rPr>
          <w:i/>
          <w:vertAlign w:val="subscript"/>
        </w:rPr>
        <w:t>m</w:t>
      </w:r>
      <w:r>
        <w:rPr>
          <w:i/>
        </w:rPr>
        <w:t xml:space="preserve">} </w:t>
      </w:r>
      <w:r>
        <w:rPr/>
        <w:t xml:space="preserve">descrito por varios atributos </w:t>
      </w:r>
      <w:r>
        <w:rPr>
          <w:i/>
        </w:rPr>
        <w:t>S</w:t>
      </w:r>
      <w:r>
        <w:rPr>
          <w:i/>
          <w:vertAlign w:val="subscript"/>
        </w:rPr>
        <w:t>i</w:t>
      </w:r>
      <w:r>
        <w:rPr/>
        <w:t xml:space="preserve">, entonces, </w:t>
      </w:r>
      <w:r>
        <w:rPr/>
      </w:r>
      <m:oMath xmlns:m="http://schemas.openxmlformats.org/officeDocument/2006/math">
        <m:sSub>
          <m:e>
            <m:r>
              <w:rPr>
                <w:rFonts w:ascii="Cambria Math" w:hAnsi="Cambria Math"/>
              </w:rPr>
              <m:t xml:space="preserve">μ</m:t>
            </m:r>
          </m:e>
          <m:sub>
            <m:r>
              <w:rPr>
                <w:rFonts w:ascii="Cambria Math" w:hAnsi="Cambria Math"/>
              </w:rPr>
              <m:t xml:space="preserve">S</m:t>
            </m:r>
          </m:sub>
        </m:sSub>
        <m:d>
          <m:dPr>
            <m:begChr m:val="("/>
            <m:endChr m:val=")"/>
          </m:dPr>
          <m:e>
            <m:sSub>
              <m:e>
                <m:r>
                  <w:rPr>
                    <w:rFonts w:ascii="Cambria Math" w:hAnsi="Cambria Math"/>
                  </w:rPr>
                  <m:t xml:space="preserve">y</m:t>
                </m:r>
              </m:e>
              <m:sub>
                <m:r>
                  <w:rPr>
                    <w:rFonts w:ascii="Cambria Math" w:hAnsi="Cambria Math"/>
                  </w:rPr>
                  <m:t xml:space="preserve">i</m:t>
                </m:r>
              </m:sub>
            </m:sSub>
          </m:e>
        </m:d>
      </m:oMath>
      <w:r>
        <w:rPr/>
        <w:t xml:space="preserve">, </w:t>
      </w:r>
      <w:r>
        <w:rPr>
          <w:i/>
        </w:rPr>
        <w:t>i</w:t>
      </w:r>
      <w:r>
        <w:rPr/>
        <w:t xml:space="preserve"> = 1, 2, …,</w:t>
      </w:r>
      <w:r>
        <w:rPr>
          <w:i/>
          <w:iCs/>
        </w:rPr>
        <w:t>n,</w:t>
      </w:r>
      <w:r>
        <w:rPr/>
        <w:t xml:space="preserve"> </w:t>
      </w:r>
      <w:r>
        <w:rPr/>
      </w:r>
      <m:oMath xmlns:m="http://schemas.openxmlformats.org/officeDocument/2006/math">
        <m:sSub>
          <m:e>
            <m:r>
              <w:rPr>
                <w:rFonts w:ascii="Cambria Math" w:hAnsi="Cambria Math"/>
              </w:rPr>
              <m:t xml:space="preserve">μ</m:t>
            </m:r>
          </m:e>
          <m:sub>
            <m:r>
              <w:rPr>
                <w:rFonts w:ascii="Cambria Math" w:hAnsi="Cambria Math"/>
              </w:rPr>
              <m:t xml:space="preserve">S</m:t>
            </m:r>
          </m:sub>
        </m:sSub>
      </m:oMath>
      <w:r>
        <w:rPr/>
        <w:t xml:space="preserve">representa el grado de certeza del sumarizador y puede ser definido como muestra la </w:t>
      </w:r>
      <w:r>
        <w:rPr/>
        <w:fldChar w:fldCharType="begin"/>
      </w:r>
      <w:r>
        <w:instrText> REF _Ref70270882 \h </w:instrText>
      </w:r>
      <w:r>
        <w:fldChar w:fldCharType="separate"/>
      </w:r>
      <w:r>
        <w:t xml:space="preserve">Ecuación </w:t>
      </w:r>
      <w:r>
        <w:fldChar w:fldCharType="end"/>
      </w:r>
      <w:r>
        <w:rPr/>
        <w:t>:</w:t>
      </w:r>
    </w:p>
    <w:tbl>
      <w:tblPr>
        <w:tblStyle w:val="Tablaconcuadrcula"/>
        <w:tblW w:w="8971" w:type="dxa"/>
        <w:jc w:val="left"/>
        <w:tblInd w:w="0" w:type="dxa"/>
        <w:tblCellMar>
          <w:top w:w="0" w:type="dxa"/>
          <w:left w:w="123" w:type="dxa"/>
          <w:bottom w:w="0" w:type="dxa"/>
          <w:right w:w="108" w:type="dxa"/>
        </w:tblCellMar>
        <w:tblLook w:val="04a0" w:noVBand="1" w:noHBand="0" w:lastColumn="0" w:firstColumn="1" w:lastRow="0" w:firstRow="1"/>
      </w:tblPr>
      <w:tblGrid>
        <w:gridCol w:w="6662"/>
        <w:gridCol w:w="2308"/>
      </w:tblGrid>
      <w:tr>
        <w:trPr/>
        <w:tc>
          <w:tcPr>
            <w:tcW w:w="6662" w:type="dxa"/>
            <w:tcBorders>
              <w:top w:val="nil"/>
              <w:left w:val="nil"/>
              <w:bottom w:val="nil"/>
              <w:right w:val="nil"/>
              <w:insideH w:val="nil"/>
              <w:insideV w:val="nil"/>
            </w:tcBorders>
            <w:shd w:color="auto" w:fill="auto" w:val="clear"/>
            <w:vAlign w:val="center"/>
          </w:tcPr>
          <w:p>
            <w:pPr>
              <w:pStyle w:val="Normal"/>
              <w:widowControl/>
              <w:suppressAutoHyphens w:val="true"/>
              <w:bidi w:val="0"/>
              <w:spacing w:lineRule="auto" w:line="312" w:before="80" w:after="60"/>
              <w:jc w:val="both"/>
              <w:textAlignment w:val="baseline"/>
              <w:rPr/>
            </w:pPr>
            <w:r>
              <w:rPr/>
            </w:r>
            <m:oMath xmlns:m="http://schemas.openxmlformats.org/officeDocument/2006/math">
              <m:sSub>
                <m:e>
                  <m:r>
                    <w:rPr>
                      <w:rFonts w:ascii="Cambria Math" w:hAnsi="Cambria Math"/>
                    </w:rPr>
                    <m:t xml:space="preserve">μ</m:t>
                  </m:r>
                </m:e>
                <m:sub>
                  <m:r>
                    <w:rPr>
                      <w:rFonts w:ascii="Cambria Math" w:hAnsi="Cambria Math"/>
                    </w:rPr>
                    <m:t xml:space="preserve">S</m:t>
                  </m:r>
                </m:sub>
              </m:sSub>
              <m:d>
                <m:dPr>
                  <m:begChr m:val="("/>
                  <m:endChr m:val=")"/>
                </m:dPr>
                <m:e>
                  <m:sSub>
                    <m:e>
                      <m:r>
                        <w:rPr>
                          <w:rFonts w:ascii="Cambria Math" w:hAnsi="Cambria Math"/>
                        </w:rPr>
                        <m:t xml:space="preserve">y</m:t>
                      </m:r>
                    </m:e>
                    <m:sub>
                      <m:r>
                        <w:rPr>
                          <w:rFonts w:ascii="Cambria Math" w:hAnsi="Cambria Math"/>
                        </w:rPr>
                        <m:t xml:space="preserve">i</m:t>
                      </m:r>
                    </m:sub>
                  </m:sSub>
                </m:e>
              </m:d>
              <m:r>
                <w:rPr>
                  <w:rFonts w:ascii="Cambria Math" w:hAnsi="Cambria Math"/>
                </w:rPr>
                <m:t xml:space="preserve">=</m:t>
              </m:r>
            </m:oMath>
            <w:r>
              <w:rPr>
                <w:rFonts w:cs="Times New Roman" w:ascii="Cambria Math" w:hAnsi="Cambria Math"/>
                <w:i/>
                <w:color w:val="00000A"/>
                <w:sz w:val="28"/>
              </w:rPr>
              <w:t>min</w:t>
            </w:r>
            <w:r>
              <w:rPr>
                <w:rFonts w:cs="Times New Roman" w:ascii="Cambria Math" w:hAnsi="Cambria Math"/>
                <w:i/>
                <w:color w:val="00000A"/>
                <w:sz w:val="28"/>
                <w:vertAlign w:val="subscript"/>
              </w:rPr>
              <w:t>j∈{1, 2, ..., m}</w:t>
            </w:r>
            <w:r>
              <w:rPr>
                <w:rFonts w:cs="Times New Roman" w:ascii="Cambria Math" w:hAnsi="Cambria Math"/>
                <w:i/>
                <w:color w:val="00000A"/>
                <w:sz w:val="28"/>
              </w:rPr>
              <w:t>[ μ</w:t>
            </w:r>
            <w:r>
              <w:rPr>
                <w:rFonts w:cs="Times New Roman" w:ascii="Cambria Math" w:hAnsi="Cambria Math"/>
                <w:i/>
                <w:color w:val="00000A"/>
                <w:sz w:val="28"/>
                <w:vertAlign w:val="subscript"/>
              </w:rPr>
              <w:t>Sj</w:t>
            </w:r>
            <w:r>
              <w:rPr>
                <w:rFonts w:cs="Times New Roman" w:ascii="Cambria Math" w:hAnsi="Cambria Math"/>
                <w:i/>
                <w:color w:val="00000A"/>
                <w:sz w:val="28"/>
              </w:rPr>
              <w:t>(V</w:t>
            </w:r>
            <w:r>
              <w:rPr>
                <w:rFonts w:cs="Times New Roman" w:ascii="Cambria Math" w:hAnsi="Cambria Math"/>
                <w:i/>
                <w:color w:val="00000A"/>
                <w:sz w:val="28"/>
                <w:vertAlign w:val="subscript"/>
              </w:rPr>
              <w:t>j</w:t>
            </w:r>
            <w:r>
              <w:rPr>
                <w:rFonts w:cs="Times New Roman" w:ascii="Cambria Math" w:hAnsi="Cambria Math"/>
                <w:i/>
                <w:color w:val="00000A"/>
                <w:sz w:val="28"/>
              </w:rPr>
              <w:t>(y</w:t>
            </w:r>
            <w:r>
              <w:rPr>
                <w:rFonts w:cs="Times New Roman" w:ascii="Cambria Math" w:hAnsi="Cambria Math"/>
                <w:i/>
                <w:color w:val="00000A"/>
                <w:sz w:val="28"/>
                <w:vertAlign w:val="subscript"/>
              </w:rPr>
              <w:t>i</w:t>
            </w:r>
            <w:r>
              <w:rPr>
                <w:rFonts w:cs="Times New Roman" w:ascii="Cambria Math" w:hAnsi="Cambria Math"/>
                <w:i/>
                <w:color w:val="00000A"/>
                <w:sz w:val="28"/>
              </w:rPr>
              <w:t>)) ]</w:t>
            </w:r>
          </w:p>
        </w:tc>
        <w:tc>
          <w:tcPr>
            <w:tcW w:w="2308" w:type="dxa"/>
            <w:tcBorders>
              <w:top w:val="nil"/>
              <w:left w:val="nil"/>
              <w:bottom w:val="nil"/>
              <w:right w:val="nil"/>
              <w:insideH w:val="nil"/>
              <w:insideV w:val="nil"/>
            </w:tcBorders>
            <w:shd w:color="auto" w:fill="auto" w:val="clear"/>
            <w:vAlign w:val="center"/>
          </w:tcPr>
          <w:p>
            <w:pPr>
              <w:pStyle w:val="Normal"/>
              <w:widowControl/>
              <w:suppressAutoHyphens w:val="true"/>
              <w:bidi w:val="0"/>
              <w:spacing w:lineRule="auto" w:line="312" w:before="80" w:after="60"/>
              <w:jc w:val="both"/>
              <w:textAlignment w:val="baseline"/>
              <w:rPr/>
            </w:pPr>
            <w:bookmarkStart w:id="1315" w:name="_Ref70270882"/>
            <w:r>
              <w:rPr/>
              <w:t xml:space="preserve">Ecuación </w:t>
            </w:r>
            <w:bookmarkEnd w:id="1315"/>
            <w:r>
              <w:rPr/>
              <w:fldChar w:fldCharType="begin"/>
            </w:r>
            <w:r>
              <w:instrText> SEQ Ecuación \* ARABIC </w:instrText>
            </w:r>
            <w:r>
              <w:fldChar w:fldCharType="separate"/>
            </w:r>
            <w:r>
              <w:t>12</w:t>
            </w:r>
            <w:r>
              <w:fldChar w:fldCharType="end"/>
            </w:r>
          </w:p>
        </w:tc>
      </w:tr>
    </w:tbl>
    <w:p>
      <w:pPr>
        <w:pStyle w:val="Normal"/>
        <w:rPr/>
      </w:pPr>
      <w:r>
        <w:rPr/>
        <w:t xml:space="preserve">En caso de que el resumen contenga filtros, se define según la </w:t>
      </w:r>
      <w:r>
        <w:rPr/>
        <w:fldChar w:fldCharType="begin"/>
      </w:r>
      <w:r>
        <w:instrText> REF _Ref70270897 \h </w:instrText>
      </w:r>
      <w:r>
        <w:fldChar w:fldCharType="separate"/>
      </w:r>
      <w:r>
        <w:t xml:space="preserve">Ecuación </w:t>
      </w:r>
      <w:r>
        <w:fldChar w:fldCharType="end"/>
      </w:r>
      <w:r>
        <w:rPr/>
        <w:t>:</w:t>
      </w:r>
    </w:p>
    <w:tbl>
      <w:tblPr>
        <w:tblStyle w:val="Tablaconcuadrcula"/>
        <w:tblW w:w="8981" w:type="dxa"/>
        <w:jc w:val="left"/>
        <w:tblInd w:w="0" w:type="dxa"/>
        <w:tblCellMar>
          <w:top w:w="0" w:type="dxa"/>
          <w:left w:w="123" w:type="dxa"/>
          <w:bottom w:w="0" w:type="dxa"/>
          <w:right w:w="108" w:type="dxa"/>
        </w:tblCellMar>
        <w:tblLook w:val="04a0" w:noVBand="1" w:noHBand="0" w:lastColumn="0" w:firstColumn="1" w:lastRow="0" w:firstRow="1"/>
      </w:tblPr>
      <w:tblGrid>
        <w:gridCol w:w="6098"/>
        <w:gridCol w:w="2882"/>
      </w:tblGrid>
      <w:tr>
        <w:trPr/>
        <w:tc>
          <w:tcPr>
            <w:tcW w:w="6098" w:type="dxa"/>
            <w:tcBorders>
              <w:top w:val="nil"/>
              <w:left w:val="nil"/>
              <w:bottom w:val="nil"/>
              <w:right w:val="nil"/>
              <w:insideH w:val="nil"/>
              <w:insideV w:val="nil"/>
            </w:tcBorders>
            <w:shd w:color="auto" w:fill="auto" w:val="clear"/>
          </w:tcPr>
          <w:p>
            <w:pPr>
              <w:pStyle w:val="Normal"/>
              <w:widowControl/>
              <w:suppressAutoHyphens w:val="true"/>
              <w:bidi w:val="0"/>
              <w:spacing w:lineRule="auto" w:line="312" w:before="80" w:after="60"/>
              <w:jc w:val="both"/>
              <w:textAlignment w:val="baseline"/>
              <w:rPr/>
            </w:pPr>
            <w:r>
              <w:rPr/>
            </w:r>
            <m:oMath xmlns:m="http://schemas.openxmlformats.org/officeDocument/2006/math">
              <m:sSub>
                <m:e>
                  <m:r>
                    <w:rPr>
                      <w:rFonts w:ascii="Cambria Math" w:hAnsi="Cambria Math"/>
                    </w:rPr>
                    <m:t xml:space="preserve">μ</m:t>
                  </m:r>
                </m:e>
                <m:sub>
                  <m:r>
                    <w:rPr>
                      <w:rFonts w:ascii="Cambria Math" w:hAnsi="Cambria Math"/>
                    </w:rPr>
                    <m:t xml:space="preserve">S</m:t>
                  </m:r>
                </m:sub>
              </m:sSub>
              <m:d>
                <m:dPr>
                  <m:begChr m:val="("/>
                  <m:endChr m:val=")"/>
                </m:dPr>
                <m:e>
                  <m:sSub>
                    <m:e>
                      <m:r>
                        <w:rPr>
                          <w:rFonts w:ascii="Cambria Math" w:hAnsi="Cambria Math"/>
                        </w:rPr>
                        <m:t xml:space="preserve">y</m:t>
                      </m:r>
                    </m:e>
                    <m:sub>
                      <m:r>
                        <w:rPr>
                          <w:rFonts w:ascii="Cambria Math" w:hAnsi="Cambria Math"/>
                        </w:rPr>
                        <m:t xml:space="preserve">i</m:t>
                      </m:r>
                    </m:sub>
                  </m:sSub>
                </m:e>
              </m:d>
              <m:r>
                <w:rPr>
                  <w:rFonts w:ascii="Cambria Math" w:hAnsi="Cambria Math"/>
                </w:rPr>
                <m:t xml:space="preserve">=</m:t>
              </m:r>
            </m:oMath>
            <w:r>
              <w:rPr>
                <w:rFonts w:cs="Times New Roman" w:ascii="Cambria Math" w:hAnsi="Cambria Math"/>
                <w:i/>
                <w:color w:val="00000A"/>
                <w:sz w:val="28"/>
              </w:rPr>
              <w:t>min</w:t>
            </w:r>
            <w:r>
              <w:rPr>
                <w:rFonts w:cs="Times New Roman" w:ascii="Cambria Math" w:hAnsi="Cambria Math"/>
                <w:i/>
                <w:color w:val="00000A"/>
                <w:sz w:val="28"/>
                <w:vertAlign w:val="subscript"/>
              </w:rPr>
              <w:t>j∈{1, 2, ..., m}</w:t>
            </w:r>
            <w:r>
              <w:rPr>
                <w:rFonts w:cs="Times New Roman" w:ascii="Cambria Math" w:hAnsi="Cambria Math"/>
                <w:i/>
                <w:color w:val="00000A"/>
                <w:sz w:val="28"/>
              </w:rPr>
              <w:t>[ μ</w:t>
            </w:r>
            <w:r>
              <w:rPr>
                <w:rFonts w:cs="Times New Roman" w:ascii="Cambria Math" w:hAnsi="Cambria Math"/>
                <w:i/>
                <w:color w:val="00000A"/>
                <w:sz w:val="28"/>
                <w:vertAlign w:val="subscript"/>
              </w:rPr>
              <w:t>Sj</w:t>
            </w:r>
            <w:r>
              <w:rPr>
                <w:rFonts w:cs="Times New Roman" w:ascii="Cambria Math" w:hAnsi="Cambria Math"/>
                <w:i/>
                <w:color w:val="00000A"/>
                <w:sz w:val="28"/>
              </w:rPr>
              <w:t>(V</w:t>
            </w:r>
            <w:r>
              <w:rPr>
                <w:rFonts w:cs="Times New Roman" w:ascii="Cambria Math" w:hAnsi="Cambria Math"/>
                <w:i/>
                <w:color w:val="00000A"/>
                <w:sz w:val="28"/>
                <w:vertAlign w:val="subscript"/>
              </w:rPr>
              <w:t>j</w:t>
            </w:r>
            <w:r>
              <w:rPr>
                <w:rFonts w:cs="Times New Roman" w:ascii="Cambria Math" w:hAnsi="Cambria Math"/>
                <w:i/>
                <w:color w:val="00000A"/>
                <w:sz w:val="28"/>
              </w:rPr>
              <w:t>(y</w:t>
            </w:r>
            <w:r>
              <w:rPr>
                <w:rFonts w:cs="Times New Roman" w:ascii="Cambria Math" w:hAnsi="Cambria Math"/>
                <w:i/>
                <w:color w:val="00000A"/>
                <w:sz w:val="28"/>
                <w:vertAlign w:val="subscript"/>
              </w:rPr>
              <w:t>i</w:t>
            </w:r>
            <w:r>
              <w:rPr>
                <w:rFonts w:cs="Times New Roman" w:ascii="Cambria Math" w:hAnsi="Cambria Math"/>
                <w:i/>
                <w:color w:val="00000A"/>
                <w:sz w:val="28"/>
              </w:rPr>
              <w:t>)) ∧ μ</w:t>
            </w:r>
            <w:r>
              <w:rPr>
                <w:rFonts w:cs="Times New Roman" w:ascii="Cambria Math" w:hAnsi="Cambria Math"/>
                <w:i/>
                <w:color w:val="00000A"/>
                <w:sz w:val="28"/>
                <w:vertAlign w:val="subscript"/>
              </w:rPr>
              <w:t>Rg</w:t>
            </w:r>
            <w:r>
              <w:rPr>
                <w:rFonts w:cs="Times New Roman" w:ascii="Cambria Math" w:hAnsi="Cambria Math"/>
                <w:i/>
                <w:color w:val="00000A"/>
                <w:sz w:val="28"/>
              </w:rPr>
              <w:t>(V</w:t>
            </w:r>
            <w:r>
              <w:rPr>
                <w:rFonts w:cs="Times New Roman" w:ascii="Cambria Math" w:hAnsi="Cambria Math"/>
                <w:i/>
                <w:color w:val="00000A"/>
                <w:sz w:val="28"/>
                <w:vertAlign w:val="subscript"/>
              </w:rPr>
              <w:t>g</w:t>
            </w:r>
            <w:r>
              <w:rPr>
                <w:rFonts w:cs="Times New Roman" w:ascii="Cambria Math" w:hAnsi="Cambria Math"/>
                <w:i/>
                <w:color w:val="00000A"/>
                <w:sz w:val="28"/>
              </w:rPr>
              <w:t>(y</w:t>
            </w:r>
            <w:r>
              <w:rPr>
                <w:rFonts w:cs="Times New Roman" w:ascii="Cambria Math" w:hAnsi="Cambria Math"/>
                <w:i/>
                <w:color w:val="00000A"/>
                <w:sz w:val="28"/>
                <w:vertAlign w:val="subscript"/>
              </w:rPr>
              <w:t>g</w:t>
            </w:r>
            <w:r>
              <w:rPr>
                <w:rFonts w:cs="Times New Roman" w:ascii="Cambria Math" w:hAnsi="Cambria Math"/>
                <w:i/>
                <w:color w:val="00000A"/>
                <w:sz w:val="28"/>
              </w:rPr>
              <w:t>)) ]</w:t>
            </w:r>
          </w:p>
        </w:tc>
        <w:tc>
          <w:tcPr>
            <w:tcW w:w="2882" w:type="dxa"/>
            <w:tcBorders>
              <w:top w:val="nil"/>
              <w:left w:val="nil"/>
              <w:bottom w:val="nil"/>
              <w:right w:val="nil"/>
              <w:insideH w:val="nil"/>
              <w:insideV w:val="nil"/>
            </w:tcBorders>
            <w:shd w:color="auto" w:fill="auto" w:val="clear"/>
          </w:tcPr>
          <w:p>
            <w:pPr>
              <w:pStyle w:val="Normal"/>
              <w:widowControl/>
              <w:suppressAutoHyphens w:val="true"/>
              <w:bidi w:val="0"/>
              <w:spacing w:lineRule="auto" w:line="312" w:before="80" w:after="60"/>
              <w:jc w:val="both"/>
              <w:textAlignment w:val="baseline"/>
              <w:rPr/>
            </w:pPr>
            <w:bookmarkStart w:id="1316" w:name="_Ref70270897"/>
            <w:r>
              <w:rPr/>
              <w:t xml:space="preserve">Ecuación </w:t>
            </w:r>
            <w:bookmarkEnd w:id="1316"/>
            <w:r>
              <w:rPr/>
              <w:fldChar w:fldCharType="begin"/>
            </w:r>
            <w:r>
              <w:instrText> SEQ Ecuación \* ARABIC </w:instrText>
            </w:r>
            <w:r>
              <w:fldChar w:fldCharType="separate"/>
            </w:r>
            <w:r>
              <w:t>13</w:t>
            </w:r>
            <w:r>
              <w:fldChar w:fldCharType="end"/>
            </w:r>
          </w:p>
        </w:tc>
      </w:tr>
    </w:tbl>
    <w:p>
      <w:pPr>
        <w:pStyle w:val="Normal"/>
        <w:rPr/>
      </w:pPr>
      <w:r>
        <w:rPr/>
        <w:t>Donde “</w:t>
      </w:r>
      <w:r>
        <w:rPr>
          <w:rFonts w:cs="Cambria Math" w:ascii="Cambria Math" w:hAnsi="Cambria Math"/>
        </w:rPr>
        <w:t>∧</w:t>
      </w:r>
      <w:r>
        <w:rPr/>
        <w:t xml:space="preserve">” es una t-norma y </w:t>
      </w:r>
      <w:r>
        <w:rPr>
          <w:rFonts w:cs="Times New Roman" w:ascii="Cambria Math" w:hAnsi="Cambria Math"/>
          <w:i/>
          <w:color w:val="00000A"/>
          <w:sz w:val="28"/>
        </w:rPr>
        <w:t>μ</w:t>
      </w:r>
      <w:r>
        <w:rPr>
          <w:rFonts w:cs="Times New Roman" w:ascii="Cambria Math" w:hAnsi="Cambria Math"/>
          <w:i/>
          <w:color w:val="00000A"/>
          <w:sz w:val="28"/>
          <w:vertAlign w:val="subscript"/>
        </w:rPr>
        <w:t>Rg</w:t>
      </w:r>
      <w:r>
        <w:rPr>
          <w:rFonts w:cs="Times New Roman" w:ascii="Cambria Math" w:hAnsi="Cambria Math"/>
          <w:i/>
          <w:color w:val="00000A"/>
          <w:sz w:val="28"/>
        </w:rPr>
        <w:t>(V</w:t>
      </w:r>
      <w:r>
        <w:rPr>
          <w:rFonts w:cs="Times New Roman" w:ascii="Cambria Math" w:hAnsi="Cambria Math"/>
          <w:i/>
          <w:color w:val="00000A"/>
          <w:sz w:val="28"/>
          <w:vertAlign w:val="subscript"/>
        </w:rPr>
        <w:t>g</w:t>
      </w:r>
      <w:r>
        <w:rPr>
          <w:rFonts w:cs="Times New Roman" w:ascii="Cambria Math" w:hAnsi="Cambria Math"/>
          <w:i/>
          <w:color w:val="00000A"/>
          <w:sz w:val="28"/>
        </w:rPr>
        <w:t>(y</w:t>
      </w:r>
      <w:r>
        <w:rPr>
          <w:rFonts w:cs="Times New Roman" w:ascii="Cambria Math" w:hAnsi="Cambria Math"/>
          <w:i/>
          <w:color w:val="00000A"/>
          <w:sz w:val="28"/>
          <w:vertAlign w:val="subscript"/>
        </w:rPr>
        <w:t>g</w:t>
      </w:r>
      <w:r>
        <w:rPr>
          <w:rFonts w:cs="Times New Roman" w:ascii="Cambria Math" w:hAnsi="Cambria Math"/>
          <w:i/>
          <w:color w:val="00000A"/>
          <w:sz w:val="28"/>
        </w:rPr>
        <w:t>))</w:t>
      </w:r>
      <w:r>
        <w:rPr/>
        <w:t xml:space="preserve"> representa el grado de certeza de los filtros del resumen.</w:t>
      </w:r>
    </w:p>
    <w:p>
      <w:pPr>
        <w:pStyle w:val="Heading3"/>
        <w:numPr>
          <w:ilvl w:val="2"/>
          <w:numId w:val="80"/>
        </w:numPr>
        <w:rPr/>
      </w:pPr>
      <w:r>
        <w:rPr/>
        <w:t>T</w:t>
      </w:r>
      <w:r>
        <w:rPr>
          <w:vertAlign w:val="subscript"/>
        </w:rPr>
        <w:t>1</w:t>
      </w:r>
      <w:r>
        <w:rPr/>
        <w:t>: grado de verdad</w:t>
      </w:r>
    </w:p>
    <w:p>
      <w:pPr>
        <w:pStyle w:val="Normal"/>
        <w:rPr/>
      </w:pPr>
      <w:r>
        <w:rPr/>
        <w:t xml:space="preserve">El “grado de verdad </w:t>
      </w:r>
      <w:r>
        <w:rPr>
          <w:i/>
        </w:rPr>
        <w:t>T</w:t>
      </w:r>
      <w:r>
        <w:rPr>
          <w:vertAlign w:val="subscript"/>
        </w:rPr>
        <w:t>1</w:t>
      </w:r>
      <w:r>
        <w:rPr/>
        <w:t xml:space="preserve">” determina la validez de un resumen, criterio introducido por Yager en </w:t>
      </w:r>
      <w:r>
        <w:fldChar w:fldCharType="begin"/>
      </w:r>
      <w:r>
        <w:instrText>ADDIN ZOTERO_ITEM CSL_CITATION {"citationID":"WL44sOJb","properties":{"formattedCitation":"(Yager 1982)","plainCitation":"(Yager 1982)","noteIndex":0},"citationItems":[{"id":"NJclqhNX/E1eUvurW","uris":["http://zotero.org/users/local/rsuvzjK6/items/YR5JT4VR"],"uri":["http://zotero.org/users/local/rsuvzjK6/items/YR5JT4VR"],"itemData":{"id":3204,"type":"article-journal","container-title":"Information Sciences","DOI":"10.1016/0020-0255(82)90033-0","issue":"1","page":"69–86","title":"A new approach to the summarization of data","volume":"28","author":[{"family":"Yager","given":"Ronald R"}],"issued":{"date-parts":[["1982"]]}}}],"schema":"https://github.com/citation-style-language/schema/raw/master/csl-citation.json"}</w:instrText>
      </w:r>
      <w:r>
        <w:fldChar w:fldCharType="separate"/>
      </w:r>
      <w:bookmarkStart w:id="1317" w:name="__Fieldmark__10204_2067855929"/>
      <w:r>
        <w:rPr/>
        <w:t>(</w:t>
      </w:r>
      <w:bookmarkStart w:id="1318" w:name="__Fieldmark__8822_498839314"/>
      <w:r>
        <w:rPr/>
        <w:t>Y</w:t>
      </w:r>
      <w:bookmarkStart w:id="1319" w:name="__Fieldmark__7834_998588997"/>
      <w:r>
        <w:rPr/>
        <w:t>a</w:t>
      </w:r>
      <w:bookmarkStart w:id="1320" w:name="__Fieldmark__11940_118561941"/>
      <w:r>
        <w:rPr/>
        <w:t>ger 1982)</w:t>
      </w:r>
      <w:r>
        <w:rPr/>
      </w:r>
      <w:r>
        <w:fldChar w:fldCharType="end"/>
      </w:r>
      <w:bookmarkEnd w:id="1317"/>
      <w:bookmarkEnd w:id="1318"/>
      <w:bookmarkEnd w:id="1319"/>
      <w:bookmarkEnd w:id="1320"/>
      <w:r>
        <w:rPr/>
        <w:t xml:space="preserve">. En la </w:t>
      </w:r>
      <w:r>
        <w:rPr/>
        <w:fldChar w:fldCharType="begin"/>
      </w:r>
      <w:r>
        <w:instrText> REF _Ref48387905 \h </w:instrText>
      </w:r>
      <w:r>
        <w:fldChar w:fldCharType="separate"/>
      </w:r>
      <w:r>
        <w:t xml:space="preserve">Ecuación </w:t>
      </w:r>
      <w:r>
        <w:fldChar w:fldCharType="end"/>
      </w:r>
      <w:r>
        <w:rPr/>
        <w:t xml:space="preserve"> se muestra cómo calcular este indicador para los resúmenes sin filtro y la </w:t>
      </w:r>
      <w:r>
        <w:rPr/>
        <w:fldChar w:fldCharType="begin"/>
      </w:r>
      <w:r>
        <w:instrText> REF _Ref48387942 \h </w:instrText>
      </w:r>
      <w:r>
        <w:fldChar w:fldCharType="separate"/>
      </w:r>
      <w:r>
        <w:t xml:space="preserve">Ecuación </w:t>
      </w:r>
      <w:r>
        <w:fldChar w:fldCharType="end"/>
      </w:r>
      <w:r>
        <w:rPr/>
        <w:t xml:space="preserve"> para los que lo tienen.</w:t>
      </w:r>
    </w:p>
    <w:tbl>
      <w:tblPr>
        <w:tblStyle w:val="Tablaconcuadrcula"/>
        <w:tblW w:w="7905" w:type="dxa"/>
        <w:jc w:val="left"/>
        <w:tblInd w:w="0" w:type="dxa"/>
        <w:tblCellMar>
          <w:top w:w="0" w:type="dxa"/>
          <w:left w:w="123" w:type="dxa"/>
          <w:bottom w:w="0" w:type="dxa"/>
          <w:right w:w="108" w:type="dxa"/>
        </w:tblCellMar>
        <w:tblLook w:val="04a0" w:noVBand="1" w:noHBand="0" w:lastColumn="0" w:firstColumn="1" w:lastRow="0" w:firstRow="1"/>
      </w:tblPr>
      <w:tblGrid>
        <w:gridCol w:w="4819"/>
        <w:gridCol w:w="3085"/>
      </w:tblGrid>
      <w:tr>
        <w:trPr>
          <w:trHeight w:val="596" w:hRule="atLeast"/>
        </w:trPr>
        <w:tc>
          <w:tcPr>
            <w:tcW w:w="4819" w:type="dxa"/>
            <w:tcBorders>
              <w:top w:val="nil"/>
              <w:left w:val="nil"/>
              <w:bottom w:val="nil"/>
              <w:right w:val="nil"/>
              <w:insideH w:val="nil"/>
              <w:insideV w:val="nil"/>
            </w:tcBorders>
            <w:shd w:color="auto" w:fill="auto" w:val="clear"/>
            <w:vAlign w:val="center"/>
          </w:tcPr>
          <w:p>
            <w:pPr>
              <w:pStyle w:val="Caption1"/>
              <w:spacing w:before="0" w:after="60"/>
              <w:jc w:val="left"/>
              <w:rPr>
                <w:sz w:val="22"/>
              </w:rPr>
            </w:pPr>
            <w:r>
              <w:rPr/>
            </w:r>
            <m:oMath xmlns:m="http://schemas.openxmlformats.org/officeDocument/2006/math">
              <m:r>
                <w:rPr>
                  <w:rFonts w:ascii="Cambria Math" w:hAnsi="Cambria Math"/>
                </w:rPr>
                <m:t xml:space="preserve">T</m:t>
              </m:r>
              <m:d>
                <m:dPr>
                  <m:begChr m:val="("/>
                  <m:endChr m:val=")"/>
                </m:dPr>
                <m:e>
                  <m:r>
                    <w:rPr>
                      <w:rFonts w:ascii="Cambria Math" w:hAnsi="Cambria Math"/>
                    </w:rPr>
                    <m:t xml:space="preserve">Q</m:t>
                  </m:r>
                  <m:sSup>
                    <m:e>
                      <m:r>
                        <w:rPr>
                          <w:rFonts w:ascii="Cambria Math" w:hAnsi="Cambria Math"/>
                        </w:rPr>
                        <m:t xml:space="preserve">y</m:t>
                      </m:r>
                    </m:e>
                    <m:sup>
                      <m:r>
                        <w:rPr>
                          <w:rFonts w:ascii="Cambria Math" w:hAnsi="Cambria Math"/>
                        </w:rPr>
                        <m:t xml:space="preserve">'</m:t>
                      </m:r>
                    </m:sup>
                  </m:sSup>
                  <m:r>
                    <w:rPr>
                      <w:rFonts w:ascii="Cambria Math" w:hAnsi="Cambria Math"/>
                    </w:rPr>
                    <m:t xml:space="preserve">s</m:t>
                  </m:r>
                  <m:r>
                    <w:rPr>
                      <w:rFonts w:ascii="Cambria Math" w:hAnsi="Cambria Math"/>
                    </w:rPr>
                    <m:t xml:space="preserve">a</m:t>
                  </m:r>
                  <m:r>
                    <w:rPr>
                      <w:rFonts w:ascii="Cambria Math" w:hAnsi="Cambria Math"/>
                    </w:rPr>
                    <m:t xml:space="preserve">reS</m:t>
                  </m:r>
                </m:e>
              </m:d>
              <m:r>
                <w:rPr>
                  <w:rFonts w:ascii="Cambria Math" w:hAnsi="Cambria Math"/>
                </w:rPr>
                <m:t xml:space="preserve">=</m:t>
              </m:r>
              <m:sSub>
                <m:e>
                  <m:r>
                    <w:rPr>
                      <w:rFonts w:ascii="Cambria Math" w:hAnsi="Cambria Math"/>
                    </w:rPr>
                    <m:t xml:space="preserve">μ</m:t>
                  </m:r>
                </m:e>
                <m:sub>
                  <m:r>
                    <w:rPr>
                      <w:rFonts w:ascii="Cambria Math" w:hAnsi="Cambria Math"/>
                    </w:rPr>
                    <m:t xml:space="preserve">Q</m:t>
                  </m:r>
                </m:sub>
              </m:sSub>
              <m:d>
                <m:dPr>
                  <m:begChr m:val="["/>
                  <m:endChr m:val="]"/>
                </m:dPr>
                <m:e>
                  <m:f>
                    <m:num>
                      <m:r>
                        <w:rPr>
                          <w:rFonts w:ascii="Cambria Math" w:hAnsi="Cambria Math"/>
                        </w:rPr>
                        <m:t xml:space="preserve">1</m:t>
                      </m:r>
                    </m:num>
                    <m:den>
                      <m:r>
                        <w:rPr>
                          <w:rFonts w:ascii="Cambria Math" w:hAnsi="Cambria Math"/>
                        </w:rPr>
                        <m:t xml:space="preserve">n</m:t>
                      </m:r>
                    </m:den>
                  </m:f>
                  <m:nary>
                    <m:naryPr>
                      <m:chr m:val="∑"/>
                    </m:naryPr>
                    <m:sub>
                      <m:r>
                        <w:rPr>
                          <w:rFonts w:ascii="Cambria Math" w:hAnsi="Cambria Math"/>
                        </w:rPr>
                        <m:t xml:space="preserve">i</m:t>
                      </m:r>
                      <m:r>
                        <w:rPr>
                          <w:rFonts w:ascii="Cambria Math" w:hAnsi="Cambria Math"/>
                        </w:rPr>
                        <m:t xml:space="preserve">=</m:t>
                      </m:r>
                      <m:r>
                        <w:rPr>
                          <w:rFonts w:ascii="Cambria Math" w:hAnsi="Cambria Math"/>
                        </w:rPr>
                        <m:t xml:space="preserve">1</m:t>
                      </m:r>
                    </m:sub>
                    <m:sup>
                      <m:r>
                        <w:rPr>
                          <w:rFonts w:ascii="Cambria Math" w:hAnsi="Cambria Math"/>
                        </w:rPr>
                        <m:t xml:space="preserve">n</m:t>
                      </m:r>
                    </m:sup>
                    <m:e>
                      <m:sSub>
                        <m:e>
                          <m:r>
                            <w:rPr>
                              <w:rFonts w:ascii="Cambria Math" w:hAnsi="Cambria Math"/>
                            </w:rPr>
                            <m:t xml:space="preserve">μ</m:t>
                          </m:r>
                        </m:e>
                        <m:sub>
                          <m:r>
                            <w:rPr>
                              <w:rFonts w:ascii="Cambria Math" w:hAnsi="Cambria Math"/>
                            </w:rPr>
                            <m:t xml:space="preserve">S</m:t>
                          </m:r>
                        </m:sub>
                      </m:sSub>
                    </m:e>
                  </m:nary>
                  <m:d>
                    <m:dPr>
                      <m:begChr m:val="("/>
                      <m:endChr m:val=")"/>
                    </m:dPr>
                    <m:e>
                      <m:sSub>
                        <m:e>
                          <m:r>
                            <w:rPr>
                              <w:rFonts w:ascii="Cambria Math" w:hAnsi="Cambria Math"/>
                            </w:rPr>
                            <m:t xml:space="preserve">y</m:t>
                          </m:r>
                        </m:e>
                        <m:sub>
                          <m:r>
                            <w:rPr>
                              <w:rFonts w:ascii="Cambria Math" w:hAnsi="Cambria Math"/>
                            </w:rPr>
                            <m:t xml:space="preserve">i</m:t>
                          </m:r>
                        </m:sub>
                      </m:sSub>
                    </m:e>
                  </m:d>
                </m:e>
              </m:d>
            </m:oMath>
            <w:r>
              <w:rPr>
                <w:rFonts w:eastAsia="MS Mincho" w:cs="Times New Roman" w:ascii="Times New Roman" w:hAnsi="Times New Roman"/>
                <w:color w:val="00000A"/>
                <w:sz w:val="22"/>
              </w:rPr>
              <w:t xml:space="preserve"> </w:t>
            </w:r>
          </w:p>
        </w:tc>
        <w:tc>
          <w:tcPr>
            <w:tcW w:w="3085" w:type="dxa"/>
            <w:tcBorders>
              <w:top w:val="nil"/>
              <w:left w:val="nil"/>
              <w:bottom w:val="nil"/>
              <w:right w:val="nil"/>
              <w:insideH w:val="nil"/>
              <w:insideV w:val="nil"/>
            </w:tcBorders>
            <w:shd w:color="auto" w:fill="auto" w:val="clear"/>
            <w:vAlign w:val="center"/>
          </w:tcPr>
          <w:p>
            <w:pPr>
              <w:pStyle w:val="Normal"/>
              <w:spacing w:before="80" w:after="60"/>
              <w:jc w:val="right"/>
              <w:rPr/>
            </w:pPr>
            <w:bookmarkStart w:id="1321" w:name="_Ref48387905"/>
            <w:r>
              <w:rPr/>
              <w:t xml:space="preserve">Ecuación </w:t>
            </w:r>
            <w:bookmarkEnd w:id="1321"/>
            <w:r>
              <w:rPr/>
              <w:fldChar w:fldCharType="begin"/>
            </w:r>
            <w:r>
              <w:instrText> SEQ Ecuación \* ARABIC </w:instrText>
            </w:r>
            <w:r>
              <w:fldChar w:fldCharType="separate"/>
            </w:r>
            <w:r>
              <w:t>14</w:t>
            </w:r>
            <w:r>
              <w:fldChar w:fldCharType="end"/>
            </w:r>
          </w:p>
        </w:tc>
      </w:tr>
      <w:tr>
        <w:trPr>
          <w:trHeight w:val="593" w:hRule="atLeast"/>
        </w:trPr>
        <w:tc>
          <w:tcPr>
            <w:tcW w:w="4819" w:type="dxa"/>
            <w:tcBorders>
              <w:top w:val="nil"/>
              <w:left w:val="nil"/>
              <w:bottom w:val="nil"/>
              <w:right w:val="nil"/>
              <w:insideH w:val="nil"/>
              <w:insideV w:val="nil"/>
            </w:tcBorders>
            <w:shd w:color="auto" w:fill="auto" w:val="clear"/>
            <w:vAlign w:val="center"/>
          </w:tcPr>
          <w:p>
            <w:pPr>
              <w:pStyle w:val="Normal"/>
              <w:widowControl/>
              <w:suppressAutoHyphens w:val="true"/>
              <w:bidi w:val="0"/>
              <w:spacing w:lineRule="auto" w:line="312" w:before="80" w:after="60"/>
              <w:jc w:val="both"/>
              <w:textAlignment w:val="baseline"/>
              <w:rPr/>
            </w:pPr>
            <w:r>
              <w:rPr/>
            </w:r>
            <m:oMath xmlns:m="http://schemas.openxmlformats.org/officeDocument/2006/math">
              <m:r>
                <w:rPr>
                  <w:rFonts w:ascii="Cambria Math" w:hAnsi="Cambria Math"/>
                </w:rPr>
                <m:t xml:space="preserve">T</m:t>
              </m:r>
              <m:d>
                <m:dPr>
                  <m:begChr m:val="("/>
                  <m:endChr m:val=")"/>
                </m:dPr>
                <m:e>
                  <m:r>
                    <w:rPr>
                      <w:rFonts w:ascii="Cambria Math" w:hAnsi="Cambria Math"/>
                    </w:rPr>
                    <m:t xml:space="preserve">Q</m:t>
                  </m:r>
                  <m:sSup>
                    <m:e>
                      <m:r>
                        <w:rPr>
                          <w:rFonts w:ascii="Cambria Math" w:hAnsi="Cambria Math"/>
                        </w:rPr>
                        <m:t xml:space="preserve">Ry</m:t>
                      </m:r>
                    </m:e>
                    <m:sup>
                      <m:r>
                        <w:rPr>
                          <w:rFonts w:ascii="Cambria Math" w:hAnsi="Cambria Math"/>
                        </w:rPr>
                        <m:t xml:space="preserve">'</m:t>
                      </m:r>
                    </m:sup>
                  </m:sSup>
                  <m:r>
                    <w:rPr>
                      <w:rFonts w:ascii="Cambria Math" w:hAnsi="Cambria Math"/>
                    </w:rPr>
                    <m:t xml:space="preserve">sareS</m:t>
                  </m:r>
                </m:e>
              </m:d>
              <m:r>
                <w:rPr>
                  <w:rFonts w:ascii="Cambria Math" w:hAnsi="Cambria Math"/>
                </w:rPr>
                <m:t xml:space="preserve">=</m:t>
              </m:r>
              <m:sSub>
                <m:e>
                  <m:r>
                    <w:rPr>
                      <w:rFonts w:ascii="Cambria Math" w:hAnsi="Cambria Math"/>
                    </w:rPr>
                    <m:t xml:space="preserve">μ</m:t>
                  </m:r>
                </m:e>
                <m:sub>
                  <m:r>
                    <w:rPr>
                      <w:rFonts w:ascii="Cambria Math" w:hAnsi="Cambria Math"/>
                    </w:rPr>
                    <m:t xml:space="preserve">Q</m:t>
                  </m:r>
                </m:sub>
              </m:sSub>
              <m:d>
                <m:dPr>
                  <m:begChr m:val="["/>
                  <m:endChr m:val="]"/>
                </m:dPr>
                <m:e>
                  <m:r>
                    <w:rPr>
                      <w:rFonts w:ascii="Cambria Math" w:hAnsi="Cambria Math"/>
                    </w:rPr>
                    <m:t xml:space="preserve">r</m:t>
                  </m:r>
                </m:e>
              </m:d>
            </m:oMath>
          </w:p>
        </w:tc>
        <w:tc>
          <w:tcPr>
            <w:tcW w:w="3085" w:type="dxa"/>
            <w:tcBorders>
              <w:top w:val="nil"/>
              <w:left w:val="nil"/>
              <w:bottom w:val="nil"/>
              <w:right w:val="nil"/>
              <w:insideH w:val="nil"/>
              <w:insideV w:val="nil"/>
            </w:tcBorders>
            <w:shd w:color="auto" w:fill="auto" w:val="clear"/>
            <w:vAlign w:val="center"/>
          </w:tcPr>
          <w:p>
            <w:pPr>
              <w:pStyle w:val="Normal"/>
              <w:spacing w:before="80" w:after="60"/>
              <w:jc w:val="right"/>
              <w:rPr/>
            </w:pPr>
            <w:bookmarkStart w:id="1322" w:name="_Ref48387942"/>
            <w:r>
              <w:rPr/>
              <w:t xml:space="preserve">Ecuación </w:t>
            </w:r>
            <w:bookmarkEnd w:id="1322"/>
            <w:r>
              <w:rPr/>
              <w:fldChar w:fldCharType="begin"/>
            </w:r>
            <w:r>
              <w:instrText> SEQ Ecuación \* ARABIC </w:instrText>
            </w:r>
            <w:r>
              <w:fldChar w:fldCharType="separate"/>
            </w:r>
            <w:r>
              <w:t>15</w:t>
            </w:r>
            <w:r>
              <w:fldChar w:fldCharType="end"/>
            </w:r>
          </w:p>
        </w:tc>
      </w:tr>
      <w:tr>
        <w:trPr>
          <w:trHeight w:val="929" w:hRule="atLeast"/>
        </w:trPr>
        <w:tc>
          <w:tcPr>
            <w:tcW w:w="4819" w:type="dxa"/>
            <w:tcBorders>
              <w:top w:val="nil"/>
              <w:left w:val="nil"/>
              <w:bottom w:val="nil"/>
              <w:right w:val="nil"/>
              <w:insideH w:val="nil"/>
              <w:insideV w:val="nil"/>
            </w:tcBorders>
            <w:shd w:color="auto" w:fill="auto" w:val="clear"/>
            <w:vAlign w:val="center"/>
          </w:tcPr>
          <w:p>
            <w:pPr>
              <w:pStyle w:val="Normal"/>
              <w:widowControl/>
              <w:suppressAutoHyphens w:val="true"/>
              <w:bidi w:val="0"/>
              <w:spacing w:lineRule="auto" w:line="312" w:before="80" w:after="60"/>
              <w:jc w:val="both"/>
              <w:textAlignment w:val="baseline"/>
              <w:rPr>
                <w:rFonts w:eastAsia="MS Mincho"/>
              </w:rPr>
            </w:pPr>
            <w:r>
              <w:rPr/>
            </w:r>
            <m:oMath xmlns:m="http://schemas.openxmlformats.org/officeDocument/2006/math">
              <m:r>
                <w:rPr>
                  <w:rFonts w:ascii="Cambria Math" w:hAnsi="Cambria Math"/>
                </w:rPr>
                <m:t xml:space="preserve">r</m:t>
              </m:r>
              <m:r>
                <w:rPr>
                  <w:rFonts w:ascii="Cambria Math" w:hAnsi="Cambria Math"/>
                </w:rPr>
                <m:t xml:space="preserve">=</m:t>
              </m:r>
              <m:f>
                <m:num>
                  <m:nary>
                    <m:naryPr>
                      <m:chr m:val="∑"/>
                    </m:naryPr>
                    <m:sub>
                      <m:r>
                        <w:rPr>
                          <w:rFonts w:ascii="Cambria Math" w:hAnsi="Cambria Math"/>
                        </w:rPr>
                        <m:t xml:space="preserve">i</m:t>
                      </m:r>
                      <m:r>
                        <w:rPr>
                          <w:rFonts w:ascii="Cambria Math" w:hAnsi="Cambria Math"/>
                        </w:rPr>
                        <m:t xml:space="preserve">=</m:t>
                      </m:r>
                      <m:r>
                        <w:rPr>
                          <w:rFonts w:ascii="Cambria Math" w:hAnsi="Cambria Math"/>
                        </w:rPr>
                        <m:t xml:space="preserve">1</m:t>
                      </m:r>
                    </m:sub>
                    <m:sup>
                      <m:r>
                        <w:rPr>
                          <w:rFonts w:ascii="Cambria Math" w:hAnsi="Cambria Math"/>
                        </w:rPr>
                        <m:t xml:space="preserve">n</m:t>
                      </m:r>
                    </m:sup>
                    <m:e>
                      <m:sSub>
                        <m:e>
                          <m:r>
                            <w:rPr>
                              <w:rFonts w:ascii="Cambria Math" w:hAnsi="Cambria Math"/>
                            </w:rPr>
                            <m:t xml:space="preserve">μ</m:t>
                          </m:r>
                        </m:e>
                        <m:sub>
                          <m:r>
                            <w:rPr>
                              <w:rFonts w:ascii="Cambria Math" w:hAnsi="Cambria Math"/>
                            </w:rPr>
                            <m:t xml:space="preserve">R</m:t>
                          </m:r>
                        </m:sub>
                      </m:sSub>
                      <m:d>
                        <m:dPr>
                          <m:begChr m:val="("/>
                          <m:endChr m:val=")"/>
                        </m:dPr>
                        <m:e>
                          <m:sSub>
                            <m:e>
                              <m:r>
                                <w:rPr>
                                  <w:rFonts w:ascii="Cambria Math" w:hAnsi="Cambria Math"/>
                                </w:rPr>
                                <m:t xml:space="preserve">y</m:t>
                              </m:r>
                            </m:e>
                            <m:sub>
                              <m:r>
                                <w:rPr>
                                  <w:rFonts w:ascii="Cambria Math" w:hAnsi="Cambria Math"/>
                                </w:rPr>
                                <m:t xml:space="preserve">i</m:t>
                              </m:r>
                            </m:sub>
                          </m:sSub>
                        </m:e>
                      </m:d>
                      <m:r>
                        <w:rPr>
                          <w:rFonts w:ascii="Cambria Math" w:hAnsi="Cambria Math"/>
                        </w:rPr>
                        <m:t xml:space="preserve">∩</m:t>
                      </m:r>
                      <m:sSub>
                        <m:e>
                          <m:r>
                            <w:rPr>
                              <w:rFonts w:ascii="Cambria Math" w:hAnsi="Cambria Math"/>
                            </w:rPr>
                            <m:t xml:space="preserve">μ</m:t>
                          </m:r>
                        </m:e>
                        <m:sub>
                          <m:r>
                            <w:rPr>
                              <w:rFonts w:ascii="Cambria Math" w:hAnsi="Cambria Math"/>
                            </w:rPr>
                            <m:t xml:space="preserve">S</m:t>
                          </m:r>
                        </m:sub>
                      </m:sSub>
                      <m:d>
                        <m:dPr>
                          <m:begChr m:val="("/>
                          <m:endChr m:val=")"/>
                        </m:dPr>
                        <m:e>
                          <m:sSub>
                            <m:e>
                              <m:r>
                                <w:rPr>
                                  <w:rFonts w:ascii="Cambria Math" w:hAnsi="Cambria Math"/>
                                </w:rPr>
                                <m:t xml:space="preserve">y</m:t>
                              </m:r>
                            </m:e>
                            <m:sub>
                              <m:r>
                                <w:rPr>
                                  <w:rFonts w:ascii="Cambria Math" w:hAnsi="Cambria Math"/>
                                </w:rPr>
                                <m:t xml:space="preserve">i</m:t>
                              </m:r>
                            </m:sub>
                          </m:sSub>
                        </m:e>
                      </m:d>
                    </m:e>
                  </m:nary>
                </m:num>
                <m:den>
                  <m:nary>
                    <m:naryPr>
                      <m:chr m:val="∑"/>
                    </m:naryPr>
                    <m:sub>
                      <m:r>
                        <w:rPr>
                          <w:rFonts w:ascii="Cambria Math" w:hAnsi="Cambria Math"/>
                        </w:rPr>
                        <m:t xml:space="preserve">i</m:t>
                      </m:r>
                      <m:r>
                        <w:rPr>
                          <w:rFonts w:ascii="Cambria Math" w:hAnsi="Cambria Math"/>
                        </w:rPr>
                        <m:t xml:space="preserve">=</m:t>
                      </m:r>
                      <m:r>
                        <w:rPr>
                          <w:rFonts w:ascii="Cambria Math" w:hAnsi="Cambria Math"/>
                        </w:rPr>
                        <m:t xml:space="preserve">1</m:t>
                      </m:r>
                    </m:sub>
                    <m:sup>
                      <m:r>
                        <w:rPr>
                          <w:rFonts w:ascii="Cambria Math" w:hAnsi="Cambria Math"/>
                        </w:rPr>
                        <m:t xml:space="preserve">n</m:t>
                      </m:r>
                    </m:sup>
                    <m:e>
                      <m:sSub>
                        <m:e>
                          <m:r>
                            <w:rPr>
                              <w:rFonts w:ascii="Cambria Math" w:hAnsi="Cambria Math"/>
                            </w:rPr>
                            <m:t xml:space="preserve">μ</m:t>
                          </m:r>
                        </m:e>
                        <m:sub>
                          <m:r>
                            <w:rPr>
                              <w:rFonts w:ascii="Cambria Math" w:hAnsi="Cambria Math"/>
                            </w:rPr>
                            <m:t xml:space="preserve">R</m:t>
                          </m:r>
                        </m:sub>
                      </m:sSub>
                      <m:d>
                        <m:dPr>
                          <m:begChr m:val="("/>
                          <m:endChr m:val=")"/>
                        </m:dPr>
                        <m:e>
                          <m:sSub>
                            <m:e>
                              <m:r>
                                <w:rPr>
                                  <w:rFonts w:ascii="Cambria Math" w:hAnsi="Cambria Math"/>
                                </w:rPr>
                                <m:t xml:space="preserve">y</m:t>
                              </m:r>
                            </m:e>
                            <m:sub>
                              <m:r>
                                <w:rPr>
                                  <w:rFonts w:ascii="Cambria Math" w:hAnsi="Cambria Math"/>
                                </w:rPr>
                                <m:t xml:space="preserve">i</m:t>
                              </m:r>
                            </m:sub>
                          </m:sSub>
                        </m:e>
                      </m:d>
                    </m:e>
                  </m:nary>
                </m:den>
              </m:f>
            </m:oMath>
          </w:p>
        </w:tc>
        <w:tc>
          <w:tcPr>
            <w:tcW w:w="3085" w:type="dxa"/>
            <w:tcBorders>
              <w:top w:val="nil"/>
              <w:left w:val="nil"/>
              <w:bottom w:val="nil"/>
              <w:right w:val="nil"/>
              <w:insideH w:val="nil"/>
              <w:insideV w:val="nil"/>
            </w:tcBorders>
            <w:shd w:color="auto" w:fill="auto" w:val="clear"/>
            <w:vAlign w:val="center"/>
          </w:tcPr>
          <w:p>
            <w:pPr>
              <w:pStyle w:val="Normal"/>
              <w:spacing w:before="80" w:after="60"/>
              <w:jc w:val="right"/>
              <w:rPr/>
            </w:pPr>
            <w:r>
              <w:rPr/>
              <w:t xml:space="preserve">Ecuación </w:t>
            </w:r>
            <w:r>
              <w:rPr/>
              <w:fldChar w:fldCharType="begin"/>
            </w:r>
            <w:r>
              <w:instrText> SEQ Ecuación \* ARABIC </w:instrText>
            </w:r>
            <w:r>
              <w:fldChar w:fldCharType="separate"/>
            </w:r>
            <w:r>
              <w:t>16</w:t>
            </w:r>
            <w:r>
              <w:fldChar w:fldCharType="end"/>
            </w:r>
          </w:p>
        </w:tc>
      </w:tr>
      <w:tr>
        <w:trPr>
          <w:trHeight w:val="1138" w:hRule="atLeast"/>
        </w:trPr>
        <w:tc>
          <w:tcPr>
            <w:tcW w:w="4819" w:type="dxa"/>
            <w:tcBorders>
              <w:top w:val="nil"/>
              <w:left w:val="nil"/>
              <w:bottom w:val="nil"/>
              <w:right w:val="nil"/>
              <w:insideH w:val="nil"/>
              <w:insideV w:val="nil"/>
            </w:tcBorders>
            <w:shd w:color="auto" w:fill="auto" w:val="clear"/>
            <w:vAlign w:val="center"/>
          </w:tcPr>
          <w:p>
            <w:pPr>
              <w:pStyle w:val="Normal"/>
              <w:widowControl/>
              <w:suppressAutoHyphens w:val="true"/>
              <w:bidi w:val="0"/>
              <w:spacing w:lineRule="auto" w:line="312" w:before="80" w:after="60"/>
              <w:jc w:val="both"/>
              <w:textAlignment w:val="baseline"/>
              <w:rPr>
                <w:rFonts w:eastAsia="MS Mincho"/>
              </w:rPr>
            </w:pPr>
            <w:r>
              <w:rPr/>
            </w:r>
            <m:oMath xmlns:m="http://schemas.openxmlformats.org/officeDocument/2006/math">
              <m:sSub>
                <m:e>
                  <m:r>
                    <w:rPr>
                      <w:rFonts w:ascii="Cambria Math" w:hAnsi="Cambria Math"/>
                    </w:rPr>
                    <m:t xml:space="preserve">μ</m:t>
                  </m:r>
                </m:e>
                <m:sub>
                  <m:r>
                    <w:rPr>
                      <w:rFonts w:ascii="Cambria Math" w:hAnsi="Cambria Math"/>
                    </w:rPr>
                    <m:t xml:space="preserve">Q</m:t>
                  </m:r>
                </m:sub>
              </m:sSub>
              <m:d>
                <m:dPr>
                  <m:begChr m:val="("/>
                  <m:endChr m:val=")"/>
                </m:dPr>
                <m:e>
                  <m:r>
                    <w:rPr>
                      <w:rFonts w:ascii="Cambria Math" w:hAnsi="Cambria Math"/>
                    </w:rPr>
                    <m:t xml:space="preserve">x</m:t>
                  </m:r>
                </m:e>
              </m:d>
              <m:r>
                <w:rPr>
                  <w:rFonts w:ascii="Cambria Math" w:hAnsi="Cambria Math"/>
                </w:rPr>
                <m:t xml:space="preserve">=</m:t>
              </m:r>
              <m:d>
                <m:dPr>
                  <m:begChr m:val="{"/>
                  <m:endChr m:val=""/>
                </m:dPr>
                <m:e>
                  <m:eqArr>
                    <m:e>
                      <m:r>
                        <w:rPr>
                          <w:rFonts w:ascii="Cambria Math" w:hAnsi="Cambria Math"/>
                        </w:rPr>
                        <m:t xml:space="preserve">1</m:t>
                      </m:r>
                      <m:r>
                        <w:rPr>
                          <w:rFonts w:ascii="Cambria Math" w:hAnsi="Cambria Math"/>
                        </w:rPr>
                        <m:t xml:space="preserve">parax</m:t>
                      </m:r>
                      <m:r>
                        <w:rPr>
                          <w:rFonts w:ascii="Cambria Math" w:hAnsi="Cambria Math"/>
                        </w:rPr>
                        <m:t xml:space="preserve">≥</m:t>
                      </m:r>
                      <m:r>
                        <w:rPr>
                          <w:rFonts w:ascii="Cambria Math" w:hAnsi="Cambria Math"/>
                        </w:rPr>
                        <m:t xml:space="preserve">0.8</m:t>
                      </m:r>
                    </m:e>
                    <m:e>
                      <m:r>
                        <w:rPr>
                          <w:rFonts w:ascii="Cambria Math" w:hAnsi="Cambria Math"/>
                        </w:rPr>
                        <m:t xml:space="preserve">2</m:t>
                      </m:r>
                      <m:r>
                        <w:rPr>
                          <w:rFonts w:ascii="Cambria Math" w:hAnsi="Cambria Math"/>
                        </w:rPr>
                        <m:t xml:space="preserve">x</m:t>
                      </m:r>
                      <m:r>
                        <w:rPr>
                          <w:rFonts w:ascii="Cambria Math" w:hAnsi="Cambria Math"/>
                        </w:rPr>
                        <m:t xml:space="preserve">−</m:t>
                      </m:r>
                      <m:r>
                        <w:rPr>
                          <w:rFonts w:ascii="Cambria Math" w:hAnsi="Cambria Math"/>
                        </w:rPr>
                        <m:t xml:space="preserve">0.6</m:t>
                      </m:r>
                      <m:r>
                        <w:rPr>
                          <w:rFonts w:ascii="Cambria Math" w:hAnsi="Cambria Math"/>
                        </w:rPr>
                        <m:t xml:space="preserve">para</m:t>
                      </m:r>
                      <m:r>
                        <w:rPr>
                          <w:rFonts w:ascii="Cambria Math" w:hAnsi="Cambria Math"/>
                        </w:rPr>
                        <m:t xml:space="preserve">0.3</m:t>
                      </m:r>
                      <m:r>
                        <w:rPr>
                          <w:rFonts w:ascii="Cambria Math" w:hAnsi="Cambria Math"/>
                        </w:rPr>
                        <m:t xml:space="preserve">&lt;</m:t>
                      </m:r>
                      <m:r>
                        <w:rPr>
                          <w:rFonts w:ascii="Cambria Math" w:hAnsi="Cambria Math"/>
                        </w:rPr>
                        <m:t xml:space="preserve">x</m:t>
                      </m:r>
                      <m:r>
                        <w:rPr>
                          <w:rFonts w:ascii="Cambria Math" w:hAnsi="Cambria Math"/>
                        </w:rPr>
                        <m:t xml:space="preserve">&lt;</m:t>
                      </m:r>
                      <m:r>
                        <w:rPr>
                          <w:rFonts w:ascii="Cambria Math" w:hAnsi="Cambria Math"/>
                        </w:rPr>
                        <m:t xml:space="preserve">0.8</m:t>
                      </m:r>
                    </m:e>
                    <m:e>
                      <m:r>
                        <w:rPr>
                          <w:rFonts w:ascii="Cambria Math" w:hAnsi="Cambria Math"/>
                        </w:rPr>
                        <m:t xml:space="preserve">0</m:t>
                      </m:r>
                      <m:r>
                        <w:rPr>
                          <w:rFonts w:ascii="Cambria Math" w:hAnsi="Cambria Math"/>
                        </w:rPr>
                        <m:t xml:space="preserve">parax</m:t>
                      </m:r>
                      <m:r>
                        <w:rPr>
                          <w:rFonts w:ascii="Cambria Math" w:hAnsi="Cambria Math"/>
                        </w:rPr>
                        <m:t xml:space="preserve">≤</m:t>
                      </m:r>
                      <m:r>
                        <w:rPr>
                          <w:rFonts w:ascii="Cambria Math" w:hAnsi="Cambria Math"/>
                        </w:rPr>
                        <m:t xml:space="preserve">0.3</m:t>
                      </m:r>
                    </m:e>
                  </m:eqArr>
                </m:e>
              </m:d>
            </m:oMath>
          </w:p>
        </w:tc>
        <w:tc>
          <w:tcPr>
            <w:tcW w:w="3085" w:type="dxa"/>
            <w:tcBorders>
              <w:top w:val="nil"/>
              <w:left w:val="nil"/>
              <w:bottom w:val="nil"/>
              <w:right w:val="nil"/>
              <w:insideH w:val="nil"/>
              <w:insideV w:val="nil"/>
            </w:tcBorders>
            <w:shd w:color="auto" w:fill="auto" w:val="clear"/>
            <w:vAlign w:val="center"/>
          </w:tcPr>
          <w:p>
            <w:pPr>
              <w:pStyle w:val="Normal"/>
              <w:spacing w:before="80" w:after="60"/>
              <w:jc w:val="right"/>
              <w:rPr/>
            </w:pPr>
            <w:bookmarkStart w:id="1323" w:name="_Ref48396120"/>
            <w:r>
              <w:rPr/>
              <w:t xml:space="preserve">Ecuación </w:t>
            </w:r>
            <w:r>
              <w:rPr/>
              <w:fldChar w:fldCharType="begin"/>
            </w:r>
            <w:r>
              <w:instrText> SEQ Ecuación \* ARABIC </w:instrText>
            </w:r>
            <w:r>
              <w:fldChar w:fldCharType="separate"/>
            </w:r>
            <w:r>
              <w:t>17</w:t>
            </w:r>
            <w:r>
              <w:fldChar w:fldCharType="end"/>
            </w:r>
            <w:bookmarkEnd w:id="1323"/>
            <w:r>
              <w:rPr>
                <w:rFonts w:eastAsia="MS Mincho" w:cs="Times New Roman" w:ascii="Times New Roman" w:hAnsi="Times New Roman"/>
              </w:rPr>
              <w:t xml:space="preserve"> </w:t>
            </w:r>
          </w:p>
        </w:tc>
      </w:tr>
    </w:tbl>
    <w:p>
      <w:pPr>
        <w:pStyle w:val="Normal"/>
        <w:rPr>
          <w:rFonts w:eastAsia="MS Mincho"/>
        </w:rPr>
      </w:pPr>
      <w:r>
        <w:rPr>
          <w:rFonts w:eastAsia="MS Mincho"/>
        </w:rPr>
        <w:t xml:space="preserve">Donde: </w:t>
      </w:r>
      <w:r>
        <w:rPr>
          <w:rFonts w:eastAsia="MS Mincho"/>
        </w:rPr>
      </w:r>
      <m:oMath xmlns:m="http://schemas.openxmlformats.org/officeDocument/2006/math">
        <m:sSub>
          <m:e>
            <m:r>
              <w:rPr>
                <w:rFonts w:ascii="Cambria Math" w:hAnsi="Cambria Math"/>
              </w:rPr>
              <m:t xml:space="preserve">μ</m:t>
            </m:r>
          </m:e>
          <m:sub>
            <m:r>
              <w:rPr>
                <w:rFonts w:ascii="Cambria Math" w:hAnsi="Cambria Math"/>
              </w:rPr>
              <m:t xml:space="preserve">R</m:t>
            </m:r>
          </m:sub>
        </m:sSub>
        <m:d>
          <m:dPr>
            <m:begChr m:val="("/>
            <m:endChr m:val=")"/>
          </m:dPr>
          <m:e>
            <m:sSub>
              <m:e>
                <m:r>
                  <w:rPr>
                    <w:rFonts w:ascii="Cambria Math" w:hAnsi="Cambria Math"/>
                  </w:rPr>
                  <m:t xml:space="preserve">y</m:t>
                </m:r>
              </m:e>
              <m:sub>
                <m:r>
                  <w:rPr>
                    <w:rFonts w:ascii="Cambria Math" w:hAnsi="Cambria Math"/>
                  </w:rPr>
                  <m:t xml:space="preserve">i</m:t>
                </m:r>
              </m:sub>
            </m:sSub>
          </m:e>
        </m:d>
      </m:oMath>
      <w:r>
        <w:rPr>
          <w:rFonts w:eastAsia="MS Mincho"/>
          <w:color w:val="00000A"/>
          <w:sz w:val="32"/>
        </w:rPr>
        <w:t xml:space="preserve"> </w:t>
      </w:r>
      <w:r>
        <w:rPr>
          <w:rFonts w:eastAsia="MS Mincho"/>
        </w:rPr>
        <w:t>es el grado de pertenencia del filtro de un resumen.</w:t>
      </w:r>
    </w:p>
    <w:p>
      <w:pPr>
        <w:pStyle w:val="Normal"/>
        <w:ind w:left="851" w:hanging="0"/>
        <w:rPr>
          <w:rFonts w:eastAsia="MS Mincho"/>
          <w:color w:val="00000A"/>
          <w:sz w:val="32"/>
        </w:rPr>
      </w:pPr>
      <w:r>
        <w:rPr/>
      </w:r>
      <m:oMath xmlns:m="http://schemas.openxmlformats.org/officeDocument/2006/math">
        <m:sSub>
          <m:e>
            <m:r>
              <w:rPr>
                <w:rFonts w:ascii="Cambria Math" w:hAnsi="Cambria Math"/>
              </w:rPr>
              <m:t xml:space="preserve">μ</m:t>
            </m:r>
          </m:e>
          <m:sub>
            <m:r>
              <w:rPr>
                <w:rFonts w:ascii="Cambria Math" w:hAnsi="Cambria Math"/>
              </w:rPr>
              <m:t xml:space="preserve">S</m:t>
            </m:r>
          </m:sub>
        </m:sSub>
        <m:d>
          <m:dPr>
            <m:begChr m:val="("/>
            <m:endChr m:val=")"/>
          </m:dPr>
          <m:e>
            <m:sSub>
              <m:e>
                <m:r>
                  <w:rPr>
                    <w:rFonts w:ascii="Cambria Math" w:hAnsi="Cambria Math"/>
                  </w:rPr>
                  <m:t xml:space="preserve">y</m:t>
                </m:r>
              </m:e>
              <m:sub>
                <m:r>
                  <w:rPr>
                    <w:rFonts w:ascii="Cambria Math" w:hAnsi="Cambria Math"/>
                  </w:rPr>
                  <m:t xml:space="preserve">i</m:t>
                </m:r>
              </m:sub>
            </m:sSub>
          </m:e>
        </m:d>
      </m:oMath>
      <w:r>
        <w:rPr>
          <w:rFonts w:eastAsia="MS Mincho"/>
          <w:color w:val="00000A"/>
          <w:sz w:val="32"/>
        </w:rPr>
        <w:t xml:space="preserve"> </w:t>
      </w:r>
      <w:r>
        <w:rPr>
          <w:rFonts w:eastAsia="MS Mincho"/>
        </w:rPr>
        <w:t>es el grado de pertenencia del sumarizador de un resumen.</w:t>
      </w:r>
    </w:p>
    <w:p>
      <w:pPr>
        <w:pStyle w:val="Normal"/>
        <w:ind w:left="851" w:hanging="0"/>
        <w:rPr>
          <w:rFonts w:eastAsia="MS Mincho"/>
        </w:rPr>
      </w:pPr>
      <w:r>
        <w:rPr>
          <w:rFonts w:eastAsia="MS Mincho"/>
        </w:rPr>
        <w:t xml:space="preserve">∩ </w:t>
      </w:r>
      <w:r>
        <w:rPr>
          <w:rFonts w:eastAsia="MS Mincho"/>
        </w:rPr>
        <w:t>representa una t-norma, que pudiera ser la operación “mínimo” o una productoria.</w:t>
      </w:r>
    </w:p>
    <w:p>
      <w:pPr>
        <w:pStyle w:val="Normal"/>
        <w:ind w:left="851" w:hanging="0"/>
        <w:rPr>
          <w:rFonts w:eastAsia="MS Mincho"/>
        </w:rPr>
      </w:pPr>
      <w:r>
        <w:rPr>
          <w:rFonts w:eastAsia="MS Mincho"/>
          <w:i/>
        </w:rPr>
        <w:t>n</w:t>
      </w:r>
      <w:r>
        <w:rPr>
          <w:rFonts w:eastAsia="MS Mincho"/>
        </w:rPr>
        <w:t xml:space="preserve"> es la cantidad de objetos de la base de datos.</w:t>
      </w:r>
    </w:p>
    <w:p>
      <w:pPr>
        <w:pStyle w:val="Normal"/>
        <w:ind w:left="851" w:hanging="0"/>
        <w:rPr/>
      </w:pPr>
      <w:r>
        <w:rPr>
          <w:rFonts w:eastAsia="MS Mincho"/>
          <w:i/>
        </w:rPr>
        <w:t>µ</w:t>
      </w:r>
      <w:r>
        <w:rPr>
          <w:rFonts w:eastAsia="MS Mincho"/>
          <w:i/>
          <w:vertAlign w:val="subscript"/>
        </w:rPr>
        <w:t>Q</w:t>
      </w:r>
      <w:r>
        <w:rPr>
          <w:rFonts w:eastAsia="MS Mincho"/>
          <w:i/>
        </w:rPr>
        <w:t>(r)</w:t>
      </w:r>
      <w:r>
        <w:rPr>
          <w:rFonts w:eastAsia="MS Mincho"/>
        </w:rPr>
        <w:t xml:space="preserve"> es la función de pertenencia que representa el cuantificador lingüístico </w:t>
      </w:r>
      <w:r>
        <w:rPr>
          <w:rFonts w:eastAsia="MS Mincho"/>
          <w:i/>
        </w:rPr>
        <w:t xml:space="preserve">Q </w:t>
      </w:r>
      <w:r>
        <w:fldChar w:fldCharType="begin"/>
      </w:r>
      <w:r>
        <w:instrText>ADDIN ZOTERO_ITEM CSL_CITATION {"citationID":"0vYtO6Mt","properties":{"formattedCitation":"(Kacprzyk y Zadro\\uc0\\u380{}ny 2000)","plainCitation":"(Kacprzyk y Zadrożny 2000)","noteIndex":0},"citationItems":[{"id":"NJclqhNX/R1euJRME","uris":["http://zotero.org/users/local/rsuvzjK6/items/HEBPVMMX"],"uri":["http://zotero.org/users/local/rsuvzjK6/items/HEBPVMMX"],"itemData":{"id":18,"type":"article-journal","container-title":"Kybernetika","issue":"6","page":"657–670","title":"On a fuzzy querying and data mining interface","volume":"36","author":[{"family":"Kacprzyk","given":"Janusz"},{"family":"Zadrożny","given":"S\\lawomir"}],"issued":{"date-parts":[["2000"]]}}}],"schema":"https://github.com/citation-style-language/schema/raw/master/csl-citation.json"}</w:instrText>
      </w:r>
      <w:r>
        <w:fldChar w:fldCharType="separate"/>
      </w:r>
      <w:bookmarkStart w:id="1324" w:name="__Fieldmark__10287_2067855929"/>
      <w:r>
        <w:rPr>
          <w:rFonts w:eastAsia="MS Mincho"/>
          <w:i/>
        </w:rPr>
      </w:r>
      <w:r>
        <w:rPr>
          <w:rFonts w:eastAsia="MS Mincho"/>
          <w:i/>
          <w:szCs w:val="24"/>
        </w:rPr>
        <w:t>(</w:t>
      </w:r>
      <w:bookmarkStart w:id="1325" w:name="__Fieldmark__8901_498839314"/>
      <w:r>
        <w:rPr>
          <w:rFonts w:eastAsia="MS Mincho"/>
          <w:i/>
          <w:szCs w:val="24"/>
        </w:rPr>
        <w:t>K</w:t>
      </w:r>
      <w:bookmarkStart w:id="1326" w:name="__Fieldmark__7909_998588997"/>
      <w:r>
        <w:rPr>
          <w:rFonts w:eastAsia="MS Mincho"/>
          <w:i/>
          <w:szCs w:val="24"/>
        </w:rPr>
        <w:t>a</w:t>
      </w:r>
      <w:bookmarkStart w:id="1327" w:name="__Fieldmark__12029_118561941"/>
      <w:r>
        <w:rPr>
          <w:rFonts w:eastAsia="MS Mincho"/>
          <w:i/>
          <w:szCs w:val="24"/>
        </w:rPr>
        <w:t>cprzyk y Zadrożny 2000)</w:t>
      </w:r>
      <w:r>
        <w:rPr>
          <w:rFonts w:eastAsia="MS Mincho"/>
          <w:i/>
        </w:rPr>
      </w:r>
      <w:r>
        <w:fldChar w:fldCharType="end"/>
      </w:r>
      <w:bookmarkEnd w:id="1324"/>
      <w:bookmarkEnd w:id="1325"/>
      <w:bookmarkEnd w:id="1326"/>
      <w:bookmarkEnd w:id="1327"/>
      <w:r>
        <w:rPr>
          <w:rFonts w:eastAsia="MS Mincho"/>
        </w:rPr>
        <w:t>.</w:t>
      </w:r>
    </w:p>
    <w:p>
      <w:pPr>
        <w:pStyle w:val="Normal"/>
        <w:rPr/>
      </w:pPr>
      <w:r>
        <w:rPr/>
        <w:t>El grado de verdad (</w:t>
      </w:r>
      <w:r>
        <w:rPr>
          <w:i/>
        </w:rPr>
        <w:t>T</w:t>
      </w:r>
      <w:r>
        <w:rPr>
          <w:vertAlign w:val="subscript"/>
        </w:rPr>
        <w:t>1</w:t>
      </w:r>
      <w:r>
        <w:rPr/>
        <w:t xml:space="preserve">) mide el porcentaje de veracidad de un resumen respecto a los datos; si este valor estuviera cercano a 1, el resumen podría ser importante para la toma de alguna decisión. Pero también pudiera estar cercano a 0, pues este indicador considera todos los casos cuyo grado de verdad es superior a cero, por lo que valora también a los resúmenes de muy baja certeza. Sin embargo, en muchos escenarios reales donde el grado de indeterminación o falsedad del resumen podría influir también en una decisión a tomar, caracterizados por la influencia de numerosos especialistas, los cuales presentan a menudo, criterios neutros u opuestos a las variables y/o eventos de un escenario en cuestión, esta variante no sería viable, pues no considera elementos de indeterminación tratados en la teoría neutrosófica </w:t>
      </w:r>
      <w:r>
        <w:fldChar w:fldCharType="begin"/>
      </w:r>
      <w:r>
        <w:instrText>ADDIN ZOTERO_ITEM CSL_CITATION {"citationID":"a1rlqrpqqou","properties":{"formattedCitation":"(Smarandache y Pramanik 2018)","plainCitation":"(Smarandache y Pramanik 2018)","noteIndex":0},"citationItems":[{"id":3480,"uris":["http://zotero.org/users/local/EJ15hJE2/items/X7RZKAPI"],"uri":["http://zotero.org/users/local/EJ15hJE2/items/X7RZKAPI"],"itemData":{"id":3480,"type":"book","abstract":"Neutrosophic theory and applications have been expanding in all directions at anastonishing rate especially after the introduction the journal entitled “Neutrosophic Setsand Systems”. New theories, techniques, algorithms have been rapidly developed. Oneof the most striking trends in the neutrosophic theory is the hybridization ofneutrosophic set with other potential sets such as rough set, bipolar set, soft set, hesitantfuzzy set, etc.","edition":"Pons","event-place":"Brussels, Belgium, EU","ISBN":"978-1-59973-559-7","language":"en","note":"Google-Books-ID: egpZDwAAQBAJ","number-of-pages":"471","publisher":"Infinite Study","publisher-place":"Brussels, Belgium, EU","source":"Google Books","title":"New Trends in Neutrosophic Theory and Applications, Volume II","volume":"II","author":[{"family":"Smarandache","given":"Florentin"},{"family":"Pramanik","given":"Surapati"}],"issued":{"date-parts":[["2018"]]}}}],"schema":"https://github.com/citation-style-language/schema/raw/master/csl-citation.json"}</w:instrText>
      </w:r>
      <w:r>
        <w:fldChar w:fldCharType="separate"/>
      </w:r>
      <w:bookmarkStart w:id="1328" w:name="__Fieldmark__10310_2067855929"/>
      <w:r>
        <w:rPr/>
      </w:r>
      <w:r>
        <w:rPr>
          <w:szCs w:val="24"/>
        </w:rPr>
        <w:t>(</w:t>
      </w:r>
      <w:bookmarkStart w:id="1329" w:name="__Fieldmark__8917_498839314"/>
      <w:r>
        <w:rPr>
          <w:szCs w:val="24"/>
        </w:rPr>
        <w:t>S</w:t>
      </w:r>
      <w:bookmarkStart w:id="1330" w:name="__Fieldmark__7921_998588997"/>
      <w:r>
        <w:rPr>
          <w:szCs w:val="24"/>
        </w:rPr>
        <w:t>m</w:t>
      </w:r>
      <w:bookmarkStart w:id="1331" w:name="__Fieldmark__12045_118561941"/>
      <w:r>
        <w:rPr>
          <w:szCs w:val="24"/>
        </w:rPr>
        <w:t>arandache y Pramanik 2018)</w:t>
      </w:r>
      <w:r>
        <w:rPr/>
      </w:r>
      <w:r>
        <w:fldChar w:fldCharType="end"/>
      </w:r>
      <w:bookmarkEnd w:id="1328"/>
      <w:bookmarkEnd w:id="1329"/>
      <w:bookmarkEnd w:id="1330"/>
      <w:bookmarkEnd w:id="1331"/>
      <w:r>
        <w:rPr/>
        <w:t>.</w:t>
      </w:r>
    </w:p>
    <w:p>
      <w:pPr>
        <w:pStyle w:val="Heading3"/>
        <w:numPr>
          <w:ilvl w:val="2"/>
          <w:numId w:val="80"/>
        </w:numPr>
        <w:rPr/>
      </w:pPr>
      <w:r>
        <w:rPr/>
        <w:t>T</w:t>
      </w:r>
      <w:r>
        <w:rPr>
          <w:vertAlign w:val="subscript"/>
        </w:rPr>
        <w:t>2</w:t>
      </w:r>
      <w:r>
        <w:rPr/>
        <w:t>: grado de imprecisión</w:t>
      </w:r>
    </w:p>
    <w:p>
      <w:pPr>
        <w:pStyle w:val="Normal"/>
        <w:rPr/>
      </w:pPr>
      <w:bookmarkStart w:id="1332" w:name="_Hlk75592678"/>
      <w:r>
        <w:rPr/>
        <w:t>El “grado de imprecisión (</w:t>
      </w:r>
      <w:r>
        <w:rPr>
          <w:i/>
        </w:rPr>
        <w:t>T</w:t>
      </w:r>
      <w:r>
        <w:rPr>
          <w:vertAlign w:val="subscript"/>
        </w:rPr>
        <w:t>2</w:t>
      </w:r>
      <w:r>
        <w:rPr/>
        <w:t xml:space="preserve">)” es un criterio de validez obvio e importante </w:t>
      </w:r>
      <w:r>
        <w:fldChar w:fldCharType="begin"/>
      </w:r>
      <w:r>
        <w:instrText>ADDIN ZOTERO_ITEM CSL_CITATION {"citationID":"YlVSoXI6","properties":{"formattedCitation":"(Kacprzyk y Zadro\\uc0\\u380{}ny 2010)","plainCitation":"(Kacprzyk y Zadrożny 2010)","noteIndex":0},"citationItems":[{"id":"NJclqhNX/Uu1Bg6dA","uris":["http://zotero.org/users/local/rsuvzjK6/items/EXATEB4A"],"uri":["http://zotero.org/users/local/rsuvzjK6/items/EXATEB4A"],"itemData":{"id":7,"type":"chapter","title":"Linguistic data summarization: a high scalability through the use of natural language?","container-title":"Scalable Fuzzy Algorithms for Data Management and Analysis: Methods and Design","publisher":"IGI Global","page":"214–237","author":[{"family":"Kacprzyk","given":"Janusz"},{"family":"Zadrożny","given":"Slawomir"}],"issued":{"date-parts":[["2010"]]}}}],"schema":"https://github.com/citation-style-language/schema/raw/master/csl-citation.json"}</w:instrText>
      </w:r>
      <w:r>
        <w:fldChar w:fldCharType="separate"/>
      </w:r>
      <w:bookmarkStart w:id="1333" w:name="__Fieldmark__10335_2067855929"/>
      <w:r>
        <w:rPr/>
      </w:r>
      <w:r>
        <w:rPr>
          <w:szCs w:val="24"/>
        </w:rPr>
        <w:t>(</w:t>
      </w:r>
      <w:bookmarkStart w:id="1334" w:name="__Fieldmark__8937_498839314"/>
      <w:r>
        <w:rPr>
          <w:szCs w:val="24"/>
        </w:rPr>
        <w:t>K</w:t>
      </w:r>
      <w:bookmarkStart w:id="1335" w:name="__Fieldmark__7937_998588997"/>
      <w:r>
        <w:rPr>
          <w:szCs w:val="24"/>
        </w:rPr>
        <w:t>a</w:t>
      </w:r>
      <w:bookmarkStart w:id="1336" w:name="__Fieldmark__12064_118561941"/>
      <w:r>
        <w:rPr>
          <w:szCs w:val="24"/>
        </w:rPr>
        <w:t>cprzyk y Zadrożny 2010)</w:t>
      </w:r>
      <w:r>
        <w:rPr/>
      </w:r>
      <w:r>
        <w:fldChar w:fldCharType="end"/>
      </w:r>
      <w:bookmarkEnd w:id="1333"/>
      <w:bookmarkEnd w:id="1334"/>
      <w:bookmarkEnd w:id="1335"/>
      <w:bookmarkEnd w:id="1336"/>
      <w:r>
        <w:rPr/>
        <w:t xml:space="preserve">, pues un resumen lingüístico muy impreciso con un alto grado de verdad no es muy útil </w:t>
      </w:r>
      <w:r>
        <w:fldChar w:fldCharType="begin"/>
      </w:r>
      <w:r>
        <w:instrText>ADDIN ZOTERO_ITEM CSL_CITATION {"citationID":"V0IbO2y0","properties":{"formattedCitation":"(Kacprzyk y Zadro\\uc0\\u380{}ny 2010)","plainCitation":"(Kacprzyk y Zadrożny 2010)","noteIndex":0},"citationItems":[{"id":"NJclqhNX/Uu1Bg6dA","uris":["http://zotero.org/users/local/rsuvzjK6/items/EXATEB4A"],"uri":["http://zotero.org/users/local/rsuvzjK6/items/EXATEB4A"],"itemData":{"id":7,"type":"chapter","title":"Linguistic data summarization: a high scalability through the use of natural language?","container-title":"Scalable Fuzzy Algorithms for Data Management and Analysis: Methods and Design","publisher":"IGI Global","page":"214–237","author":[{"family":"Kacprzyk","given":"Janusz"},{"family":"Zadrożny","given":"Slawomir"}],"issued":{"date-parts":[["2010"]]}}}],"schema":"https://github.com/citation-style-language/schema/raw/master/csl-citation.json"}</w:instrText>
      </w:r>
      <w:r>
        <w:fldChar w:fldCharType="separate"/>
      </w:r>
      <w:bookmarkStart w:id="1337" w:name="__Fieldmark__10350_2067855929"/>
      <w:r>
        <w:rPr/>
      </w:r>
      <w:r>
        <w:rPr>
          <w:szCs w:val="24"/>
        </w:rPr>
        <w:t>(</w:t>
      </w:r>
      <w:bookmarkStart w:id="1338" w:name="__Fieldmark__8948_498839314"/>
      <w:r>
        <w:rPr>
          <w:szCs w:val="24"/>
        </w:rPr>
        <w:t>K</w:t>
      </w:r>
      <w:bookmarkStart w:id="1339" w:name="__Fieldmark__7944_998588997"/>
      <w:r>
        <w:rPr>
          <w:szCs w:val="24"/>
        </w:rPr>
        <w:t>a</w:t>
      </w:r>
      <w:bookmarkStart w:id="1340" w:name="__Fieldmark__12069_118561941"/>
      <w:r>
        <w:rPr>
          <w:szCs w:val="24"/>
        </w:rPr>
        <w:t>cprzyk y Zadrożny 2010)</w:t>
      </w:r>
      <w:r>
        <w:rPr/>
      </w:r>
      <w:r>
        <w:fldChar w:fldCharType="end"/>
      </w:r>
      <w:bookmarkEnd w:id="1337"/>
      <w:bookmarkEnd w:id="1338"/>
      <w:bookmarkEnd w:id="1339"/>
      <w:bookmarkEnd w:id="1340"/>
      <w:r>
        <w:rPr>
          <w:rFonts w:eastAsia="MS Mincho"/>
        </w:rPr>
        <w:t xml:space="preserve">. </w:t>
      </w:r>
      <w:bookmarkEnd w:id="1332"/>
      <w:r>
        <w:rPr>
          <w:rFonts w:eastAsia="MS Mincho"/>
        </w:rPr>
        <w:t xml:space="preserve">Ejemplo, el resumen “en casi todos los días de invierno, la temperatura es bastante fría” tiene un valor de verdad muy alto (el </w:t>
      </w:r>
      <w:r>
        <w:rPr>
          <w:i/>
        </w:rPr>
        <w:t>T</w:t>
      </w:r>
      <w:r>
        <w:rPr>
          <w:vertAlign w:val="subscript"/>
        </w:rPr>
        <w:t xml:space="preserve">1 </w:t>
      </w:r>
      <w:r>
        <w:rPr>
          <w:rFonts w:eastAsia="MS Mincho"/>
        </w:rPr>
        <w:t xml:space="preserve">tendería a 1); sin embargo, es muy impreciso, pues no es útil o no genera información valiosa. Para calcular este indicador se emplean la </w:t>
      </w:r>
      <w:r>
        <w:rPr>
          <w:rFonts w:eastAsia="MS Mincho"/>
        </w:rPr>
        <w:fldChar w:fldCharType="begin"/>
      </w:r>
      <w:r>
        <w:instrText> REF _Ref49942364 \h </w:instrText>
      </w:r>
      <w:r>
        <w:fldChar w:fldCharType="separate"/>
      </w:r>
      <w:r>
        <w:t xml:space="preserve">Ecuación </w:t>
      </w:r>
      <w:r>
        <w:fldChar w:fldCharType="end"/>
      </w:r>
      <w:r>
        <w:rPr>
          <w:rFonts w:eastAsia="MS Mincho"/>
        </w:rPr>
        <w:t xml:space="preserve"> y la </w:t>
      </w:r>
      <w:r>
        <w:rPr>
          <w:rFonts w:eastAsia="MS Mincho"/>
        </w:rPr>
        <w:fldChar w:fldCharType="begin"/>
      </w:r>
      <w:r>
        <w:instrText> REF _Ref49942354 \h </w:instrText>
      </w:r>
      <w:r>
        <w:fldChar w:fldCharType="separate"/>
      </w:r>
      <w:r>
        <w:t xml:space="preserve">Ecuación </w:t>
      </w:r>
      <w:r>
        <w:fldChar w:fldCharType="end"/>
      </w:r>
      <w:r>
        <w:rPr>
          <w:rFonts w:eastAsia="MS Mincho"/>
        </w:rPr>
        <w:t xml:space="preserve">. Como se puede observar en la </w:t>
      </w:r>
      <w:r>
        <w:rPr>
          <w:rFonts w:eastAsia="MS Mincho"/>
        </w:rPr>
        <w:fldChar w:fldCharType="begin"/>
      </w:r>
      <w:r>
        <w:instrText> REF _Ref49942354 \h </w:instrText>
      </w:r>
      <w:r>
        <w:fldChar w:fldCharType="separate"/>
      </w:r>
      <w:r>
        <w:t xml:space="preserve">Ecuación </w:t>
      </w:r>
      <w:r>
        <w:fldChar w:fldCharType="end"/>
      </w:r>
      <w:r>
        <w:rPr>
          <w:rFonts w:eastAsia="MS Mincho"/>
        </w:rPr>
        <w:t>, este indicador depende del sumarizador del resumen y no de la base de datos; es decir, para calcularlo no se recorren los registros, solo se considera la cardinalidad de cada conjunto lingüístico del sumarizador, así como su dominio.</w:t>
      </w:r>
    </w:p>
    <w:tbl>
      <w:tblPr>
        <w:tblStyle w:val="Tablaconcuadrcula"/>
        <w:tblW w:w="7905" w:type="dxa"/>
        <w:jc w:val="left"/>
        <w:tblInd w:w="0" w:type="dxa"/>
        <w:tblCellMar>
          <w:top w:w="0" w:type="dxa"/>
          <w:left w:w="123" w:type="dxa"/>
          <w:bottom w:w="0" w:type="dxa"/>
          <w:right w:w="108" w:type="dxa"/>
        </w:tblCellMar>
        <w:tblLook w:val="04a0" w:noVBand="1" w:noHBand="0" w:lastColumn="0" w:firstColumn="1" w:lastRow="0" w:firstRow="1"/>
      </w:tblPr>
      <w:tblGrid>
        <w:gridCol w:w="4819"/>
        <w:gridCol w:w="3085"/>
      </w:tblGrid>
      <w:tr>
        <w:trPr>
          <w:trHeight w:val="682" w:hRule="atLeast"/>
        </w:trPr>
        <w:tc>
          <w:tcPr>
            <w:tcW w:w="4819" w:type="dxa"/>
            <w:tcBorders>
              <w:top w:val="nil"/>
              <w:left w:val="nil"/>
              <w:bottom w:val="nil"/>
              <w:right w:val="nil"/>
              <w:insideH w:val="nil"/>
              <w:insideV w:val="nil"/>
            </w:tcBorders>
            <w:shd w:color="auto" w:fill="auto" w:val="clear"/>
            <w:vAlign w:val="center"/>
          </w:tcPr>
          <w:p>
            <w:pPr>
              <w:pStyle w:val="Caption1"/>
              <w:overflowPunct w:val="true"/>
              <w:spacing w:before="0" w:after="60"/>
              <w:ind w:left="170" w:hanging="170"/>
              <w:jc w:val="center"/>
              <w:textAlignment w:val="auto"/>
              <w:rPr>
                <w:rFonts w:eastAsia="MS Mincho" w:cs="Arial"/>
                <w:color w:val="00000A"/>
                <w:sz w:val="28"/>
              </w:rPr>
            </w:pPr>
            <w:r>
              <w:rPr/>
            </w:r>
            <m:oMath xmlns:m="http://schemas.openxmlformats.org/officeDocument/2006/math">
              <m:sSub>
                <m:e>
                  <m:r>
                    <w:rPr>
                      <w:rFonts w:ascii="Cambria Math" w:hAnsi="Cambria Math"/>
                    </w:rPr>
                    <m:t xml:space="preserve">T</m:t>
                  </m:r>
                </m:e>
                <m:sub>
                  <m:r>
                    <w:rPr>
                      <w:rFonts w:ascii="Cambria Math" w:hAnsi="Cambria Math"/>
                    </w:rPr>
                    <m:t xml:space="preserve">2</m:t>
                  </m:r>
                </m:sub>
              </m:sSub>
              <m:r>
                <w:rPr>
                  <w:rFonts w:ascii="Cambria Math" w:hAnsi="Cambria Math"/>
                </w:rPr>
                <m:t xml:space="preserve">=</m:t>
              </m:r>
              <m:r>
                <w:rPr>
                  <w:rFonts w:ascii="Cambria Math" w:hAnsi="Cambria Math"/>
                </w:rPr>
                <m:t xml:space="preserve">1</m:t>
              </m:r>
              <m:r>
                <w:rPr>
                  <w:rFonts w:ascii="Cambria Math" w:hAnsi="Cambria Math"/>
                </w:rPr>
                <m:t xml:space="preserve">−</m:t>
              </m:r>
              <m:rad>
                <m:deg>
                  <m:r>
                    <w:rPr>
                      <w:rFonts w:ascii="Cambria Math" w:hAnsi="Cambria Math"/>
                    </w:rPr>
                    <m:t xml:space="preserve">m</m:t>
                  </m:r>
                </m:deg>
                <m:e>
                  <m:nary>
                    <m:naryPr>
                      <m:chr m:val="∏"/>
                      <m:supHide m:val="1"/>
                    </m:naryPr>
                    <m:sub>
                      <m:r>
                        <w:rPr>
                          <w:rFonts w:ascii="Cambria Math" w:hAnsi="Cambria Math"/>
                        </w:rPr>
                        <m:t xml:space="preserve">j</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m:t>
                      </m:r>
                      <m:r>
                        <w:rPr>
                          <w:rFonts w:ascii="Cambria Math" w:hAnsi="Cambria Math"/>
                        </w:rPr>
                        <m:t xml:space="preserve">m</m:t>
                      </m:r>
                    </m:sub>
                    <m:sup/>
                    <m:e>
                      <m:d>
                        <m:dPr>
                          <m:begChr m:val="("/>
                          <m:endChr m:val=")"/>
                        </m:dPr>
                        <m:e>
                          <m:sSub>
                            <m:e>
                              <m:r>
                                <w:rPr>
                                  <w:rFonts w:ascii="Cambria Math" w:hAnsi="Cambria Math"/>
                                </w:rPr>
                                <m:t xml:space="preserve">S</m:t>
                              </m:r>
                            </m:e>
                            <m:sub>
                              <m:r>
                                <w:rPr>
                                  <w:rFonts w:ascii="Cambria Math" w:hAnsi="Cambria Math"/>
                                </w:rPr>
                                <m:t xml:space="preserve">j</m:t>
                              </m:r>
                            </m:sub>
                          </m:sSub>
                        </m:e>
                      </m:d>
                    </m:e>
                  </m:nary>
                </m:e>
              </m:rad>
            </m:oMath>
            <w:r>
              <w:rPr>
                <w:rFonts w:eastAsia="MS Mincho" w:cs="Times New Roman" w:ascii="Times New Roman" w:hAnsi="Times New Roman"/>
                <w:color w:val="00000A"/>
                <w:sz w:val="32"/>
              </w:rPr>
              <w:t xml:space="preserve"> </w:t>
            </w:r>
          </w:p>
        </w:tc>
        <w:tc>
          <w:tcPr>
            <w:tcW w:w="3085" w:type="dxa"/>
            <w:tcBorders>
              <w:top w:val="nil"/>
              <w:left w:val="nil"/>
              <w:bottom w:val="nil"/>
              <w:right w:val="nil"/>
              <w:insideH w:val="nil"/>
              <w:insideV w:val="nil"/>
            </w:tcBorders>
            <w:shd w:color="auto" w:fill="auto" w:val="clear"/>
            <w:vAlign w:val="center"/>
          </w:tcPr>
          <w:p>
            <w:pPr>
              <w:pStyle w:val="Normal"/>
              <w:spacing w:before="80" w:after="60"/>
              <w:jc w:val="right"/>
              <w:rPr/>
            </w:pPr>
            <w:bookmarkStart w:id="1341" w:name="_Ref49942364"/>
            <w:r>
              <w:rPr/>
              <w:t xml:space="preserve">Ecuación </w:t>
            </w:r>
            <w:bookmarkEnd w:id="1341"/>
            <w:r>
              <w:rPr/>
              <w:fldChar w:fldCharType="begin"/>
            </w:r>
            <w:r>
              <w:instrText> SEQ Ecuación \* ARABIC </w:instrText>
            </w:r>
            <w:r>
              <w:fldChar w:fldCharType="separate"/>
            </w:r>
            <w:r>
              <w:t>18</w:t>
            </w:r>
            <w:r>
              <w:fldChar w:fldCharType="end"/>
            </w:r>
          </w:p>
        </w:tc>
      </w:tr>
      <w:tr>
        <w:trPr>
          <w:trHeight w:val="625" w:hRule="atLeast"/>
        </w:trPr>
        <w:tc>
          <w:tcPr>
            <w:tcW w:w="4819" w:type="dxa"/>
            <w:tcBorders>
              <w:top w:val="nil"/>
              <w:left w:val="nil"/>
              <w:bottom w:val="nil"/>
              <w:right w:val="nil"/>
              <w:insideH w:val="nil"/>
              <w:insideV w:val="nil"/>
            </w:tcBorders>
            <w:shd w:color="auto" w:fill="auto" w:val="clear"/>
            <w:vAlign w:val="center"/>
          </w:tcPr>
          <w:p>
            <w:pPr>
              <w:pStyle w:val="Caption1"/>
              <w:overflowPunct w:val="true"/>
              <w:spacing w:before="0" w:after="60"/>
              <w:ind w:left="170" w:hanging="170"/>
              <w:jc w:val="center"/>
              <w:textAlignment w:val="auto"/>
              <w:rPr/>
            </w:pPr>
            <w:r>
              <w:rPr/>
            </w:r>
            <m:oMath xmlns:m="http://schemas.openxmlformats.org/officeDocument/2006/math">
              <m:eqArr>
                <m:e>
                  <m:r>
                    <w:rPr>
                      <w:rFonts w:ascii="Cambria Math" w:hAnsi="Cambria Math"/>
                    </w:rPr>
                    <m:t xml:space="preserve">X</m:t>
                  </m:r>
                </m:e>
                <m:e>
                  <m:r>
                    <w:rPr>
                      <w:rFonts w:ascii="Cambria Math" w:hAnsi="Cambria Math"/>
                    </w:rPr>
                    <m:t xml:space="preserve">card</m:t>
                  </m:r>
                  <m:d>
                    <m:dPr>
                      <m:begChr m:val="("/>
                      <m:endChr m:val=")"/>
                    </m:dPr>
                    <m:e>
                      <m:r>
                        <w:rPr>
                          <w:rFonts w:ascii="Cambria Math" w:hAnsi="Cambria Math"/>
                        </w:rPr>
                        <m:t xml:space="preserve">j</m:t>
                      </m:r>
                    </m:e>
                  </m:d>
                </m:e>
                <m:e>
                  <m:d>
                    <m:dPr>
                      <m:begChr m:val="("/>
                      <m:endChr m:val=")"/>
                    </m:dPr>
                    <m:e>
                      <m:sSub>
                        <m:e>
                          <m:r>
                            <w:rPr>
                              <w:rFonts w:ascii="Cambria Math" w:hAnsi="Cambria Math"/>
                            </w:rPr>
                            <m:t xml:space="preserve">S</m:t>
                          </m:r>
                        </m:e>
                        <m:sub>
                          <m:r>
                            <w:rPr>
                              <w:rFonts w:ascii="Cambria Math" w:hAnsi="Cambria Math"/>
                            </w:rPr>
                            <m:t xml:space="preserve">j</m:t>
                          </m:r>
                        </m:sub>
                      </m:sSub>
                    </m:e>
                  </m:d>
                  <m:r>
                    <w:rPr>
                      <w:rFonts w:ascii="Cambria Math" w:hAnsi="Cambria Math"/>
                    </w:rPr>
                    <m:t xml:space="preserve">=</m:t>
                  </m:r>
                  <m:f>
                    <m:num>
                      <m:r>
                        <w:rPr>
                          <w:rFonts w:ascii="Cambria Math" w:hAnsi="Cambria Math"/>
                        </w:rPr>
                        <m:t xml:space="preserve">card</m:t>
                      </m:r>
                      <m:d>
                        <m:dPr>
                          <m:begChr m:val="{"/>
                          <m:endChr m:val="}"/>
                        </m:dPr>
                        <m:e>
                          <m:r>
                            <w:rPr>
                              <w:rFonts w:ascii="Cambria Math" w:hAnsi="Cambria Math"/>
                            </w:rPr>
                            <m:t xml:space="preserve">x</m:t>
                          </m:r>
                          <m:r>
                            <w:rPr>
                              <w:rFonts w:ascii="Cambria Math" w:hAnsi="Cambria Math"/>
                            </w:rPr>
                            <m:t xml:space="preserve">∈</m:t>
                          </m:r>
                          <m:sSub>
                            <m:e>
                              <m:r>
                                <w:rPr>
                                  <w:rFonts w:ascii="Cambria Math" w:hAnsi="Cambria Math"/>
                                </w:rPr>
                                <m:t xml:space="preserve">X</m:t>
                              </m:r>
                            </m:e>
                            <m:sub>
                              <m:r>
                                <w:rPr>
                                  <w:rFonts w:ascii="Cambria Math" w:hAnsi="Cambria Math"/>
                                </w:rPr>
                                <m:t xml:space="preserve">j</m:t>
                              </m:r>
                            </m:sub>
                          </m:sSub>
                          <m:r>
                            <w:rPr>
                              <w:rFonts w:ascii="Cambria Math" w:hAnsi="Cambria Math"/>
                            </w:rPr>
                            <m:t xml:space="preserve">:</m:t>
                          </m:r>
                          <m:sSub>
                            <m:e>
                              <m:r>
                                <w:rPr>
                                  <w:rFonts w:ascii="Cambria Math" w:hAnsi="Cambria Math"/>
                                </w:rPr>
                                <m:t xml:space="preserve">μ</m:t>
                              </m:r>
                            </m:e>
                            <m:sub>
                              <m:sSub>
                                <m:e>
                                  <m:r>
                                    <w:rPr>
                                      <w:rFonts w:ascii="Cambria Math" w:hAnsi="Cambria Math"/>
                                    </w:rPr>
                                    <m:t xml:space="preserve">S</m:t>
                                  </m:r>
                                </m:e>
                                <m:sub>
                                  <m:r>
                                    <w:rPr>
                                      <w:rFonts w:ascii="Cambria Math" w:hAnsi="Cambria Math"/>
                                    </w:rPr>
                                    <m:t xml:space="preserve">j</m:t>
                                  </m:r>
                                </m:sub>
                              </m:sSub>
                            </m:sub>
                          </m:sSub>
                          <m:d>
                            <m:dPr>
                              <m:begChr m:val="("/>
                              <m:endChr m:val=")"/>
                            </m:dPr>
                            <m:e>
                              <m:r>
                                <w:rPr>
                                  <w:rFonts w:ascii="Cambria Math" w:hAnsi="Cambria Math"/>
                                </w:rPr>
                                <m:t xml:space="preserve">x</m:t>
                              </m:r>
                            </m:e>
                          </m:d>
                          <m:r>
                            <w:rPr>
                              <w:rFonts w:ascii="Cambria Math" w:hAnsi="Cambria Math"/>
                            </w:rPr>
                            <m:t xml:space="preserve">&gt;</m:t>
                          </m:r>
                          <m:r>
                            <w:rPr>
                              <w:rFonts w:ascii="Cambria Math" w:hAnsi="Cambria Math"/>
                            </w:rPr>
                            <m:t xml:space="preserve">0</m:t>
                          </m:r>
                        </m:e>
                      </m:d>
                    </m:num>
                    <m:den/>
                  </m:f>
                </m:e>
              </m:eqArr>
            </m:oMath>
            <w:r>
              <w:rPr>
                <w:rFonts w:eastAsia="MS Mincho" w:cs="Times New Roman" w:ascii="Times New Roman" w:hAnsi="Times New Roman"/>
                <w:color w:val="00000A"/>
                <w:sz w:val="36"/>
              </w:rPr>
              <w:t xml:space="preserve"> </w:t>
            </w:r>
          </w:p>
        </w:tc>
        <w:tc>
          <w:tcPr>
            <w:tcW w:w="3085" w:type="dxa"/>
            <w:tcBorders>
              <w:top w:val="nil"/>
              <w:left w:val="nil"/>
              <w:bottom w:val="nil"/>
              <w:right w:val="nil"/>
              <w:insideH w:val="nil"/>
              <w:insideV w:val="nil"/>
            </w:tcBorders>
            <w:shd w:color="auto" w:fill="auto" w:val="clear"/>
            <w:vAlign w:val="center"/>
          </w:tcPr>
          <w:p>
            <w:pPr>
              <w:pStyle w:val="Normal"/>
              <w:spacing w:before="80" w:after="60"/>
              <w:jc w:val="right"/>
              <w:rPr/>
            </w:pPr>
            <w:bookmarkStart w:id="1342" w:name="_Ref49942354"/>
            <w:r>
              <w:rPr/>
              <w:t xml:space="preserve">Ecuación </w:t>
            </w:r>
            <w:bookmarkEnd w:id="1342"/>
            <w:r>
              <w:rPr/>
              <w:fldChar w:fldCharType="begin"/>
            </w:r>
            <w:r>
              <w:instrText> SEQ Ecuación \* ARABIC </w:instrText>
            </w:r>
            <w:r>
              <w:fldChar w:fldCharType="separate"/>
            </w:r>
            <w:r>
              <w:t>19</w:t>
            </w:r>
            <w:r>
              <w:fldChar w:fldCharType="end"/>
            </w:r>
          </w:p>
        </w:tc>
      </w:tr>
    </w:tbl>
    <w:p>
      <w:pPr>
        <w:pStyle w:val="Normal"/>
        <w:rPr>
          <w:rFonts w:eastAsia="MS Mincho"/>
        </w:rPr>
      </w:pPr>
      <w:r>
        <w:rPr>
          <w:rFonts w:eastAsia="MS Mincho"/>
        </w:rPr>
        <w:t xml:space="preserve">Donde: </w:t>
      </w:r>
      <w:r>
        <w:rPr>
          <w:rFonts w:eastAsia="MS Mincho"/>
          <w:i/>
        </w:rPr>
        <w:t>m</w:t>
      </w:r>
      <w:r>
        <w:rPr>
          <w:rFonts w:eastAsia="MS Mincho"/>
        </w:rPr>
        <w:t xml:space="preserve"> es la cantidad de conjuntos borrosos del sumarizador </w:t>
      </w:r>
      <w:r>
        <w:rPr>
          <w:rFonts w:eastAsia="MS Mincho"/>
          <w:i/>
        </w:rPr>
        <w:t>S = {S</w:t>
      </w:r>
      <w:r>
        <w:rPr>
          <w:rFonts w:eastAsia="MS Mincho"/>
          <w:i/>
          <w:vertAlign w:val="subscript"/>
        </w:rPr>
        <w:t>1</w:t>
      </w:r>
      <w:r>
        <w:rPr>
          <w:rFonts w:eastAsia="MS Mincho"/>
          <w:i/>
        </w:rPr>
        <w:t>, S</w:t>
      </w:r>
      <w:r>
        <w:rPr>
          <w:rFonts w:eastAsia="MS Mincho"/>
          <w:i/>
          <w:vertAlign w:val="subscript"/>
        </w:rPr>
        <w:t>2</w:t>
      </w:r>
      <w:r>
        <w:rPr>
          <w:rFonts w:eastAsia="MS Mincho"/>
          <w:i/>
        </w:rPr>
        <w:t>, ... S</w:t>
      </w:r>
      <w:r>
        <w:rPr>
          <w:rFonts w:eastAsia="MS Mincho"/>
          <w:i/>
          <w:vertAlign w:val="subscript"/>
        </w:rPr>
        <w:t>j</w:t>
      </w:r>
      <w:r>
        <w:rPr>
          <w:rFonts w:eastAsia="MS Mincho"/>
          <w:i/>
        </w:rPr>
        <w:t>, ..., S</w:t>
      </w:r>
      <w:r>
        <w:rPr>
          <w:rFonts w:eastAsia="MS Mincho"/>
          <w:i/>
          <w:vertAlign w:val="subscript"/>
        </w:rPr>
        <w:t>m</w:t>
      </w:r>
      <w:r>
        <w:rPr>
          <w:rFonts w:eastAsia="MS Mincho"/>
          <w:i/>
        </w:rPr>
        <w:t>}.</w:t>
      </w:r>
    </w:p>
    <w:p>
      <w:pPr>
        <w:pStyle w:val="Normal"/>
        <w:ind w:left="709" w:hanging="0"/>
        <w:rPr>
          <w:rFonts w:eastAsia="MS Mincho"/>
        </w:rPr>
      </w:pPr>
      <w:r>
        <w:rPr/>
      </w:r>
      <m:oMath xmlns:m="http://schemas.openxmlformats.org/officeDocument/2006/math">
        <m:r>
          <w:rPr>
            <w:rFonts w:ascii="Cambria Math" w:hAnsi="Cambria Math"/>
          </w:rPr>
          <m:t xml:space="preserve">card</m:t>
        </m:r>
      </m:oMath>
      <w:r>
        <w:rPr>
          <w:rFonts w:eastAsia="MS Mincho"/>
        </w:rPr>
        <w:t>denota la cardinalidad del conjunto no borroso correspondiente.</w:t>
      </w:r>
    </w:p>
    <w:p>
      <w:pPr>
        <w:pStyle w:val="Normal"/>
        <w:ind w:left="709" w:hanging="0"/>
        <w:rPr>
          <w:rFonts w:eastAsia="MS Mincho"/>
          <w:i/>
          <w:i/>
        </w:rPr>
      </w:pPr>
      <w:r>
        <w:rPr/>
      </w:r>
      <m:oMath xmlns:m="http://schemas.openxmlformats.org/officeDocument/2006/math">
        <m:sSub>
          <m:e>
            <m:r>
              <w:rPr>
                <w:rFonts w:ascii="Cambria Math" w:hAnsi="Cambria Math"/>
              </w:rPr>
              <m:t xml:space="preserve">X</m:t>
            </m:r>
          </m:e>
          <m:sub>
            <m:r>
              <w:rPr>
                <w:rFonts w:ascii="Cambria Math" w:hAnsi="Cambria Math"/>
              </w:rPr>
              <m:t xml:space="preserve">j</m:t>
            </m:r>
          </m:sub>
        </m:sSub>
      </m:oMath>
      <w:r>
        <w:rPr>
          <w:rFonts w:eastAsia="MS Mincho"/>
        </w:rPr>
        <w:t xml:space="preserve">es el dominio, que representa todos los valores finitos del conjunto borroso del sumarizador </w:t>
      </w:r>
      <w:r>
        <w:rPr>
          <w:rFonts w:eastAsia="MS Mincho"/>
          <w:i/>
        </w:rPr>
        <w:t>S</w:t>
      </w:r>
      <w:r>
        <w:rPr>
          <w:rFonts w:eastAsia="MS Mincho"/>
          <w:i/>
          <w:vertAlign w:val="subscript"/>
        </w:rPr>
        <w:t>j</w:t>
      </w:r>
      <w:r>
        <w:rPr>
          <w:rFonts w:eastAsia="MS Mincho"/>
          <w:i/>
        </w:rPr>
        <w:t>.</w:t>
      </w:r>
    </w:p>
    <w:p>
      <w:pPr>
        <w:pStyle w:val="Normal"/>
        <w:rPr/>
      </w:pPr>
      <w:r>
        <w:rPr/>
        <w:t xml:space="preserve">Este indicador mide el grado de imprecisión de un resumen, pero no incluye elementos de indeterminación, lo cual podría ser complementado con elementos de la teoría neutrosófica </w:t>
      </w:r>
      <w:r>
        <w:fldChar w:fldCharType="begin"/>
      </w:r>
      <w:r>
        <w:instrText>ADDIN ZOTERO_ITEM CSL_CITATION {"citationID":"a9fcgtlts1","properties":{"formattedCitation":"(Smarandache y Pramanik 2018)","plainCitation":"(Smarandache y Pramanik 2018)","noteIndex":0},"citationItems":[{"id":3480,"uris":["http://zotero.org/users/local/EJ15hJE2/items/X7RZKAPI"],"uri":["http://zotero.org/users/local/EJ15hJE2/items/X7RZKAPI"],"itemData":{"id":3480,"type":"book","abstract":"Neutrosophic theory and applications have been expanding in all directions at anastonishing rate especially after the introduction the journal entitled “Neutrosophic Setsand Systems”. New theories, techniques, algorithms have been rapidly developed. Oneof the most striking trends in the neutrosophic theory is the hybridization ofneutrosophic set with other potential sets such as rough set, bipolar set, soft set, hesitantfuzzy set, etc.","edition":"Pons","event-place":"Brussels, Belgium, EU","ISBN":"978-1-59973-559-7","language":"en","note":"Google-Books-ID: egpZDwAAQBAJ","number-of-pages":"471","publisher":"Infinite Study","publisher-place":"Brussels, Belgium, EU","source":"Google Books","title":"New Trends in Neutrosophic Theory and Applications, Volume II","volume":"II","author":[{"family":"Smarandache","given":"Florentin"},{"family":"Pramanik","given":"Surapati"}],"issued":{"date-parts":[["2018"]]}}}],"schema":"https://github.com/citation-style-language/schema/raw/master/csl-citation.json"}</w:instrText>
      </w:r>
      <w:r>
        <w:fldChar w:fldCharType="separate"/>
      </w:r>
      <w:bookmarkStart w:id="1343" w:name="__Fieldmark__10428_2067855929"/>
      <w:r>
        <w:rPr/>
      </w:r>
      <w:r>
        <w:rPr>
          <w:szCs w:val="24"/>
        </w:rPr>
        <w:t>(</w:t>
      </w:r>
      <w:bookmarkStart w:id="1344" w:name="__Fieldmark__9019_498839314"/>
      <w:r>
        <w:rPr>
          <w:szCs w:val="24"/>
        </w:rPr>
        <w:t>S</w:t>
      </w:r>
      <w:bookmarkStart w:id="1345" w:name="__Fieldmark__8011_998588997"/>
      <w:r>
        <w:rPr>
          <w:szCs w:val="24"/>
        </w:rPr>
        <w:t>m</w:t>
      </w:r>
      <w:bookmarkStart w:id="1346" w:name="__Fieldmark__12163_118561941"/>
      <w:r>
        <w:rPr>
          <w:szCs w:val="24"/>
        </w:rPr>
        <w:t>arandache y Pramanik 2018)</w:t>
      </w:r>
      <w:r>
        <w:rPr/>
      </w:r>
      <w:r>
        <w:fldChar w:fldCharType="end"/>
      </w:r>
      <w:bookmarkEnd w:id="1343"/>
      <w:bookmarkEnd w:id="1344"/>
      <w:bookmarkEnd w:id="1345"/>
      <w:bookmarkEnd w:id="1346"/>
      <w:r>
        <w:rPr/>
        <w:t>.</w:t>
      </w:r>
    </w:p>
    <w:p>
      <w:pPr>
        <w:pStyle w:val="Heading3"/>
        <w:numPr>
          <w:ilvl w:val="2"/>
          <w:numId w:val="80"/>
        </w:numPr>
        <w:rPr/>
      </w:pPr>
      <w:r>
        <w:rPr/>
        <w:t>T</w:t>
      </w:r>
      <w:r>
        <w:rPr>
          <w:vertAlign w:val="subscript"/>
        </w:rPr>
        <w:t>3</w:t>
      </w:r>
      <w:r>
        <w:rPr/>
        <w:t>: grado de cobertura</w:t>
      </w:r>
    </w:p>
    <w:p>
      <w:pPr>
        <w:pStyle w:val="Normal"/>
        <w:rPr/>
      </w:pPr>
      <w:r>
        <w:rPr/>
        <w:t>El “grado de cobertura (</w:t>
      </w:r>
      <w:r>
        <w:rPr>
          <w:i/>
        </w:rPr>
        <w:t>T</w:t>
      </w:r>
      <w:r>
        <w:rPr>
          <w:vertAlign w:val="subscript"/>
        </w:rPr>
        <w:t>3</w:t>
      </w:r>
      <w:r>
        <w:rPr/>
        <w:t xml:space="preserve">)”, indica cuántos objetos en la base de datos que cumplen con el filtro </w:t>
      </w:r>
      <w:r>
        <w:rPr>
          <w:i/>
        </w:rPr>
        <w:t>R</w:t>
      </w:r>
      <w:r>
        <w:rPr/>
        <w:t xml:space="preserve"> están cubiertos por el resumen cuyo sumarizador es </w:t>
      </w:r>
      <w:r>
        <w:rPr>
          <w:i/>
        </w:rPr>
        <w:t>S.</w:t>
      </w:r>
      <w:r>
        <w:rPr/>
        <w:t xml:space="preserve"> Su interpretación es simple, por ejemplo, si el valor fuera 0.15, entonces significa que el 15% de los objetos son consistentes con el resumen en cuestión. El valor de este indicador depende claramente del contenido de la base de datos </w:t>
      </w:r>
      <w:r>
        <w:fldChar w:fldCharType="begin"/>
      </w:r>
      <w:r>
        <w:instrText>ADDIN ZOTERO_ITEM CSL_CITATION {"citationID":"7AM7ZYh6","properties":{"formattedCitation":"(Kacprzyk y Zadro\\uc0\\u380{}ny 2010)","plainCitation":"(Kacprzyk y Zadrożny 2010)","noteIndex":0},"citationItems":[{"id":"NJclqhNX/Uu1Bg6dA","uris":["http://zotero.org/users/local/rsuvzjK6/items/EXATEB4A"],"uri":["http://zotero.org/users/local/rsuvzjK6/items/EXATEB4A"],"itemData":{"id":7,"type":"chapter","title":"Linguistic data summarization: a high scalability through the use of natural language?","container-title":"Scalable Fuzzy Algorithms for Data Management and Analysis: Methods and Design","publisher":"IGI Global","page":"214–237","author":[{"family":"Kacprzyk","given":"Janusz"},{"family":"Zadrożny","given":"Slawomir"}],"issued":{"date-parts":[["2010"]]}}}],"schema":"https://github.com/citation-style-language/schema/raw/master/csl-citation.json"}</w:instrText>
      </w:r>
      <w:r>
        <w:fldChar w:fldCharType="separate"/>
      </w:r>
      <w:bookmarkStart w:id="1347" w:name="__Fieldmark__10456_2067855929"/>
      <w:r>
        <w:rPr/>
      </w:r>
      <w:r>
        <w:rPr>
          <w:szCs w:val="24"/>
        </w:rPr>
        <w:t>(</w:t>
      </w:r>
      <w:bookmarkStart w:id="1348" w:name="__Fieldmark__9042_498839314"/>
      <w:r>
        <w:rPr>
          <w:szCs w:val="24"/>
        </w:rPr>
        <w:t>K</w:t>
      </w:r>
      <w:bookmarkStart w:id="1349" w:name="__Fieldmark__8030_998588997"/>
      <w:r>
        <w:rPr>
          <w:szCs w:val="24"/>
        </w:rPr>
        <w:t>a</w:t>
      </w:r>
      <w:bookmarkStart w:id="1350" w:name="__Fieldmark__12192_118561941"/>
      <w:r>
        <w:rPr>
          <w:szCs w:val="24"/>
        </w:rPr>
        <w:t>cprzyk y Zadrożny 2010)</w:t>
      </w:r>
      <w:r>
        <w:rPr/>
      </w:r>
      <w:r>
        <w:fldChar w:fldCharType="end"/>
      </w:r>
      <w:bookmarkEnd w:id="1347"/>
      <w:bookmarkEnd w:id="1348"/>
      <w:bookmarkEnd w:id="1349"/>
      <w:bookmarkEnd w:id="1350"/>
      <w:r>
        <w:rPr/>
        <w:t xml:space="preserve"> y se calcula como muestran las siguientes ecuaciones: </w:t>
      </w:r>
      <w:r>
        <w:rPr/>
        <w:fldChar w:fldCharType="begin"/>
      </w:r>
      <w:r>
        <w:instrText> REF _Ref70271218 \h </w:instrText>
      </w:r>
      <w:r>
        <w:fldChar w:fldCharType="separate"/>
      </w:r>
      <w:r>
        <w:t xml:space="preserve">Ecuación </w:t>
      </w:r>
      <w:r>
        <w:fldChar w:fldCharType="end"/>
      </w:r>
      <w:r>
        <w:rPr/>
        <w:t xml:space="preserve">, </w:t>
      </w:r>
      <w:r>
        <w:rPr/>
        <w:fldChar w:fldCharType="begin"/>
      </w:r>
      <w:r>
        <w:instrText> REF _Ref70271219 \h </w:instrText>
      </w:r>
      <w:r>
        <w:fldChar w:fldCharType="separate"/>
      </w:r>
      <w:r>
        <w:t xml:space="preserve">Ecuación </w:t>
      </w:r>
      <w:r>
        <w:fldChar w:fldCharType="end"/>
      </w:r>
      <w:r>
        <w:rPr/>
        <w:t xml:space="preserve"> y </w:t>
      </w:r>
      <w:r>
        <w:rPr/>
        <w:fldChar w:fldCharType="begin"/>
      </w:r>
      <w:r>
        <w:instrText> REF _Ref70271221 \h </w:instrText>
      </w:r>
      <w:r>
        <w:fldChar w:fldCharType="separate"/>
      </w:r>
      <w:r>
        <w:t xml:space="preserve">Ecuación </w:t>
      </w:r>
      <w:r>
        <w:fldChar w:fldCharType="end"/>
      </w:r>
      <w:r>
        <w:rPr/>
        <w:t>.</w:t>
      </w:r>
    </w:p>
    <w:tbl>
      <w:tblPr>
        <w:tblStyle w:val="Tablaconcuadrcula"/>
        <w:tblW w:w="8961" w:type="dxa"/>
        <w:jc w:val="left"/>
        <w:tblInd w:w="0" w:type="dxa"/>
        <w:tblCellMar>
          <w:top w:w="0" w:type="dxa"/>
          <w:left w:w="123" w:type="dxa"/>
          <w:bottom w:w="0" w:type="dxa"/>
          <w:right w:w="108" w:type="dxa"/>
        </w:tblCellMar>
        <w:tblLook w:val="04a0" w:noVBand="1" w:noHBand="0" w:lastColumn="0" w:firstColumn="1" w:lastRow="0" w:firstRow="1"/>
      </w:tblPr>
      <w:tblGrid>
        <w:gridCol w:w="5669"/>
        <w:gridCol w:w="3291"/>
      </w:tblGrid>
      <w:tr>
        <w:trPr>
          <w:trHeight w:val="693" w:hRule="atLeast"/>
        </w:trPr>
        <w:tc>
          <w:tcPr>
            <w:tcW w:w="5669" w:type="dxa"/>
            <w:tcBorders>
              <w:top w:val="nil"/>
              <w:left w:val="nil"/>
              <w:bottom w:val="nil"/>
              <w:right w:val="nil"/>
              <w:insideH w:val="nil"/>
              <w:insideV w:val="nil"/>
            </w:tcBorders>
            <w:shd w:color="auto" w:fill="auto" w:val="clear"/>
            <w:vAlign w:val="center"/>
          </w:tcPr>
          <w:p>
            <w:pPr>
              <w:pStyle w:val="Caption1"/>
              <w:spacing w:before="0" w:after="60"/>
              <w:jc w:val="left"/>
              <w:rPr>
                <w:sz w:val="22"/>
              </w:rPr>
            </w:pPr>
            <w:r>
              <w:rPr/>
            </w:r>
            <m:oMath xmlns:m="http://schemas.openxmlformats.org/officeDocument/2006/math">
              <m:sSub>
                <m:e>
                  <m:r>
                    <w:rPr>
                      <w:rFonts w:ascii="Cambria Math" w:hAnsi="Cambria Math"/>
                    </w:rPr>
                    <m:t xml:space="preserve">T</m:t>
                  </m:r>
                </m:e>
                <m:sub>
                  <m:r>
                    <w:rPr>
                      <w:rFonts w:ascii="Cambria Math" w:hAnsi="Cambria Math"/>
                    </w:rPr>
                    <m:t xml:space="preserve">3</m:t>
                  </m:r>
                </m:sub>
              </m:sSub>
              <m:r>
                <w:rPr>
                  <w:rFonts w:ascii="Cambria Math" w:hAnsi="Cambria Math"/>
                </w:rPr>
                <m:t xml:space="preserve">=</m:t>
              </m:r>
              <m:f>
                <m:num>
                  <m:nary>
                    <m:naryPr>
                      <m:chr m:val="∑"/>
                    </m:naryPr>
                    <m:sub>
                      <m:r>
                        <w:rPr>
                          <w:rFonts w:ascii="Cambria Math" w:hAnsi="Cambria Math"/>
                        </w:rPr>
                        <m:t xml:space="preserve">i</m:t>
                      </m:r>
                      <m:r>
                        <w:rPr>
                          <w:rFonts w:ascii="Cambria Math" w:hAnsi="Cambria Math"/>
                        </w:rPr>
                        <m:t xml:space="preserve">=</m:t>
                      </m:r>
                      <m:r>
                        <w:rPr>
                          <w:rFonts w:ascii="Cambria Math" w:hAnsi="Cambria Math"/>
                        </w:rPr>
                        <m:t xml:space="preserve">1</m:t>
                      </m:r>
                    </m:sub>
                    <m:sup>
                      <m:r>
                        <w:rPr>
                          <w:rFonts w:ascii="Cambria Math" w:hAnsi="Cambria Math"/>
                        </w:rPr>
                        <m:t xml:space="preserve">n</m:t>
                      </m:r>
                    </m:sup>
                    <m:e>
                      <m:sSub>
                        <m:e>
                          <m:r>
                            <w:rPr>
                              <w:rFonts w:ascii="Cambria Math" w:hAnsi="Cambria Math"/>
                            </w:rPr>
                            <m:t xml:space="preserve">t</m:t>
                          </m:r>
                        </m:e>
                        <m:sub>
                          <m:r>
                            <w:rPr>
                              <w:rFonts w:ascii="Cambria Math" w:hAnsi="Cambria Math"/>
                            </w:rPr>
                            <m:t xml:space="preserve">i</m:t>
                          </m:r>
                        </m:sub>
                      </m:sSub>
                    </m:e>
                  </m:nary>
                </m:num>
                <m:den>
                  <m:nary>
                    <m:naryPr>
                      <m:chr m:val="∑"/>
                    </m:naryPr>
                    <m:sub>
                      <m:r>
                        <w:rPr>
                          <w:rFonts w:ascii="Cambria Math" w:hAnsi="Cambria Math"/>
                        </w:rPr>
                        <m:t xml:space="preserve">i</m:t>
                      </m:r>
                      <m:r>
                        <w:rPr>
                          <w:rFonts w:ascii="Cambria Math" w:hAnsi="Cambria Math"/>
                        </w:rPr>
                        <m:t xml:space="preserve">=</m:t>
                      </m:r>
                      <m:r>
                        <w:rPr>
                          <w:rFonts w:ascii="Cambria Math" w:hAnsi="Cambria Math"/>
                        </w:rPr>
                        <m:t xml:space="preserve">1</m:t>
                      </m:r>
                    </m:sub>
                    <m:sup>
                      <m:r>
                        <w:rPr>
                          <w:rFonts w:ascii="Cambria Math" w:hAnsi="Cambria Math"/>
                        </w:rPr>
                        <m:t xml:space="preserve">n</m:t>
                      </m:r>
                    </m:sup>
                    <m:e>
                      <m:sSub>
                        <m:e>
                          <m:r>
                            <w:rPr>
                              <w:rFonts w:ascii="Cambria Math" w:hAnsi="Cambria Math"/>
                            </w:rPr>
                            <m:t xml:space="preserve">h</m:t>
                          </m:r>
                        </m:e>
                        <m:sub>
                          <m:r>
                            <w:rPr>
                              <w:rFonts w:ascii="Cambria Math" w:hAnsi="Cambria Math"/>
                            </w:rPr>
                            <m:t xml:space="preserve">i</m:t>
                          </m:r>
                        </m:sub>
                      </m:sSub>
                    </m:e>
                  </m:nary>
                </m:den>
              </m:f>
            </m:oMath>
            <w:r>
              <w:rPr>
                <w:rFonts w:eastAsia="MS Mincho" w:cs="Times New Roman" w:ascii="Times New Roman" w:hAnsi="Times New Roman"/>
                <w:color w:val="00000A"/>
                <w:sz w:val="22"/>
              </w:rPr>
              <w:t xml:space="preserve">   </w:t>
            </w:r>
          </w:p>
        </w:tc>
        <w:tc>
          <w:tcPr>
            <w:tcW w:w="3291" w:type="dxa"/>
            <w:tcBorders>
              <w:top w:val="nil"/>
              <w:left w:val="nil"/>
              <w:bottom w:val="nil"/>
              <w:right w:val="nil"/>
              <w:insideH w:val="nil"/>
              <w:insideV w:val="nil"/>
            </w:tcBorders>
            <w:shd w:color="auto" w:fill="auto" w:val="clear"/>
            <w:vAlign w:val="center"/>
          </w:tcPr>
          <w:p>
            <w:pPr>
              <w:pStyle w:val="Normal"/>
              <w:spacing w:before="80" w:after="60"/>
              <w:jc w:val="right"/>
              <w:rPr/>
            </w:pPr>
            <w:bookmarkStart w:id="1351" w:name="_Ref70271218"/>
            <w:r>
              <w:rPr/>
              <w:t xml:space="preserve">Ecuación </w:t>
            </w:r>
            <w:bookmarkEnd w:id="1351"/>
            <w:r>
              <w:rPr/>
              <w:fldChar w:fldCharType="begin"/>
            </w:r>
            <w:r>
              <w:instrText> SEQ Ecuación \* ARABIC </w:instrText>
            </w:r>
            <w:r>
              <w:fldChar w:fldCharType="separate"/>
            </w:r>
            <w:r>
              <w:t>20</w:t>
            </w:r>
            <w:r>
              <w:fldChar w:fldCharType="end"/>
            </w:r>
          </w:p>
        </w:tc>
      </w:tr>
      <w:tr>
        <w:trPr>
          <w:trHeight w:val="849" w:hRule="atLeast"/>
        </w:trPr>
        <w:tc>
          <w:tcPr>
            <w:tcW w:w="5669" w:type="dxa"/>
            <w:tcBorders>
              <w:top w:val="nil"/>
              <w:left w:val="nil"/>
              <w:bottom w:val="nil"/>
              <w:right w:val="nil"/>
              <w:insideH w:val="nil"/>
              <w:insideV w:val="nil"/>
            </w:tcBorders>
            <w:shd w:color="auto" w:fill="auto" w:val="clear"/>
            <w:vAlign w:val="center"/>
          </w:tcPr>
          <w:p>
            <w:pPr>
              <w:pStyle w:val="Caption1"/>
              <w:spacing w:before="0" w:after="60"/>
              <w:ind w:left="31" w:hanging="0"/>
              <w:rPr>
                <w:rFonts w:eastAsia="MS Mincho" w:cs="Arial"/>
                <w:color w:val="00000A"/>
                <w:sz w:val="28"/>
              </w:rPr>
            </w:pPr>
            <w:r>
              <w:rPr/>
            </w:r>
            <m:oMath xmlns:m="http://schemas.openxmlformats.org/officeDocument/2006/math">
              <m:sSub>
                <m:e>
                  <m:r>
                    <w:rPr>
                      <w:rFonts w:ascii="Cambria Math" w:hAnsi="Cambria Math"/>
                    </w:rPr>
                    <m:t xml:space="preserve">t</m:t>
                  </m:r>
                </m:e>
                <m:sub>
                  <m:r>
                    <w:rPr>
                      <w:rFonts w:ascii="Cambria Math" w:hAnsi="Cambria Math"/>
                    </w:rPr>
                    <m:t xml:space="preserve">i</m:t>
                  </m:r>
                </m:sub>
              </m:sSub>
              <m:r>
                <w:rPr>
                  <w:rFonts w:ascii="Cambria Math" w:hAnsi="Cambria Math"/>
                </w:rPr>
                <m:t xml:space="preserve">=</m:t>
              </m:r>
              <m:d>
                <m:dPr>
                  <m:begChr m:val="{"/>
                  <m:endChr m:val=""/>
                </m:dPr>
                <m:e>
                  <m:eqArr>
                    <m:e>
                      <m:r>
                        <w:rPr>
                          <w:rFonts w:ascii="Cambria Math" w:hAnsi="Cambria Math"/>
                        </w:rPr>
                        <m:t xml:space="preserve">1</m:t>
                      </m:r>
                      <m:r>
                        <w:rPr>
                          <w:rFonts w:ascii="Cambria Math" w:hAnsi="Cambria Math"/>
                        </w:rPr>
                        <m:t xml:space="preserve">si</m:t>
                      </m:r>
                      <m:sSub>
                        <m:e>
                          <m:r>
                            <w:rPr>
                              <w:rFonts w:ascii="Cambria Math" w:hAnsi="Cambria Math"/>
                            </w:rPr>
                            <m:t xml:space="preserve">μ</m:t>
                          </m:r>
                        </m:e>
                        <m:sub>
                          <m:r>
                            <w:rPr>
                              <w:rFonts w:ascii="Cambria Math" w:hAnsi="Cambria Math"/>
                            </w:rPr>
                            <m:t xml:space="preserve">S</m:t>
                          </m:r>
                        </m:sub>
                      </m:sSub>
                      <m:d>
                        <m:dPr>
                          <m:begChr m:val="("/>
                          <m:endChr m:val=")"/>
                        </m:dPr>
                        <m:e>
                          <m:sSub>
                            <m:e>
                              <m:r>
                                <w:rPr>
                                  <w:rFonts w:ascii="Cambria Math" w:hAnsi="Cambria Math"/>
                                </w:rPr>
                                <m:t xml:space="preserve">y</m:t>
                              </m:r>
                            </m:e>
                            <m:sub>
                              <m:r>
                                <w:rPr>
                                  <w:rFonts w:ascii="Cambria Math" w:hAnsi="Cambria Math"/>
                                </w:rPr>
                                <m:t xml:space="preserve">i</m:t>
                              </m:r>
                            </m:sub>
                          </m:sSub>
                        </m:e>
                      </m:d>
                      <m:r>
                        <w:rPr>
                          <w:rFonts w:ascii="Cambria Math" w:hAnsi="Cambria Math"/>
                        </w:rPr>
                        <m:t xml:space="preserve">&gt;</m:t>
                      </m:r>
                      <m:r>
                        <w:rPr>
                          <w:rFonts w:ascii="Cambria Math" w:hAnsi="Cambria Math"/>
                        </w:rPr>
                        <m:t xml:space="preserve">0</m:t>
                      </m:r>
                      <m:r>
                        <w:rPr>
                          <w:rFonts w:ascii="Cambria Math" w:hAnsi="Cambria Math"/>
                        </w:rPr>
                        <m:t xml:space="preserve">y</m:t>
                      </m:r>
                      <m:sSub>
                        <m:e>
                          <m:r>
                            <w:rPr>
                              <w:rFonts w:ascii="Cambria Math" w:hAnsi="Cambria Math"/>
                            </w:rPr>
                            <m:t xml:space="preserve">μ</m:t>
                          </m:r>
                        </m:e>
                        <m:sub>
                          <m:r>
                            <w:rPr>
                              <w:rFonts w:ascii="Cambria Math" w:hAnsi="Cambria Math"/>
                            </w:rPr>
                            <m:t xml:space="preserve">R</m:t>
                          </m:r>
                        </m:sub>
                      </m:sSub>
                      <m:d>
                        <m:dPr>
                          <m:begChr m:val="("/>
                          <m:endChr m:val=")"/>
                        </m:dPr>
                        <m:e>
                          <m:sSub>
                            <m:e>
                              <m:r>
                                <w:rPr>
                                  <w:rFonts w:ascii="Cambria Math" w:hAnsi="Cambria Math"/>
                                </w:rPr>
                                <m:t xml:space="preserve">y</m:t>
                              </m:r>
                            </m:e>
                            <m:sub>
                              <m:r>
                                <w:rPr>
                                  <w:rFonts w:ascii="Cambria Math" w:hAnsi="Cambria Math"/>
                                </w:rPr>
                                <m:t xml:space="preserve">i</m:t>
                              </m:r>
                            </m:sub>
                          </m:sSub>
                        </m:e>
                      </m:d>
                      <m:r>
                        <w:rPr>
                          <w:rFonts w:ascii="Cambria Math" w:hAnsi="Cambria Math"/>
                        </w:rPr>
                        <m:t xml:space="preserve">&gt;</m:t>
                      </m:r>
                      <m:r>
                        <w:rPr>
                          <w:rFonts w:ascii="Cambria Math" w:hAnsi="Cambria Math"/>
                        </w:rPr>
                        <m:t xml:space="preserve">0</m:t>
                      </m:r>
                    </m:e>
                    <m:e>
                      <m:r>
                        <w:rPr>
                          <w:rFonts w:ascii="Cambria Math" w:hAnsi="Cambria Math"/>
                        </w:rPr>
                        <m:t xml:space="preserve">0</m:t>
                      </m:r>
                      <m:r>
                        <w:rPr>
                          <w:rFonts w:ascii="Cambria Math" w:hAnsi="Cambria Math"/>
                        </w:rPr>
                        <m:t xml:space="preserve">enotrocaso</m:t>
                      </m:r>
                    </m:e>
                  </m:eqArr>
                </m:e>
              </m:d>
            </m:oMath>
          </w:p>
        </w:tc>
        <w:tc>
          <w:tcPr>
            <w:tcW w:w="3291" w:type="dxa"/>
            <w:tcBorders>
              <w:top w:val="nil"/>
              <w:left w:val="nil"/>
              <w:bottom w:val="nil"/>
              <w:right w:val="nil"/>
              <w:insideH w:val="nil"/>
              <w:insideV w:val="nil"/>
            </w:tcBorders>
            <w:shd w:color="auto" w:fill="auto" w:val="clear"/>
            <w:vAlign w:val="center"/>
          </w:tcPr>
          <w:p>
            <w:pPr>
              <w:pStyle w:val="Normal"/>
              <w:spacing w:before="80" w:after="60"/>
              <w:jc w:val="right"/>
              <w:rPr/>
            </w:pPr>
            <w:bookmarkStart w:id="1352" w:name="_Ref70271219"/>
            <w:r>
              <w:rPr/>
              <w:t xml:space="preserve">Ecuación </w:t>
            </w:r>
            <w:bookmarkEnd w:id="1352"/>
            <w:r>
              <w:rPr/>
              <w:fldChar w:fldCharType="begin"/>
            </w:r>
            <w:r>
              <w:instrText> SEQ Ecuación \* ARABIC </w:instrText>
            </w:r>
            <w:r>
              <w:fldChar w:fldCharType="separate"/>
            </w:r>
            <w:r>
              <w:t>21</w:t>
            </w:r>
            <w:r>
              <w:fldChar w:fldCharType="end"/>
            </w:r>
          </w:p>
        </w:tc>
      </w:tr>
      <w:tr>
        <w:trPr>
          <w:trHeight w:val="430" w:hRule="atLeast"/>
        </w:trPr>
        <w:tc>
          <w:tcPr>
            <w:tcW w:w="5669" w:type="dxa"/>
            <w:tcBorders>
              <w:top w:val="nil"/>
              <w:left w:val="nil"/>
              <w:bottom w:val="nil"/>
              <w:right w:val="nil"/>
              <w:insideH w:val="nil"/>
              <w:insideV w:val="nil"/>
            </w:tcBorders>
            <w:shd w:color="auto" w:fill="auto" w:val="clear"/>
            <w:vAlign w:val="center"/>
          </w:tcPr>
          <w:p>
            <w:pPr>
              <w:pStyle w:val="Caption1"/>
              <w:spacing w:before="0" w:after="60"/>
              <w:jc w:val="left"/>
              <w:rPr>
                <w:rFonts w:cs="Arial"/>
                <w:color w:val="00000A"/>
                <w:sz w:val="22"/>
              </w:rPr>
            </w:pPr>
            <w:r>
              <w:rPr/>
            </w:r>
            <m:oMath xmlns:m="http://schemas.openxmlformats.org/officeDocument/2006/math">
              <m:sSub>
                <m:e>
                  <m:r>
                    <w:rPr>
                      <w:rFonts w:ascii="Cambria Math" w:hAnsi="Cambria Math"/>
                    </w:rPr>
                    <m:t xml:space="preserve">h</m:t>
                  </m:r>
                </m:e>
                <m:sub>
                  <m:r>
                    <w:rPr>
                      <w:rFonts w:ascii="Cambria Math" w:hAnsi="Cambria Math"/>
                    </w:rPr>
                    <m:t xml:space="preserve">i</m:t>
                  </m:r>
                </m:sub>
              </m:sSub>
              <m:r>
                <w:rPr>
                  <w:rFonts w:ascii="Cambria Math" w:hAnsi="Cambria Math"/>
                </w:rPr>
                <m:t xml:space="preserve">=</m:t>
              </m:r>
              <m:d>
                <m:dPr>
                  <m:begChr m:val="{"/>
                  <m:endChr m:val=""/>
                </m:dPr>
                <m:e>
                  <m:eqArr>
                    <m:e>
                      <m:r>
                        <w:rPr>
                          <w:rFonts w:ascii="Cambria Math" w:hAnsi="Cambria Math"/>
                        </w:rPr>
                        <m:t xml:space="preserve">1</m:t>
                      </m:r>
                      <m:r>
                        <w:rPr>
                          <w:rFonts w:ascii="Cambria Math" w:hAnsi="Cambria Math"/>
                        </w:rPr>
                        <m:t xml:space="preserve">si</m:t>
                      </m:r>
                      <m:sSub>
                        <m:e>
                          <m:r>
                            <w:rPr>
                              <w:rFonts w:ascii="Cambria Math" w:hAnsi="Cambria Math"/>
                            </w:rPr>
                            <m:t xml:space="preserve">μ</m:t>
                          </m:r>
                        </m:e>
                        <m:sub>
                          <m:r>
                            <w:rPr>
                              <w:rFonts w:ascii="Cambria Math" w:hAnsi="Cambria Math"/>
                            </w:rPr>
                            <m:t xml:space="preserve">R</m:t>
                          </m:r>
                        </m:sub>
                      </m:sSub>
                      <m:d>
                        <m:dPr>
                          <m:begChr m:val="("/>
                          <m:endChr m:val=")"/>
                        </m:dPr>
                        <m:e>
                          <m:sSub>
                            <m:e>
                              <m:r>
                                <w:rPr>
                                  <w:rFonts w:ascii="Cambria Math" w:hAnsi="Cambria Math"/>
                                </w:rPr>
                                <m:t xml:space="preserve">y</m:t>
                              </m:r>
                            </m:e>
                            <m:sub>
                              <m:r>
                                <w:rPr>
                                  <w:rFonts w:ascii="Cambria Math" w:hAnsi="Cambria Math"/>
                                </w:rPr>
                                <m:t xml:space="preserve">i</m:t>
                              </m:r>
                            </m:sub>
                          </m:sSub>
                        </m:e>
                      </m:d>
                      <m:r>
                        <w:rPr>
                          <w:rFonts w:ascii="Cambria Math" w:hAnsi="Cambria Math"/>
                        </w:rPr>
                        <m:t xml:space="preserve">&gt;</m:t>
                      </m:r>
                      <m:r>
                        <w:rPr>
                          <w:rFonts w:ascii="Cambria Math" w:hAnsi="Cambria Math"/>
                        </w:rPr>
                        <m:t xml:space="preserve">0</m:t>
                      </m:r>
                    </m:e>
                    <m:e>
                      <m:r>
                        <w:rPr>
                          <w:rFonts w:ascii="Cambria Math" w:hAnsi="Cambria Math"/>
                        </w:rPr>
                        <m:t xml:space="preserve">0</m:t>
                      </m:r>
                      <m:r>
                        <w:rPr>
                          <w:rFonts w:ascii="Cambria Math" w:hAnsi="Cambria Math"/>
                        </w:rPr>
                        <m:t xml:space="preserve">enotrocaso</m:t>
                      </m:r>
                    </m:e>
                  </m:eqArr>
                </m:e>
              </m:d>
            </m:oMath>
            <w:r>
              <w:rPr>
                <w:rFonts w:eastAsia="MS Mincho" w:cs="Times New Roman" w:ascii="Times New Roman" w:hAnsi="Times New Roman"/>
                <w:color w:val="00000A"/>
                <w:sz w:val="24"/>
              </w:rPr>
              <w:t xml:space="preserve">  </w:t>
            </w:r>
          </w:p>
        </w:tc>
        <w:tc>
          <w:tcPr>
            <w:tcW w:w="3291" w:type="dxa"/>
            <w:tcBorders>
              <w:top w:val="nil"/>
              <w:left w:val="nil"/>
              <w:bottom w:val="nil"/>
              <w:right w:val="nil"/>
              <w:insideH w:val="nil"/>
              <w:insideV w:val="nil"/>
            </w:tcBorders>
            <w:shd w:color="auto" w:fill="auto" w:val="clear"/>
            <w:vAlign w:val="center"/>
          </w:tcPr>
          <w:p>
            <w:pPr>
              <w:pStyle w:val="Normal"/>
              <w:spacing w:before="80" w:after="60"/>
              <w:jc w:val="right"/>
              <w:rPr/>
            </w:pPr>
            <w:bookmarkStart w:id="1353" w:name="_Ref70271221"/>
            <w:r>
              <w:rPr/>
              <w:t xml:space="preserve">Ecuación </w:t>
            </w:r>
            <w:bookmarkEnd w:id="1353"/>
            <w:r>
              <w:rPr/>
              <w:fldChar w:fldCharType="begin"/>
            </w:r>
            <w:r>
              <w:instrText> SEQ Ecuación \* ARABIC </w:instrText>
            </w:r>
            <w:r>
              <w:fldChar w:fldCharType="separate"/>
            </w:r>
            <w:r>
              <w:t>22</w:t>
            </w:r>
            <w:r>
              <w:fldChar w:fldCharType="end"/>
            </w:r>
          </w:p>
        </w:tc>
      </w:tr>
    </w:tbl>
    <w:p>
      <w:pPr>
        <w:pStyle w:val="Normal"/>
        <w:rPr/>
      </w:pPr>
      <w:r>
        <w:rPr/>
        <w:t xml:space="preserve">Este indicador tiene su base en la probabilidad condicional </w:t>
      </w:r>
      <w:r>
        <w:fldChar w:fldCharType="begin"/>
      </w:r>
      <w:r>
        <w:instrText>ADDIN ZOTERO_ITEM CSL_CITATION {"citationID":"a22llaou18s","properties":{"formattedCitation":"(van Rooij y Schulz 2019)","plainCitation":"(van Rooij y Schulz 2019)","noteIndex":0},"citationItems":[{"id":3473,"uris":["http://zotero.org/users/local/EJ15hJE2/items/WWB9HUKV"],"uri":["http://zotero.org/users/local/EJ15hJE2/items/WWB9HUKV"],"itemData":{"id":3473,"type":"article-journal","abstract":"The appropriateness, or acceptability, of a conditional does not just ‘go with’ the corresponding conditional probability. A condition of dependence is required as well (cf. Douven in Synthese 164:19–44, 2008, The epistemology of indicative conditionals. Formal and empirical approaches. Cambridge University Press, Cambridge, 2016; Skovgaard-Olsen et al. in Cognition 150:26–36, 2016). In this paper a particular notion of dependence is proposed. It is shown that under both a forward causal and a backward evidential (or diagnostic) reading of the conditional, this appropriateness condition reduces to conditional probability under some natural circumstances. Because this is in particular the case for the so-called diagnostic reading of the conditional, this analysis might help to explain some of Douven and Verbrugge’s (Cognition 117:302–318, 2010) empirical observations.","container-title":"Journal of Logic, Language and Information","DOI":"10.1007/s10849-018-9275-5","ISSN":"1572-9583","issue":"1","journalAbbreviation":"J of Log Lang and Inf","language":"en","page":"55-71","source":"Springer Link","title":"Conditionals, Causality and Conditional Probability","volume":"28","author":[{"family":"Rooij","given":"Robert","non-dropping-particle":"van"},{"family":"Schulz","given":"Katrin"}],"issued":{"date-parts":[["2019"]]}}}],"schema":"https://github.com/citation-style-language/schema/raw/master/csl-citation.json"}</w:instrText>
      </w:r>
      <w:r>
        <w:fldChar w:fldCharType="separate"/>
      </w:r>
      <w:bookmarkStart w:id="1354" w:name="__Fieldmark__10506_2067855929"/>
      <w:r>
        <w:rPr/>
      </w:r>
      <w:r>
        <w:rPr>
          <w:szCs w:val="24"/>
        </w:rPr>
        <w:t>(</w:t>
      </w:r>
      <w:bookmarkStart w:id="1355" w:name="__Fieldmark__9087_498839314"/>
      <w:r>
        <w:rPr>
          <w:szCs w:val="24"/>
        </w:rPr>
        <w:t>v</w:t>
      </w:r>
      <w:bookmarkStart w:id="1356" w:name="__Fieldmark__8071_998588997"/>
      <w:r>
        <w:rPr>
          <w:szCs w:val="24"/>
        </w:rPr>
        <w:t>a</w:t>
      </w:r>
      <w:bookmarkStart w:id="1357" w:name="__Fieldmark__12234_118561941"/>
      <w:r>
        <w:rPr>
          <w:szCs w:val="24"/>
        </w:rPr>
        <w:t>n Rooij y Schulz 2019)</w:t>
      </w:r>
      <w:r>
        <w:rPr/>
      </w:r>
      <w:r>
        <w:fldChar w:fldCharType="end"/>
      </w:r>
      <w:bookmarkEnd w:id="1354"/>
      <w:bookmarkEnd w:id="1355"/>
      <w:bookmarkEnd w:id="1356"/>
      <w:bookmarkEnd w:id="1357"/>
      <w:r>
        <w:rPr/>
        <w:t xml:space="preserve"> de aparición de los sumarizadores dado que tengan lugar los filtros, y en el concepto de conjunto soporte tratado en la lógica borrosa </w:t>
      </w:r>
      <w:r>
        <w:fldChar w:fldCharType="begin"/>
      </w:r>
      <w:r>
        <w:instrText>ADDIN ZOTERO_ITEM CSL_CITATION {"citationID":"ad2n044vq0","properties":{"formattedCitation":"(Cpa\\uc0\\u322{}ka 2017)","plainCitation":"(Cpałka 2017)","noteIndex":0},"citationItems":[{"id":3471,"uris":["http://zotero.org/users/local/EJ15hJE2/items/6GSK8A6W"],"uri":["http://zotero.org/users/local/EJ15hJE2/items/6GSK8A6W"],"itemData":{"id":3471,"type":"book","collection-title":"SCI","ISBN":"978-3-319-52881-6","number-of-pages":"196","publisher":"Springer","title":"Design of Interpretable Fuzzy Systems","volume":"684","author":[{"family":"Cpałka","given":"Krzysztof"}],"issued":{"date-parts":[["2017"]]}}}],"schema":"https://github.com/citation-style-language/schema/raw/master/csl-citation.json"}</w:instrText>
      </w:r>
      <w:r>
        <w:fldChar w:fldCharType="separate"/>
      </w:r>
      <w:bookmarkStart w:id="1358" w:name="__Fieldmark__10522_2067855929"/>
      <w:r>
        <w:rPr/>
      </w:r>
      <w:r>
        <w:rPr>
          <w:szCs w:val="24"/>
        </w:rPr>
        <w:t>(</w:t>
      </w:r>
      <w:bookmarkStart w:id="1359" w:name="__Fieldmark__9098_498839314"/>
      <w:r>
        <w:rPr>
          <w:szCs w:val="24"/>
        </w:rPr>
        <w:t>C</w:t>
      </w:r>
      <w:bookmarkStart w:id="1360" w:name="__Fieldmark__8078_998588997"/>
      <w:r>
        <w:rPr>
          <w:szCs w:val="24"/>
        </w:rPr>
        <w:t>p</w:t>
      </w:r>
      <w:bookmarkStart w:id="1361" w:name="__Fieldmark__12240_118561941"/>
      <w:r>
        <w:rPr>
          <w:szCs w:val="24"/>
        </w:rPr>
        <w:t>ałka 2017)</w:t>
      </w:r>
      <w:r>
        <w:rPr/>
      </w:r>
      <w:r>
        <w:fldChar w:fldCharType="end"/>
      </w:r>
      <w:bookmarkEnd w:id="1358"/>
      <w:bookmarkEnd w:id="1359"/>
      <w:bookmarkEnd w:id="1360"/>
      <w:bookmarkEnd w:id="1361"/>
      <w:r>
        <w:rPr/>
        <w:t xml:space="preserve">. En esta investigación se considera que puede ser relevante conocer cuánto cubre un resumen a la base de datos. En este sentido se realiza una propuesta de extensión de este indicador en la sección </w:t>
      </w:r>
      <w:r>
        <w:rPr/>
        <w:fldChar w:fldCharType="begin"/>
      </w:r>
      <w:r>
        <w:instrText> REF _Ref84577706 \r \h </w:instrText>
      </w:r>
      <w:r>
        <w:fldChar w:fldCharType="separate"/>
      </w:r>
      <w:r>
        <w:t>3.2.4</w:t>
      </w:r>
      <w:r>
        <w:fldChar w:fldCharType="end"/>
      </w:r>
      <w:r>
        <w:rPr/>
        <w:t>.</w:t>
      </w:r>
    </w:p>
    <w:p>
      <w:pPr>
        <w:pStyle w:val="Heading3"/>
        <w:numPr>
          <w:ilvl w:val="2"/>
          <w:numId w:val="80"/>
        </w:numPr>
        <w:rPr/>
      </w:pPr>
      <w:r>
        <w:rPr/>
        <w:t>T</w:t>
      </w:r>
      <w:r>
        <w:rPr>
          <w:vertAlign w:val="subscript"/>
        </w:rPr>
        <w:t>4</w:t>
      </w:r>
      <w:r>
        <w:rPr/>
        <w:t>: grado de adecuación o idoneidad</w:t>
      </w:r>
    </w:p>
    <w:p>
      <w:pPr>
        <w:pStyle w:val="Normal"/>
        <w:rPr/>
      </w:pPr>
      <w:r>
        <w:rPr/>
        <w:t>El “grado de adecuación (</w:t>
      </w:r>
      <w:r>
        <w:rPr>
          <w:i/>
        </w:rPr>
        <w:t>T</w:t>
      </w:r>
      <w:r>
        <w:rPr>
          <w:vertAlign w:val="subscript"/>
        </w:rPr>
        <w:t>4</w:t>
      </w:r>
      <w:r>
        <w:rPr/>
        <w:t xml:space="preserve">)” es el indicador más relevante según </w:t>
      </w:r>
      <w:r>
        <w:fldChar w:fldCharType="begin"/>
      </w:r>
      <w:r>
        <w:instrText>ADDIN ZOTERO_ITEM CSL_CITATION {"citationID":"ktatcJme","properties":{"formattedCitation":"(Kacprzyk y Zadro\\uc0\\u380{}ny 2010)","plainCitation":"(Kacprzyk y Zadrożny 2010)","noteIndex":0},"citationItems":[{"id":"NJclqhNX/Uu1Bg6dA","uris":["http://zotero.org/users/local/rsuvzjK6/items/EXATEB4A"],"uri":["http://zotero.org/users/local/rsuvzjK6/items/EXATEB4A"],"itemData":{"id":7,"type":"chapter","title":"Linguistic data summarization: a high scalability through the use of natural language?","container-title":"Scalable Fuzzy Algorithms for Data Management and Analysis: Methods and Design","publisher":"IGI Global","page":"214–237","author":[{"family":"Kacprzyk","given":"Janusz"},{"family":"Zadrożny","given":"Slawomir"}],"issued":{"date-parts":[["2010"]]}}}],"schema":"https://github.com/citation-style-language/schema/raw/master/csl-citation.json"}</w:instrText>
      </w:r>
      <w:r>
        <w:fldChar w:fldCharType="separate"/>
      </w:r>
      <w:bookmarkStart w:id="1362" w:name="__Fieldmark__10562_2067855929"/>
      <w:r>
        <w:rPr/>
      </w:r>
      <w:r>
        <w:rPr>
          <w:szCs w:val="24"/>
        </w:rPr>
        <w:t>(</w:t>
      </w:r>
      <w:bookmarkStart w:id="1363" w:name="__Fieldmark__9133_498839314"/>
      <w:r>
        <w:rPr>
          <w:szCs w:val="24"/>
        </w:rPr>
        <w:t>K</w:t>
      </w:r>
      <w:bookmarkStart w:id="1364" w:name="__Fieldmark__8109_998588997"/>
      <w:r>
        <w:rPr>
          <w:szCs w:val="24"/>
        </w:rPr>
        <w:t>a</w:t>
      </w:r>
      <w:bookmarkStart w:id="1365" w:name="__Fieldmark__12274_118561941"/>
      <w:r>
        <w:rPr>
          <w:szCs w:val="24"/>
        </w:rPr>
        <w:t>cprzyk y Zadrożny 2010)</w:t>
      </w:r>
      <w:r>
        <w:rPr/>
      </w:r>
      <w:r>
        <w:fldChar w:fldCharType="end"/>
      </w:r>
      <w:bookmarkEnd w:id="1362"/>
      <w:bookmarkEnd w:id="1363"/>
      <w:bookmarkEnd w:id="1364"/>
      <w:bookmarkEnd w:id="1365"/>
      <w:r>
        <w:rPr/>
        <w:t xml:space="preserve">, ver las ecuaciones: </w:t>
      </w:r>
      <w:r>
        <w:rPr/>
        <w:fldChar w:fldCharType="begin"/>
      </w:r>
      <w:r>
        <w:instrText> REF _Ref70271434 \h </w:instrText>
      </w:r>
      <w:r>
        <w:fldChar w:fldCharType="separate"/>
      </w:r>
      <w:r>
        <w:t xml:space="preserve">Ecuación </w:t>
      </w:r>
      <w:r>
        <w:fldChar w:fldCharType="end"/>
      </w:r>
      <w:r>
        <w:rPr/>
        <w:t xml:space="preserve">, </w:t>
      </w:r>
      <w:r>
        <w:rPr/>
        <w:fldChar w:fldCharType="begin"/>
      </w:r>
      <w:r>
        <w:instrText> REF _Ref70271437 \h </w:instrText>
      </w:r>
      <w:r>
        <w:fldChar w:fldCharType="separate"/>
      </w:r>
      <w:r>
        <w:t xml:space="preserve">Ecuación </w:t>
      </w:r>
      <w:r>
        <w:fldChar w:fldCharType="end"/>
      </w:r>
      <w:r>
        <w:rPr/>
        <w:t xml:space="preserve">, </w:t>
      </w:r>
      <w:r>
        <w:rPr/>
        <w:fldChar w:fldCharType="begin"/>
      </w:r>
      <w:r>
        <w:instrText> REF _Ref70271440 \h </w:instrText>
      </w:r>
      <w:r>
        <w:fldChar w:fldCharType="separate"/>
      </w:r>
      <w:r>
        <w:t xml:space="preserve">Ecuación </w:t>
      </w:r>
      <w:r>
        <w:fldChar w:fldCharType="end"/>
      </w:r>
      <w:r>
        <w:rPr/>
        <w:t xml:space="preserve"> y </w:t>
      </w:r>
      <w:r>
        <w:rPr/>
        <w:fldChar w:fldCharType="begin"/>
      </w:r>
      <w:r>
        <w:instrText> REF _Ref70271442 \h </w:instrText>
      </w:r>
      <w:r>
        <w:fldChar w:fldCharType="separate"/>
      </w:r>
      <w:r>
        <w:t xml:space="preserve">Ecuación </w:t>
      </w:r>
      <w:r>
        <w:fldChar w:fldCharType="end"/>
      </w:r>
      <w:r>
        <w:rPr/>
        <w:t xml:space="preserve">. Supongamos que el resumen contiene una descripción (conjunto borroso) </w:t>
      </w:r>
      <w:r>
        <w:rPr>
          <w:i/>
        </w:rPr>
        <w:t>S = (S</w:t>
      </w:r>
      <w:r>
        <w:rPr>
          <w:i/>
          <w:vertAlign w:val="subscript"/>
        </w:rPr>
        <w:t>1</w:t>
      </w:r>
      <w:r>
        <w:rPr>
          <w:i/>
        </w:rPr>
        <w:t>, S</w:t>
      </w:r>
      <w:r>
        <w:rPr>
          <w:i/>
          <w:vertAlign w:val="subscript"/>
        </w:rPr>
        <w:t>2</w:t>
      </w:r>
      <w:r>
        <w:rPr>
          <w:i/>
        </w:rPr>
        <w:t>, ..., S</w:t>
      </w:r>
      <w:r>
        <w:rPr>
          <w:i/>
          <w:vertAlign w:val="subscript"/>
        </w:rPr>
        <w:t>m</w:t>
      </w:r>
      <w:r>
        <w:rPr>
          <w:i/>
        </w:rPr>
        <w:t xml:space="preserve">), </w:t>
      </w:r>
      <w:r>
        <w:rPr/>
        <w:t xml:space="preserve">el cual es particionado en </w:t>
      </w:r>
      <w:r>
        <w:rPr>
          <w:i/>
        </w:rPr>
        <w:t>m</w:t>
      </w:r>
      <w:r>
        <w:rPr/>
        <w:t xml:space="preserve"> sumarizadores compuestos por atributos </w:t>
      </w:r>
      <w:r>
        <w:rPr>
          <w:i/>
        </w:rPr>
        <w:t>V</w:t>
      </w:r>
      <w:r>
        <w:rPr>
          <w:i/>
          <w:vertAlign w:val="subscript"/>
        </w:rPr>
        <w:t>1</w:t>
      </w:r>
      <w:r>
        <w:rPr>
          <w:i/>
        </w:rPr>
        <w:t>, V</w:t>
      </w:r>
      <w:r>
        <w:rPr>
          <w:i/>
          <w:vertAlign w:val="subscript"/>
        </w:rPr>
        <w:t>2</w:t>
      </w:r>
      <w:r>
        <w:rPr>
          <w:i/>
        </w:rPr>
        <w:t>, ..., V</w:t>
      </w:r>
      <w:r>
        <w:rPr>
          <w:i/>
          <w:vertAlign w:val="subscript"/>
        </w:rPr>
        <w:t>m</w:t>
      </w:r>
      <w:r>
        <w:rPr/>
        <w:t>, tal que cada sumarizador se corresponde a un conjunto borroso, entonces se denota:</w:t>
      </w:r>
    </w:p>
    <w:tbl>
      <w:tblPr>
        <w:tblStyle w:val="Tablaconcuadrcula"/>
        <w:tblW w:w="8080" w:type="dxa"/>
        <w:jc w:val="left"/>
        <w:tblInd w:w="0" w:type="dxa"/>
        <w:tblCellMar>
          <w:top w:w="0" w:type="dxa"/>
          <w:left w:w="123" w:type="dxa"/>
          <w:bottom w:w="0" w:type="dxa"/>
          <w:right w:w="108" w:type="dxa"/>
        </w:tblCellMar>
        <w:tblLook w:val="04a0" w:noVBand="1" w:noHBand="0" w:lastColumn="0" w:firstColumn="1" w:lastRow="0" w:firstRow="1"/>
      </w:tblPr>
      <w:tblGrid>
        <w:gridCol w:w="4961"/>
        <w:gridCol w:w="3118"/>
      </w:tblGrid>
      <w:tr>
        <w:trPr/>
        <w:tc>
          <w:tcPr>
            <w:tcW w:w="4961" w:type="dxa"/>
            <w:tcBorders>
              <w:top w:val="nil"/>
              <w:left w:val="nil"/>
              <w:bottom w:val="nil"/>
              <w:right w:val="nil"/>
              <w:insideH w:val="nil"/>
              <w:insideV w:val="nil"/>
            </w:tcBorders>
            <w:shd w:color="auto" w:fill="auto" w:val="clear"/>
          </w:tcPr>
          <w:p>
            <w:pPr>
              <w:pStyle w:val="Normal"/>
              <w:widowControl/>
              <w:suppressAutoHyphens w:val="true"/>
              <w:bidi w:val="0"/>
              <w:spacing w:lineRule="auto" w:line="312" w:before="80" w:after="60"/>
              <w:jc w:val="both"/>
              <w:textAlignment w:val="baseline"/>
              <w:rPr/>
            </w:pPr>
            <w:r>
              <w:rPr/>
            </w:r>
            <m:oMath xmlns:m="http://schemas.openxmlformats.org/officeDocument/2006/math">
              <m:sSub>
                <m:e>
                  <m:r>
                    <w:rPr>
                      <w:rFonts w:ascii="Cambria Math" w:hAnsi="Cambria Math"/>
                    </w:rPr>
                    <m:t xml:space="preserve">S</m:t>
                  </m:r>
                </m:e>
                <m:sub>
                  <m:r>
                    <w:rPr>
                      <w:rFonts w:ascii="Cambria Math" w:hAnsi="Cambria Math"/>
                    </w:rPr>
                    <m:t xml:space="preserve">j</m:t>
                  </m:r>
                </m:sub>
              </m:sSub>
              <m:d>
                <m:dPr>
                  <m:begChr m:val="("/>
                  <m:endChr m:val=")"/>
                </m:dPr>
                <m:e>
                  <m:sSub>
                    <m:e>
                      <m:r>
                        <w:rPr>
                          <w:rFonts w:ascii="Cambria Math" w:hAnsi="Cambria Math"/>
                        </w:rPr>
                        <m:t xml:space="preserve">y</m:t>
                      </m:r>
                    </m:e>
                    <m:sub>
                      <m:r>
                        <w:rPr>
                          <w:rFonts w:ascii="Cambria Math" w:hAnsi="Cambria Math"/>
                        </w:rPr>
                        <m:t xml:space="preserve">i</m:t>
                      </m:r>
                    </m:sub>
                  </m:sSub>
                </m:e>
              </m:d>
              <m:r>
                <w:rPr>
                  <w:rFonts w:ascii="Cambria Math" w:hAnsi="Cambria Math"/>
                </w:rPr>
                <m:t xml:space="preserve">=</m:t>
              </m:r>
              <m:sSub>
                <m:e>
                  <m:r>
                    <w:rPr>
                      <w:rFonts w:ascii="Cambria Math" w:hAnsi="Cambria Math"/>
                    </w:rPr>
                    <m:t xml:space="preserve">μ</m:t>
                  </m:r>
                </m:e>
                <m:sub>
                  <m:sSub>
                    <m:e>
                      <m:r>
                        <w:rPr>
                          <w:rFonts w:ascii="Cambria Math" w:hAnsi="Cambria Math"/>
                        </w:rPr>
                        <m:t xml:space="preserve">S</m:t>
                      </m:r>
                    </m:e>
                    <m:sub>
                      <m:r>
                        <w:rPr>
                          <w:rFonts w:ascii="Cambria Math" w:hAnsi="Cambria Math"/>
                        </w:rPr>
                        <m:t xml:space="preserve">j</m:t>
                      </m:r>
                    </m:sub>
                  </m:sSub>
                </m:sub>
              </m:sSub>
              <m:d>
                <m:dPr>
                  <m:begChr m:val="("/>
                  <m:endChr m:val=")"/>
                </m:dPr>
                <m:e>
                  <m:sSub>
                    <m:e>
                      <m:r>
                        <w:rPr>
                          <w:rFonts w:ascii="Cambria Math" w:hAnsi="Cambria Math"/>
                        </w:rPr>
                        <m:t xml:space="preserve">V</m:t>
                      </m:r>
                    </m:e>
                    <m:sub>
                      <m:r>
                        <w:rPr>
                          <w:rFonts w:ascii="Cambria Math" w:hAnsi="Cambria Math"/>
                        </w:rPr>
                        <m:t xml:space="preserve">j</m:t>
                      </m:r>
                    </m:sub>
                  </m:sSub>
                  <m:d>
                    <m:dPr>
                      <m:begChr m:val="("/>
                      <m:endChr m:val=")"/>
                    </m:dPr>
                    <m:e>
                      <m:sSub>
                        <m:e>
                          <m:r>
                            <w:rPr>
                              <w:rFonts w:ascii="Cambria Math" w:hAnsi="Cambria Math"/>
                            </w:rPr>
                            <m:t xml:space="preserve">y</m:t>
                          </m:r>
                        </m:e>
                        <m:sub>
                          <m:r>
                            <w:rPr>
                              <w:rFonts w:ascii="Cambria Math" w:hAnsi="Cambria Math"/>
                            </w:rPr>
                            <m:t xml:space="preserve">i</m:t>
                          </m:r>
                        </m:sub>
                      </m:sSub>
                    </m:e>
                  </m:d>
                </m:e>
              </m:d>
            </m:oMath>
          </w:p>
        </w:tc>
        <w:tc>
          <w:tcPr>
            <w:tcW w:w="3118" w:type="dxa"/>
            <w:tcBorders>
              <w:top w:val="nil"/>
              <w:left w:val="nil"/>
              <w:bottom w:val="nil"/>
              <w:right w:val="nil"/>
              <w:insideH w:val="nil"/>
              <w:insideV w:val="nil"/>
            </w:tcBorders>
            <w:shd w:color="auto" w:fill="auto" w:val="clear"/>
          </w:tcPr>
          <w:p>
            <w:pPr>
              <w:pStyle w:val="Normal"/>
              <w:spacing w:before="80" w:after="60"/>
              <w:jc w:val="center"/>
              <w:rPr/>
            </w:pPr>
            <w:bookmarkStart w:id="1366" w:name="_Ref70271434"/>
            <w:r>
              <w:rPr/>
              <w:t xml:space="preserve">Ecuación </w:t>
            </w:r>
            <w:bookmarkEnd w:id="1366"/>
            <w:r>
              <w:rPr/>
              <w:fldChar w:fldCharType="begin"/>
            </w:r>
            <w:r>
              <w:instrText> SEQ Ecuación \* ARABIC </w:instrText>
            </w:r>
            <w:r>
              <w:fldChar w:fldCharType="separate"/>
            </w:r>
            <w:r>
              <w:t>23</w:t>
            </w:r>
            <w:r>
              <w:fldChar w:fldCharType="end"/>
            </w:r>
          </w:p>
        </w:tc>
      </w:tr>
    </w:tbl>
    <w:p>
      <w:pPr>
        <w:pStyle w:val="Normal"/>
        <w:rPr/>
      </w:pPr>
      <w:r>
        <w:rPr/>
        <w:t xml:space="preserve">Luego se puede calcular el </w:t>
      </w:r>
      <w:r>
        <w:rPr>
          <w:i/>
        </w:rPr>
        <w:t>T</w:t>
      </w:r>
      <w:r>
        <w:rPr>
          <w:vertAlign w:val="subscript"/>
        </w:rPr>
        <w:t>4</w:t>
      </w:r>
      <w:r>
        <w:rPr/>
        <w:t xml:space="preserve"> según las siguientes ecuaciones:</w:t>
      </w:r>
    </w:p>
    <w:tbl>
      <w:tblPr>
        <w:tblStyle w:val="Tablaconcuadrcula"/>
        <w:tblW w:w="8080" w:type="dxa"/>
        <w:jc w:val="left"/>
        <w:tblInd w:w="0" w:type="dxa"/>
        <w:tblCellMar>
          <w:top w:w="0" w:type="dxa"/>
          <w:left w:w="123" w:type="dxa"/>
          <w:bottom w:w="0" w:type="dxa"/>
          <w:right w:w="108" w:type="dxa"/>
        </w:tblCellMar>
        <w:tblLook w:val="04a0" w:noVBand="1" w:noHBand="0" w:lastColumn="0" w:firstColumn="1" w:lastRow="0" w:firstRow="1"/>
      </w:tblPr>
      <w:tblGrid>
        <w:gridCol w:w="4961"/>
        <w:gridCol w:w="3118"/>
      </w:tblGrid>
      <w:tr>
        <w:trPr>
          <w:trHeight w:val="713" w:hRule="atLeast"/>
        </w:trPr>
        <w:tc>
          <w:tcPr>
            <w:tcW w:w="4961" w:type="dxa"/>
            <w:tcBorders>
              <w:top w:val="nil"/>
              <w:left w:val="nil"/>
              <w:bottom w:val="nil"/>
              <w:right w:val="nil"/>
              <w:insideH w:val="nil"/>
              <w:insideV w:val="nil"/>
            </w:tcBorders>
            <w:shd w:color="auto" w:fill="auto" w:val="clear"/>
            <w:vAlign w:val="center"/>
          </w:tcPr>
          <w:p>
            <w:pPr>
              <w:pStyle w:val="Caption1"/>
              <w:spacing w:before="0" w:after="60"/>
              <w:jc w:val="left"/>
              <w:rPr>
                <w:sz w:val="22"/>
              </w:rPr>
            </w:pPr>
            <w:r>
              <w:rPr/>
            </w:r>
            <m:oMath xmlns:m="http://schemas.openxmlformats.org/officeDocument/2006/math">
              <m:sSub>
                <m:e>
                  <m:r>
                    <w:rPr>
                      <w:rFonts w:ascii="Cambria Math" w:hAnsi="Cambria Math"/>
                    </w:rPr>
                    <m:t xml:space="preserve">T</m:t>
                  </m:r>
                </m:e>
                <m:sub>
                  <m:r>
                    <w:rPr>
                      <w:rFonts w:ascii="Cambria Math" w:hAnsi="Cambria Math"/>
                    </w:rPr>
                    <m:t xml:space="preserve">4</m:t>
                  </m:r>
                </m:sub>
              </m:sSub>
              <m:r>
                <w:rPr>
                  <w:rFonts w:ascii="Cambria Math" w:hAnsi="Cambria Math"/>
                </w:rPr>
                <m:t xml:space="preserve">=</m:t>
              </m:r>
              <m:d>
                <m:dPr>
                  <m:begChr m:val="|"/>
                  <m:endChr m:val="|"/>
                </m:dPr>
                <m:e>
                  <m:d>
                    <m:dPr>
                      <m:begChr m:val="("/>
                      <m:endChr m:val=")"/>
                    </m:dPr>
                    <m:e>
                      <m:nary>
                        <m:naryPr>
                          <m:chr m:val="∏"/>
                          <m:supHide m:val="1"/>
                        </m:naryPr>
                        <m:sub>
                          <m:r>
                            <w:rPr>
                              <w:rFonts w:ascii="Cambria Math" w:hAnsi="Cambria Math"/>
                            </w:rPr>
                            <m:t xml:space="preserve">j</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m:t>
                          </m:r>
                          <m:r>
                            <w:rPr>
                              <w:rFonts w:ascii="Cambria Math" w:hAnsi="Cambria Math"/>
                            </w:rPr>
                            <m:t xml:space="preserve">m</m:t>
                          </m:r>
                        </m:sub>
                        <m:sup/>
                        <m:e>
                          <m:sSub>
                            <m:e>
                              <m:r>
                                <w:rPr>
                                  <w:rFonts w:ascii="Cambria Math" w:hAnsi="Cambria Math"/>
                                </w:rPr>
                                <m:t xml:space="preserve">r</m:t>
                              </m:r>
                            </m:e>
                            <m:sub>
                              <m:r>
                                <w:rPr>
                                  <w:rFonts w:ascii="Cambria Math" w:hAnsi="Cambria Math"/>
                                </w:rPr>
                                <m:t xml:space="preserve">j</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3</m:t>
                              </m:r>
                            </m:sub>
                          </m:sSub>
                        </m:e>
                      </m:nary>
                    </m:e>
                  </m:d>
                </m:e>
              </m:d>
            </m:oMath>
            <w:r>
              <w:rPr>
                <w:rFonts w:eastAsia="MS Mincho" w:cs="Times New Roman" w:ascii="Times New Roman" w:hAnsi="Times New Roman"/>
                <w:color w:val="00000A"/>
                <w:sz w:val="22"/>
              </w:rPr>
              <w:t xml:space="preserve"> </w:t>
            </w:r>
          </w:p>
        </w:tc>
        <w:tc>
          <w:tcPr>
            <w:tcW w:w="3118" w:type="dxa"/>
            <w:tcBorders>
              <w:top w:val="nil"/>
              <w:left w:val="nil"/>
              <w:bottom w:val="nil"/>
              <w:right w:val="nil"/>
              <w:insideH w:val="nil"/>
              <w:insideV w:val="nil"/>
            </w:tcBorders>
            <w:shd w:color="auto" w:fill="auto" w:val="clear"/>
            <w:vAlign w:val="center"/>
          </w:tcPr>
          <w:p>
            <w:pPr>
              <w:pStyle w:val="Normal"/>
              <w:spacing w:before="80" w:after="60"/>
              <w:jc w:val="center"/>
              <w:rPr/>
            </w:pPr>
            <w:bookmarkStart w:id="1367" w:name="_Ref70271437"/>
            <w:r>
              <w:rPr/>
              <w:t xml:space="preserve">Ecuación </w:t>
            </w:r>
            <w:bookmarkEnd w:id="1367"/>
            <w:r>
              <w:rPr/>
              <w:fldChar w:fldCharType="begin"/>
            </w:r>
            <w:r>
              <w:instrText> SEQ Ecuación \* ARABIC </w:instrText>
            </w:r>
            <w:r>
              <w:fldChar w:fldCharType="separate"/>
            </w:r>
            <w:r>
              <w:t>24</w:t>
            </w:r>
            <w:r>
              <w:fldChar w:fldCharType="end"/>
            </w:r>
          </w:p>
        </w:tc>
      </w:tr>
      <w:tr>
        <w:trPr>
          <w:trHeight w:val="637" w:hRule="atLeast"/>
        </w:trPr>
        <w:tc>
          <w:tcPr>
            <w:tcW w:w="4961" w:type="dxa"/>
            <w:tcBorders>
              <w:top w:val="nil"/>
              <w:left w:val="nil"/>
              <w:bottom w:val="nil"/>
              <w:right w:val="nil"/>
              <w:insideH w:val="nil"/>
              <w:insideV w:val="nil"/>
            </w:tcBorders>
            <w:shd w:color="auto" w:fill="auto" w:val="clear"/>
            <w:vAlign w:val="center"/>
          </w:tcPr>
          <w:p>
            <w:pPr>
              <w:pStyle w:val="Caption1"/>
              <w:spacing w:before="0" w:after="60"/>
              <w:ind w:left="31" w:hanging="0"/>
              <w:jc w:val="left"/>
              <w:rPr>
                <w:rFonts w:eastAsia="MS Mincho" w:cs="Arial"/>
                <w:color w:val="00000A"/>
                <w:sz w:val="22"/>
              </w:rPr>
            </w:pPr>
            <w:r>
              <w:rPr/>
            </w:r>
            <m:oMath xmlns:m="http://schemas.openxmlformats.org/officeDocument/2006/math">
              <m:sSub>
                <m:e>
                  <m:r>
                    <w:rPr>
                      <w:rFonts w:ascii="Cambria Math" w:hAnsi="Cambria Math"/>
                    </w:rPr>
                    <m:t xml:space="preserve">r</m:t>
                  </m:r>
                </m:e>
                <m:sub>
                  <m:r>
                    <w:rPr>
                      <w:rFonts w:ascii="Cambria Math" w:hAnsi="Cambria Math"/>
                    </w:rPr>
                    <m:t xml:space="preserve">j</m:t>
                  </m:r>
                </m:sub>
              </m:sSub>
              <m:r>
                <w:rPr>
                  <w:rFonts w:ascii="Cambria Math" w:hAnsi="Cambria Math"/>
                </w:rPr>
                <m:t xml:space="preserve">=</m:t>
              </m:r>
              <m:f>
                <m:num>
                  <m:nary>
                    <m:naryPr>
                      <m:chr m:val="∑"/>
                    </m:naryPr>
                    <m:sub>
                      <m:r>
                        <w:rPr>
                          <w:rFonts w:ascii="Cambria Math" w:hAnsi="Cambria Math"/>
                        </w:rPr>
                        <m:t xml:space="preserve">i</m:t>
                      </m:r>
                      <m:r>
                        <w:rPr>
                          <w:rFonts w:ascii="Cambria Math" w:hAnsi="Cambria Math"/>
                        </w:rPr>
                        <m:t xml:space="preserve">=</m:t>
                      </m:r>
                      <m:r>
                        <w:rPr>
                          <w:rFonts w:ascii="Cambria Math" w:hAnsi="Cambria Math"/>
                        </w:rPr>
                        <m:t xml:space="preserve">1</m:t>
                      </m:r>
                    </m:sub>
                    <m:sup>
                      <m:r>
                        <w:rPr>
                          <w:rFonts w:ascii="Cambria Math" w:hAnsi="Cambria Math"/>
                        </w:rPr>
                        <m:t xml:space="preserve">n</m:t>
                      </m:r>
                    </m:sup>
                    <m:e>
                      <m:sSub>
                        <m:e>
                          <m:r>
                            <w:rPr>
                              <w:rFonts w:ascii="Cambria Math" w:hAnsi="Cambria Math"/>
                            </w:rPr>
                            <m:t xml:space="preserve">h</m:t>
                          </m:r>
                        </m:e>
                        <m:sub>
                          <m:r>
                            <w:rPr>
                              <w:rFonts w:ascii="Cambria Math" w:hAnsi="Cambria Math"/>
                            </w:rPr>
                            <m:t xml:space="preserve">i</m:t>
                          </m:r>
                        </m:sub>
                      </m:sSub>
                    </m:e>
                  </m:nary>
                </m:num>
                <m:den>
                  <m:r>
                    <w:rPr>
                      <w:rFonts w:ascii="Cambria Math" w:hAnsi="Cambria Math"/>
                    </w:rPr>
                    <m:t xml:space="preserve">n</m:t>
                  </m:r>
                </m:den>
              </m:f>
            </m:oMath>
            <w:r>
              <w:rPr>
                <w:rFonts w:eastAsia="MS Mincho" w:cs="Times New Roman" w:ascii="Times New Roman" w:hAnsi="Times New Roman"/>
                <w:color w:val="00000A"/>
                <w:sz w:val="22"/>
              </w:rPr>
              <w:t xml:space="preserve">       </w:t>
            </w:r>
            <w:r>
              <w:rPr>
                <w:rFonts w:eastAsia="MS Mincho" w:cs="Times New Roman" w:ascii="Times New Roman" w:hAnsi="Times New Roman"/>
                <w:color w:val="00000A"/>
                <w:sz w:val="22"/>
              </w:rPr>
              <w:t xml:space="preserve">para  </w:t>
            </w:r>
            <w:r>
              <w:rPr>
                <w:rFonts w:eastAsia="MS Mincho" w:cs="Times New Roman" w:ascii="Times New Roman" w:hAnsi="Times New Roman"/>
                <w:i/>
                <w:color w:val="00000A"/>
                <w:sz w:val="22"/>
              </w:rPr>
              <w:t xml:space="preserve">j </w:t>
            </w:r>
            <w:r>
              <w:rPr>
                <w:rFonts w:eastAsia="MS Mincho" w:cs="Times New Roman" w:ascii="Times New Roman" w:hAnsi="Times New Roman"/>
                <w:color w:val="00000A"/>
                <w:sz w:val="22"/>
              </w:rPr>
              <w:t xml:space="preserve">= 1,…, </w:t>
            </w:r>
            <w:r>
              <w:rPr>
                <w:rFonts w:eastAsia="MS Mincho" w:cs="Times New Roman" w:ascii="Times New Roman" w:hAnsi="Times New Roman"/>
                <w:i/>
                <w:color w:val="00000A"/>
                <w:sz w:val="22"/>
              </w:rPr>
              <w:t xml:space="preserve">n </w:t>
            </w:r>
          </w:p>
        </w:tc>
        <w:tc>
          <w:tcPr>
            <w:tcW w:w="3118" w:type="dxa"/>
            <w:tcBorders>
              <w:top w:val="nil"/>
              <w:left w:val="nil"/>
              <w:bottom w:val="nil"/>
              <w:right w:val="nil"/>
              <w:insideH w:val="nil"/>
              <w:insideV w:val="nil"/>
            </w:tcBorders>
            <w:shd w:color="auto" w:fill="auto" w:val="clear"/>
            <w:vAlign w:val="center"/>
          </w:tcPr>
          <w:p>
            <w:pPr>
              <w:pStyle w:val="Normal"/>
              <w:spacing w:before="80" w:after="60"/>
              <w:jc w:val="center"/>
              <w:rPr/>
            </w:pPr>
            <w:bookmarkStart w:id="1368" w:name="_Ref70271440"/>
            <w:r>
              <w:rPr/>
              <w:t xml:space="preserve">Ecuación </w:t>
            </w:r>
            <w:bookmarkEnd w:id="1368"/>
            <w:r>
              <w:rPr/>
              <w:fldChar w:fldCharType="begin"/>
            </w:r>
            <w:r>
              <w:instrText> SEQ Ecuación \* ARABIC </w:instrText>
            </w:r>
            <w:r>
              <w:fldChar w:fldCharType="separate"/>
            </w:r>
            <w:r>
              <w:t>25</w:t>
            </w:r>
            <w:r>
              <w:fldChar w:fldCharType="end"/>
            </w:r>
          </w:p>
        </w:tc>
      </w:tr>
      <w:tr>
        <w:trPr>
          <w:trHeight w:val="663" w:hRule="atLeast"/>
        </w:trPr>
        <w:tc>
          <w:tcPr>
            <w:tcW w:w="4961" w:type="dxa"/>
            <w:tcBorders>
              <w:top w:val="nil"/>
              <w:left w:val="nil"/>
              <w:bottom w:val="nil"/>
              <w:right w:val="nil"/>
              <w:insideH w:val="nil"/>
              <w:insideV w:val="nil"/>
            </w:tcBorders>
            <w:shd w:color="auto" w:fill="auto" w:val="clear"/>
            <w:vAlign w:val="center"/>
          </w:tcPr>
          <w:p>
            <w:pPr>
              <w:pStyle w:val="Caption1"/>
              <w:spacing w:before="0" w:after="60"/>
              <w:ind w:left="0" w:hanging="0"/>
              <w:rPr>
                <w:rFonts w:cs="Arial"/>
                <w:color w:val="00000A"/>
                <w:sz w:val="22"/>
              </w:rPr>
            </w:pPr>
            <w:r>
              <w:rPr/>
            </w:r>
            <m:oMath xmlns:m="http://schemas.openxmlformats.org/officeDocument/2006/math">
              <m:sSub>
                <m:e>
                  <m:r>
                    <w:rPr>
                      <w:rFonts w:ascii="Cambria Math" w:hAnsi="Cambria Math"/>
                    </w:rPr>
                    <m:t xml:space="preserve">h</m:t>
                  </m:r>
                </m:e>
                <m:sub>
                  <m:r>
                    <w:rPr>
                      <w:rFonts w:ascii="Cambria Math" w:hAnsi="Cambria Math"/>
                    </w:rPr>
                    <m:t xml:space="preserve">i</m:t>
                  </m:r>
                </m:sub>
              </m:sSub>
              <m:r>
                <w:rPr>
                  <w:rFonts w:ascii="Cambria Math" w:hAnsi="Cambria Math"/>
                </w:rPr>
                <m:t xml:space="preserve">=</m:t>
              </m:r>
              <m:d>
                <m:dPr>
                  <m:begChr m:val="{"/>
                  <m:endChr m:val=""/>
                </m:dPr>
                <m:e>
                  <m:eqArr>
                    <m:e>
                      <m:r>
                        <w:rPr>
                          <w:rFonts w:ascii="Cambria Math" w:hAnsi="Cambria Math"/>
                        </w:rPr>
                        <m:t xml:space="preserve">1</m:t>
                      </m:r>
                      <m:r>
                        <w:rPr>
                          <w:rFonts w:ascii="Cambria Math" w:hAnsi="Cambria Math"/>
                        </w:rPr>
                        <m:t xml:space="preserve">si</m:t>
                      </m:r>
                      <m:sSub>
                        <m:e>
                          <m:r>
                            <w:rPr>
                              <w:rFonts w:ascii="Cambria Math" w:hAnsi="Cambria Math"/>
                            </w:rPr>
                            <m:t xml:space="preserve">S</m:t>
                          </m:r>
                        </m:e>
                        <m:sub>
                          <m:r>
                            <w:rPr>
                              <w:rFonts w:ascii="Cambria Math" w:hAnsi="Cambria Math"/>
                            </w:rPr>
                            <m:t xml:space="preserve">j</m:t>
                          </m:r>
                        </m:sub>
                      </m:sSub>
                      <m:d>
                        <m:dPr>
                          <m:begChr m:val="("/>
                          <m:endChr m:val=")"/>
                        </m:dPr>
                        <m:e>
                          <m:sSub>
                            <m:e>
                              <m:r>
                                <w:rPr>
                                  <w:rFonts w:ascii="Cambria Math" w:hAnsi="Cambria Math"/>
                                </w:rPr>
                                <m:t xml:space="preserve">y</m:t>
                              </m:r>
                            </m:e>
                            <m:sub>
                              <m:r>
                                <w:rPr>
                                  <w:rFonts w:ascii="Cambria Math" w:hAnsi="Cambria Math"/>
                                </w:rPr>
                                <m:t xml:space="preserve">i</m:t>
                              </m:r>
                            </m:sub>
                          </m:sSub>
                        </m:e>
                      </m:d>
                      <m:r>
                        <w:rPr>
                          <w:rFonts w:ascii="Cambria Math" w:hAnsi="Cambria Math"/>
                        </w:rPr>
                        <m:t xml:space="preserve">&gt;</m:t>
                      </m:r>
                      <m:r>
                        <w:rPr>
                          <w:rFonts w:ascii="Cambria Math" w:hAnsi="Cambria Math"/>
                        </w:rPr>
                        <m:t xml:space="preserve">0</m:t>
                      </m:r>
                    </m:e>
                    <m:e>
                      <m:r>
                        <w:rPr>
                          <w:rFonts w:ascii="Cambria Math" w:hAnsi="Cambria Math"/>
                        </w:rPr>
                        <m:t xml:space="preserve">0</m:t>
                      </m:r>
                      <m:r>
                        <w:rPr>
                          <w:rFonts w:ascii="Cambria Math" w:hAnsi="Cambria Math"/>
                        </w:rPr>
                        <m:t xml:space="preserve">enotrocaso</m:t>
                      </m:r>
                    </m:e>
                  </m:eqArr>
                </m:e>
              </m:d>
            </m:oMath>
          </w:p>
        </w:tc>
        <w:tc>
          <w:tcPr>
            <w:tcW w:w="3118" w:type="dxa"/>
            <w:tcBorders>
              <w:top w:val="nil"/>
              <w:left w:val="nil"/>
              <w:bottom w:val="nil"/>
              <w:right w:val="nil"/>
              <w:insideH w:val="nil"/>
              <w:insideV w:val="nil"/>
            </w:tcBorders>
            <w:shd w:color="auto" w:fill="auto" w:val="clear"/>
            <w:vAlign w:val="center"/>
          </w:tcPr>
          <w:p>
            <w:pPr>
              <w:pStyle w:val="Normal"/>
              <w:spacing w:before="80" w:after="60"/>
              <w:jc w:val="center"/>
              <w:rPr/>
            </w:pPr>
            <w:bookmarkStart w:id="1369" w:name="_Ref70271442"/>
            <w:r>
              <w:rPr/>
              <w:t xml:space="preserve">Ecuación </w:t>
            </w:r>
            <w:bookmarkEnd w:id="1369"/>
            <w:r>
              <w:rPr/>
              <w:fldChar w:fldCharType="begin"/>
            </w:r>
            <w:r>
              <w:instrText> SEQ Ecuación \* ARABIC </w:instrText>
            </w:r>
            <w:r>
              <w:fldChar w:fldCharType="separate"/>
            </w:r>
            <w:r>
              <w:t>26</w:t>
            </w:r>
            <w:r>
              <w:fldChar w:fldCharType="end"/>
            </w:r>
          </w:p>
        </w:tc>
      </w:tr>
    </w:tbl>
    <w:p>
      <w:pPr>
        <w:pStyle w:val="Normal"/>
        <w:rPr/>
      </w:pPr>
      <w:r>
        <w:rPr/>
        <w:t>Ejemplificándolo con una base de datos sobre trabajadores, si el 50% de ellos son menores de 25 años y el 50% son altamente calificados, entonces se puede esperar que los empleados que sean menores de 25 años y altamente calificados estén cerca del 25%. Sin embargo, si el grado de adecuación es de, por ejemplo, 0.39 (es decir, el 39% tiene menos de 25 años y está altamente calificado), entonces el resumen encontrado refleja una relación interesante, no esperada en nuestros datos.</w:t>
      </w:r>
    </w:p>
    <w:p>
      <w:pPr>
        <w:pStyle w:val="Normal"/>
        <w:rPr/>
      </w:pPr>
      <w:r>
        <w:rPr/>
        <w:t xml:space="preserve">El </w:t>
      </w:r>
      <w:r>
        <w:rPr>
          <w:i/>
        </w:rPr>
        <w:t>T</w:t>
      </w:r>
      <w:r>
        <w:rPr>
          <w:vertAlign w:val="subscript"/>
        </w:rPr>
        <w:t>4</w:t>
      </w:r>
      <w:r>
        <w:rPr/>
        <w:t xml:space="preserve"> es una combinación lineal del </w:t>
      </w:r>
      <w:r>
        <w:rPr>
          <w:i/>
        </w:rPr>
        <w:t>T</w:t>
      </w:r>
      <w:r>
        <w:rPr>
          <w:vertAlign w:val="subscript"/>
        </w:rPr>
        <w:t xml:space="preserve">3 </w:t>
      </w:r>
      <w:r>
        <w:rPr/>
        <w:t>y otros elementos.</w:t>
      </w:r>
    </w:p>
    <w:p>
      <w:pPr>
        <w:pStyle w:val="Heading3"/>
        <w:numPr>
          <w:ilvl w:val="2"/>
          <w:numId w:val="80"/>
        </w:numPr>
        <w:rPr/>
      </w:pPr>
      <w:r>
        <w:rPr/>
        <w:t>T</w:t>
      </w:r>
      <w:r>
        <w:rPr>
          <w:vertAlign w:val="subscript"/>
        </w:rPr>
        <w:t>5</w:t>
      </w:r>
      <w:r>
        <w:rPr/>
        <w:t>: longitud de un resumen</w:t>
      </w:r>
    </w:p>
    <w:p>
      <w:pPr>
        <w:pStyle w:val="Normal"/>
        <w:rPr/>
      </w:pPr>
      <w:r>
        <w:rPr/>
        <w:t>La “longitud de un resumen (</w:t>
      </w:r>
      <w:r>
        <w:rPr>
          <w:i/>
        </w:rPr>
        <w:t>T</w:t>
      </w:r>
      <w:r>
        <w:rPr>
          <w:vertAlign w:val="subscript"/>
        </w:rPr>
        <w:t>5</w:t>
      </w:r>
      <w:r>
        <w:rPr/>
        <w:t xml:space="preserve">)” es un indicador importante porque mientras más largo sea el resumen, más difícil será su comprensión, ver </w:t>
      </w:r>
      <w:r>
        <w:rPr/>
        <w:fldChar w:fldCharType="begin"/>
      </w:r>
      <w:r>
        <w:instrText> REF _Ref70144413 \h </w:instrText>
      </w:r>
      <w:r>
        <w:fldChar w:fldCharType="separate"/>
      </w:r>
      <w:r>
        <w:t xml:space="preserve">Ecuación </w:t>
      </w:r>
      <w:r>
        <w:fldChar w:fldCharType="end"/>
      </w:r>
      <w:r>
        <w:rPr/>
        <w:t>.</w:t>
      </w:r>
    </w:p>
    <w:tbl>
      <w:tblPr>
        <w:tblStyle w:val="Tablaconcuadrcula"/>
        <w:tblW w:w="6379" w:type="dxa"/>
        <w:jc w:val="left"/>
        <w:tblInd w:w="0" w:type="dxa"/>
        <w:tblCellMar>
          <w:top w:w="0" w:type="dxa"/>
          <w:left w:w="123" w:type="dxa"/>
          <w:bottom w:w="0" w:type="dxa"/>
          <w:right w:w="108" w:type="dxa"/>
        </w:tblCellMar>
        <w:tblLook w:val="04a0" w:noVBand="1" w:noHBand="0" w:lastColumn="0" w:firstColumn="1" w:lastRow="0" w:firstRow="1"/>
      </w:tblPr>
      <w:tblGrid>
        <w:gridCol w:w="3970"/>
        <w:gridCol w:w="2408"/>
      </w:tblGrid>
      <w:tr>
        <w:trPr>
          <w:trHeight w:val="449" w:hRule="atLeast"/>
        </w:trPr>
        <w:tc>
          <w:tcPr>
            <w:tcW w:w="3970" w:type="dxa"/>
            <w:tcBorders>
              <w:top w:val="nil"/>
              <w:left w:val="nil"/>
              <w:bottom w:val="nil"/>
              <w:right w:val="nil"/>
              <w:insideH w:val="nil"/>
              <w:insideV w:val="nil"/>
            </w:tcBorders>
            <w:shd w:color="auto" w:fill="auto" w:val="clear"/>
            <w:vAlign w:val="center"/>
          </w:tcPr>
          <w:p>
            <w:pPr>
              <w:pStyle w:val="Caption1"/>
              <w:spacing w:before="0" w:after="60"/>
              <w:jc w:val="left"/>
              <w:rPr>
                <w:sz w:val="22"/>
              </w:rPr>
            </w:pPr>
            <w:r>
              <w:rPr/>
            </w:r>
            <m:oMath xmlns:m="http://schemas.openxmlformats.org/officeDocument/2006/math">
              <m:sSub>
                <m:e>
                  <m:r>
                    <w:rPr>
                      <w:rFonts w:ascii="Cambria Math" w:hAnsi="Cambria Math"/>
                    </w:rPr>
                    <m:t xml:space="preserve">T</m:t>
                  </m:r>
                </m:e>
                <m:sub>
                  <m:r>
                    <w:rPr>
                      <w:rFonts w:ascii="Cambria Math" w:hAnsi="Cambria Math"/>
                    </w:rPr>
                    <m:t xml:space="preserve">5</m:t>
                  </m:r>
                </m:sub>
              </m:sSub>
              <m:r>
                <w:rPr>
                  <w:rFonts w:ascii="Cambria Math" w:hAnsi="Cambria Math"/>
                </w:rPr>
                <m:t xml:space="preserve">=</m:t>
              </m:r>
              <m:r>
                <w:rPr>
                  <w:rFonts w:ascii="Cambria Math" w:hAnsi="Cambria Math"/>
                </w:rPr>
                <m:t xml:space="preserve">2</m:t>
              </m:r>
              <m:d>
                <m:dPr>
                  <m:begChr m:val="("/>
                  <m:endChr m:val=")"/>
                </m:dPr>
                <m:e>
                  <m:sSup>
                    <m:e>
                      <m:r>
                        <w:rPr>
                          <w:rFonts w:ascii="Cambria Math" w:hAnsi="Cambria Math"/>
                        </w:rPr>
                        <m:t xml:space="preserve">0.5</m:t>
                      </m:r>
                    </m:e>
                    <m:sup>
                      <m:r>
                        <w:rPr>
                          <w:rFonts w:ascii="Cambria Math" w:hAnsi="Cambria Math"/>
                        </w:rPr>
                        <m:t xml:space="preserve">card</m:t>
                      </m:r>
                      <m:d>
                        <m:dPr>
                          <m:begChr m:val="("/>
                          <m:endChr m:val=")"/>
                        </m:dPr>
                        <m:e>
                          <m:r>
                            <w:rPr>
                              <w:rFonts w:ascii="Cambria Math" w:hAnsi="Cambria Math"/>
                            </w:rPr>
                            <m:t xml:space="preserve">S</m:t>
                          </m:r>
                        </m:e>
                      </m:d>
                    </m:sup>
                  </m:sSup>
                </m:e>
              </m:d>
            </m:oMath>
            <w:r>
              <w:rPr>
                <w:rFonts w:eastAsia="MS Mincho" w:cs="Times New Roman" w:ascii="Times New Roman" w:hAnsi="Times New Roman"/>
                <w:color w:val="00000A"/>
                <w:sz w:val="22"/>
              </w:rPr>
              <w:t xml:space="preserve">  </w:t>
            </w:r>
            <w:r>
              <w:rPr>
                <w:rFonts w:eastAsia="MS Mincho" w:cs="Times New Roman" w:ascii="Times New Roman" w:hAnsi="Times New Roman"/>
                <w:color w:val="00000A"/>
                <w:sz w:val="22"/>
              </w:rPr>
              <w:tab/>
              <w:tab/>
            </w:r>
          </w:p>
        </w:tc>
        <w:tc>
          <w:tcPr>
            <w:tcW w:w="2408" w:type="dxa"/>
            <w:tcBorders>
              <w:top w:val="nil"/>
              <w:left w:val="nil"/>
              <w:bottom w:val="nil"/>
              <w:right w:val="nil"/>
              <w:insideH w:val="nil"/>
              <w:insideV w:val="nil"/>
            </w:tcBorders>
            <w:shd w:color="auto" w:fill="auto" w:val="clear"/>
            <w:vAlign w:val="center"/>
          </w:tcPr>
          <w:p>
            <w:pPr>
              <w:pStyle w:val="Normal"/>
              <w:spacing w:before="80" w:after="60"/>
              <w:jc w:val="right"/>
              <w:rPr/>
            </w:pPr>
            <w:bookmarkStart w:id="1370" w:name="_Ref70144413"/>
            <w:r>
              <w:rPr/>
              <w:t xml:space="preserve">Ecuación </w:t>
            </w:r>
            <w:bookmarkEnd w:id="1370"/>
            <w:r>
              <w:rPr/>
              <w:fldChar w:fldCharType="begin"/>
            </w:r>
            <w:r>
              <w:instrText> SEQ Ecuación \* ARABIC </w:instrText>
            </w:r>
            <w:r>
              <w:fldChar w:fldCharType="separate"/>
            </w:r>
            <w:r>
              <w:t>27</w:t>
            </w:r>
            <w:r>
              <w:fldChar w:fldCharType="end"/>
            </w:r>
          </w:p>
        </w:tc>
      </w:tr>
    </w:tbl>
    <w:p>
      <w:pPr>
        <w:pStyle w:val="Normal"/>
        <w:rPr/>
      </w:pPr>
      <w:r>
        <w:rPr/>
        <w:t xml:space="preserve">Para visualizar cómo se comporta este indicador, se construye una secuencia de datos aleatoriamente, que simulen el tamaño de resúmenes lingüísticos tomando valores entre 1 y 8. Estos valores se evalúan en la </w:t>
      </w:r>
      <w:r>
        <w:rPr/>
        <w:fldChar w:fldCharType="begin"/>
      </w:r>
      <w:r>
        <w:instrText> REF _Ref70144413 \h </w:instrText>
      </w:r>
      <w:r>
        <w:fldChar w:fldCharType="separate"/>
      </w:r>
      <w:r>
        <w:t xml:space="preserve">Ecuación </w:t>
      </w:r>
      <w:r>
        <w:fldChar w:fldCharType="end"/>
      </w:r>
      <w:r>
        <w:rPr/>
        <w:t>. Posteriormente, utilizando el tabulador Excel, se construye un gráfico de líneas, donde en el eje de las ´</w:t>
      </w:r>
      <w:r>
        <w:rPr>
          <w:i/>
        </w:rPr>
        <w:t>x´</w:t>
      </w:r>
      <w:r>
        <w:rPr/>
        <w:t xml:space="preserve"> se representa el tamaño de los resúmenes, y en el de las ´</w:t>
      </w:r>
      <w:r>
        <w:rPr>
          <w:i/>
        </w:rPr>
        <w:t>y´</w:t>
      </w:r>
      <w:r>
        <w:rPr/>
        <w:t xml:space="preserve"> se representan los valores del </w:t>
      </w:r>
      <w:r>
        <w:rPr>
          <w:i/>
        </w:rPr>
        <w:t>T</w:t>
      </w:r>
      <w:r>
        <w:rPr>
          <w:vertAlign w:val="subscript"/>
        </w:rPr>
        <w:t>5</w:t>
      </w:r>
      <w:r>
        <w:rPr>
          <w:i/>
        </w:rPr>
        <w:t xml:space="preserve">. </w:t>
      </w:r>
      <w:r>
        <w:rPr/>
        <w:t>Se</w:t>
      </w:r>
      <w:r>
        <w:rPr>
          <w:i/>
        </w:rPr>
        <w:t xml:space="preserve"> </w:t>
      </w:r>
      <w:r>
        <w:rPr/>
        <w:t xml:space="preserve">obtiene que este indicador tiene un comportamiento como el que muestra la </w:t>
      </w:r>
      <w:r>
        <w:rPr/>
        <w:fldChar w:fldCharType="begin"/>
      </w:r>
      <w:r>
        <w:instrText> REF _Ref79485112 \h </w:instrText>
      </w:r>
      <w:r>
        <w:fldChar w:fldCharType="separate"/>
      </w:r>
      <w:r>
        <w:t>Figura 4</w:t>
      </w:r>
      <w:r>
        <w:fldChar w:fldCharType="end"/>
      </w:r>
      <w:r>
        <w:rPr/>
        <w:t>.</w:t>
      </w:r>
    </w:p>
    <w:p>
      <w:pPr>
        <w:pStyle w:val="Normal"/>
        <w:keepNext/>
        <w:rPr/>
      </w:pPr>
      <w:r>
        <w:rPr/>
        <w:drawing>
          <wp:inline distT="0" distB="0" distL="0" distR="0">
            <wp:extent cx="3882390" cy="2462530"/>
            <wp:effectExtent l="0" t="0" r="0" b="0"/>
            <wp:docPr id="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r>
        <w:rPr/>
        <w:t xml:space="preserve">Este es un indicador que responde a una función exponencial, como se representa en la </w:t>
      </w:r>
      <w:r>
        <w:rPr/>
        <w:fldChar w:fldCharType="begin"/>
      </w:r>
      <w:r>
        <w:instrText> REF _Ref79485112 \h </w:instrText>
      </w:r>
      <w:r>
        <w:fldChar w:fldCharType="separate"/>
      </w:r>
      <w:r>
        <w:t>Figura 4</w:t>
      </w:r>
      <w:r>
        <w:fldChar w:fldCharType="end"/>
      </w:r>
      <w:r>
        <w:rPr/>
        <w:t xml:space="preserve">. Para resúmenes de tamaño 1, el </w:t>
      </w:r>
      <w:r>
        <w:rPr>
          <w:i/>
        </w:rPr>
        <w:t>T</w:t>
      </w:r>
      <w:r>
        <w:rPr>
          <w:vertAlign w:val="subscript"/>
        </w:rPr>
        <w:t xml:space="preserve">5 </w:t>
      </w:r>
      <w:r>
        <w:rPr/>
        <w:t xml:space="preserve">alcanza su máximo valor, siendo éste un tamaño de resumen no muy adecuado, sobre todo si de él depende tomar una decisión. Sin embargo, para los resúmenes que involucran de 2 a 4 variables, el valor del </w:t>
      </w:r>
      <w:r>
        <w:rPr>
          <w:i/>
        </w:rPr>
        <w:t>T</w:t>
      </w:r>
      <w:r>
        <w:rPr>
          <w:vertAlign w:val="subscript"/>
        </w:rPr>
        <w:t>5</w:t>
      </w:r>
      <w:r>
        <w:rPr/>
        <w:t xml:space="preserve"> cae abruptamente, siendo éste el rango de valores más esperado de un resumen. Un resumen de tamaño 2 es bueno porque involucra a más de una variable de la base de datos; a su vez, un resumen con muchos componentes ya deja de ser legible o comprensible.</w:t>
      </w:r>
    </w:p>
    <w:p>
      <w:pPr>
        <w:pStyle w:val="Normal"/>
        <w:rPr/>
      </w:pPr>
      <w:r>
        <w:rPr/>
        <w:t xml:space="preserve">En </w:t>
      </w:r>
      <w:r>
        <w:fldChar w:fldCharType="begin"/>
      </w:r>
      <w:r>
        <w:instrText>ADDIN ZOTERO_ITEM CSL_CITATION {"citationID":"yajfEmv6","properties":{"formattedCitation":"(Kacprzyk y Wilbik 2010)","plainCitation":"(Kacprzyk y Wilbik 2010)","noteIndex":0},"citationItems":[{"id":"NJclqhNX/izuZE6F0","uris":["http://zotero.org/users/local/X7i2mGyy/items/W35YWW9C"],"uri":["http://zotero.org/users/local/X7i2mGyy/items/W35YWW9C"],"itemData":{"id":"CwCscVJx/KCbhIbJT","type":"article-journal","container-title":"Studia i Materiały Polskiego Stowarzyszenia Zarzdzania Wiedza","issue":"31","page":"326-337","title":"Linguistic summaries of time series: on some extended aggregation techniques","volume":"2010","author":[{"family":"Kacprzyk","given":"Janusz"},{"family":"Wilbik","given":"Anna"}],"issued":{"date-parts":[["2010"]]}}}],"schema":"https://github.com/citation-style-language/schema/raw/master/csl-citation.json"}</w:instrText>
      </w:r>
      <w:r>
        <w:fldChar w:fldCharType="separate"/>
      </w:r>
      <w:bookmarkStart w:id="1371" w:name="__Fieldmark__10736_2067855929"/>
      <w:r>
        <w:rPr/>
        <w:t>(</w:t>
      </w:r>
      <w:bookmarkStart w:id="1372" w:name="__Fieldmark__9297_498839314"/>
      <w:r>
        <w:rPr/>
        <w:t>K</w:t>
      </w:r>
      <w:bookmarkStart w:id="1373" w:name="__Fieldmark__8269_998588997"/>
      <w:r>
        <w:rPr/>
        <w:t>a</w:t>
      </w:r>
      <w:bookmarkStart w:id="1374" w:name="__Fieldmark__12497_118561941"/>
      <w:r>
        <w:rPr/>
        <w:t>cprzyk y Wilbik 2010)</w:t>
      </w:r>
      <w:r>
        <w:rPr/>
      </w:r>
      <w:r>
        <w:fldChar w:fldCharType="end"/>
      </w:r>
      <w:bookmarkEnd w:id="1371"/>
      <w:bookmarkEnd w:id="1372"/>
      <w:bookmarkEnd w:id="1373"/>
      <w:bookmarkEnd w:id="1374"/>
      <w:r>
        <w:rPr>
          <w:i/>
        </w:rPr>
        <w:t xml:space="preserve"> </w:t>
      </w:r>
      <w:r>
        <w:rPr/>
        <w:t>se incluyen otros indicadores como:</w:t>
      </w:r>
    </w:p>
    <w:p>
      <w:pPr>
        <w:pStyle w:val="ListParagraph"/>
        <w:numPr>
          <w:ilvl w:val="0"/>
          <w:numId w:val="13"/>
        </w:numPr>
        <w:ind w:left="426" w:hanging="360"/>
        <w:rPr/>
      </w:pPr>
      <w:r>
        <w:rPr>
          <w:lang w:val="es-ES"/>
        </w:rPr>
        <w:t>E</w:t>
      </w:r>
      <w:r>
        <w:rPr/>
        <w:t>l “grado total de validez (</w:t>
      </w:r>
      <w:r>
        <w:rPr>
          <w:i/>
        </w:rPr>
        <w:t>T</w:t>
      </w:r>
      <w:r>
        <w:rPr>
          <w:i/>
          <w:vertAlign w:val="subscript"/>
        </w:rPr>
        <w:t>t</w:t>
      </w:r>
      <w:r>
        <w:rPr/>
        <w:t>)”</w:t>
      </w:r>
      <w:r>
        <w:rPr>
          <w:lang w:val="es-ES"/>
        </w:rPr>
        <w:t>, el cual</w:t>
      </w:r>
      <w:r>
        <w:rPr/>
        <w:t xml:space="preserve"> se presenta como una agregación lineal de los restantes indicadores</w:t>
      </w:r>
      <w:r>
        <w:rPr>
          <w:lang w:val="es-ES"/>
        </w:rPr>
        <w:t xml:space="preserve">, ver </w:t>
      </w:r>
      <w:r>
        <w:rPr>
          <w:lang w:val="es-ES"/>
        </w:rPr>
        <w:fldChar w:fldCharType="begin"/>
      </w:r>
      <w:r>
        <w:instrText> REF _Ref70271505 \h </w:instrText>
      </w:r>
      <w:r>
        <w:fldChar w:fldCharType="separate"/>
      </w:r>
      <w:r>
        <w:t xml:space="preserve">Ecuación </w:t>
      </w:r>
      <w:r>
        <w:fldChar w:fldCharType="end"/>
      </w:r>
      <w:r>
        <w:rPr/>
        <w:t>:</w:t>
      </w:r>
    </w:p>
    <w:tbl>
      <w:tblPr>
        <w:tblStyle w:val="Tablaconcuadrcula"/>
        <w:tblW w:w="7905" w:type="dxa"/>
        <w:jc w:val="left"/>
        <w:tblInd w:w="0" w:type="dxa"/>
        <w:tblCellMar>
          <w:top w:w="0" w:type="dxa"/>
          <w:left w:w="123" w:type="dxa"/>
          <w:bottom w:w="0" w:type="dxa"/>
          <w:right w:w="108" w:type="dxa"/>
        </w:tblCellMar>
        <w:tblLook w:val="04a0" w:noVBand="1" w:noHBand="0" w:lastColumn="0" w:firstColumn="1" w:lastRow="0" w:firstRow="1"/>
      </w:tblPr>
      <w:tblGrid>
        <w:gridCol w:w="4819"/>
        <w:gridCol w:w="3085"/>
      </w:tblGrid>
      <w:tr>
        <w:trPr>
          <w:trHeight w:val="344" w:hRule="atLeast"/>
        </w:trPr>
        <w:tc>
          <w:tcPr>
            <w:tcW w:w="4819" w:type="dxa"/>
            <w:tcBorders>
              <w:top w:val="nil"/>
              <w:left w:val="nil"/>
              <w:bottom w:val="nil"/>
              <w:right w:val="nil"/>
              <w:insideH w:val="nil"/>
              <w:insideV w:val="nil"/>
            </w:tcBorders>
            <w:shd w:color="auto" w:fill="auto" w:val="clear"/>
            <w:vAlign w:val="center"/>
          </w:tcPr>
          <w:p>
            <w:pPr>
              <w:pStyle w:val="Caption1"/>
              <w:spacing w:before="0" w:after="60"/>
              <w:jc w:val="left"/>
              <w:rPr>
                <w:sz w:val="22"/>
              </w:rPr>
            </w:pPr>
            <w:r>
              <w:rPr/>
            </w:r>
            <m:oMath xmlns:m="http://schemas.openxmlformats.org/officeDocument/2006/math">
              <m:sSub>
                <m:e>
                  <m:r>
                    <w:rPr>
                      <w:rFonts w:ascii="Cambria Math" w:hAnsi="Cambria Math"/>
                    </w:rPr>
                    <m:t xml:space="preserve">T</m:t>
                  </m:r>
                </m:e>
                <m:sub>
                  <m:r>
                    <w:rPr>
                      <w:rFonts w:ascii="Cambria Math" w:hAnsi="Cambria Math"/>
                    </w:rPr>
                    <m:t xml:space="preserve">LS</m:t>
                  </m:r>
                </m:sub>
              </m:sSub>
              <m:r>
                <w:rPr>
                  <w:rFonts w:ascii="Cambria Math" w:hAnsi="Cambria Math"/>
                </w:rPr>
                <m:t xml:space="preserve">=</m:t>
              </m:r>
              <m:nary>
                <m:naryPr>
                  <m:chr m:val="∑"/>
                </m:naryPr>
                <m:sub>
                  <m:r>
                    <w:rPr>
                      <w:rFonts w:ascii="Cambria Math" w:hAnsi="Cambria Math"/>
                    </w:rPr>
                    <m:t xml:space="preserve">i</m:t>
                  </m:r>
                  <m:r>
                    <w:rPr>
                      <w:rFonts w:ascii="Cambria Math" w:hAnsi="Cambria Math"/>
                    </w:rPr>
                    <m:t xml:space="preserve">=</m:t>
                  </m:r>
                  <m:r>
                    <w:rPr>
                      <w:rFonts w:ascii="Cambria Math" w:hAnsi="Cambria Math"/>
                    </w:rPr>
                    <m:t xml:space="preserve">1</m:t>
                  </m:r>
                </m:sub>
                <m:sup>
                  <m:r>
                    <w:rPr>
                      <w:rFonts w:ascii="Cambria Math" w:hAnsi="Cambria Math"/>
                    </w:rPr>
                    <m:t xml:space="preserve">k</m:t>
                  </m:r>
                </m:sup>
                <m:e>
                  <m:sSub>
                    <m:e>
                      <m:r>
                        <w:rPr>
                          <w:rFonts w:ascii="Cambria Math" w:hAnsi="Cambria Math"/>
                        </w:rPr>
                        <m:t xml:space="preserve">w</m:t>
                      </m:r>
                    </m:e>
                    <m:sub>
                      <m:r>
                        <w:rPr>
                          <w:rFonts w:ascii="Cambria Math" w:hAnsi="Cambria Math"/>
                        </w:rPr>
                        <m:t xml:space="preserve">i</m:t>
                      </m:r>
                    </m:sub>
                  </m:sSub>
                </m:e>
              </m:nary>
              <m:sSub>
                <m:e>
                  <m:r>
                    <w:rPr>
                      <w:rFonts w:ascii="Cambria Math" w:hAnsi="Cambria Math"/>
                    </w:rPr>
                    <m:t xml:space="preserve">T</m:t>
                  </m:r>
                </m:e>
                <m:sub>
                  <m:r>
                    <w:rPr>
                      <w:rFonts w:ascii="Cambria Math" w:hAnsi="Cambria Math"/>
                    </w:rPr>
                    <m:t xml:space="preserve">i</m:t>
                  </m:r>
                </m:sub>
              </m:sSub>
            </m:oMath>
            <w:r>
              <w:rPr>
                <w:rFonts w:eastAsia="MS Mincho" w:cs="Times New Roman" w:ascii="Times New Roman" w:hAnsi="Times New Roman"/>
                <w:color w:val="00000A"/>
                <w:sz w:val="22"/>
              </w:rPr>
              <w:tab/>
            </w:r>
          </w:p>
        </w:tc>
        <w:tc>
          <w:tcPr>
            <w:tcW w:w="3085" w:type="dxa"/>
            <w:tcBorders>
              <w:top w:val="nil"/>
              <w:left w:val="nil"/>
              <w:bottom w:val="nil"/>
              <w:right w:val="nil"/>
              <w:insideH w:val="nil"/>
              <w:insideV w:val="nil"/>
            </w:tcBorders>
            <w:shd w:color="auto" w:fill="auto" w:val="clear"/>
            <w:vAlign w:val="center"/>
          </w:tcPr>
          <w:p>
            <w:pPr>
              <w:pStyle w:val="Normal"/>
              <w:spacing w:before="80" w:after="60"/>
              <w:jc w:val="right"/>
              <w:rPr/>
            </w:pPr>
            <w:bookmarkStart w:id="1375" w:name="_Ref70271505"/>
            <w:r>
              <w:rPr/>
              <w:t xml:space="preserve">Ecuación </w:t>
            </w:r>
            <w:bookmarkEnd w:id="1375"/>
            <w:r>
              <w:rPr/>
              <w:fldChar w:fldCharType="begin"/>
            </w:r>
            <w:r>
              <w:instrText> SEQ Ecuación \* ARABIC </w:instrText>
            </w:r>
            <w:r>
              <w:fldChar w:fldCharType="separate"/>
            </w:r>
            <w:r>
              <w:t>28</w:t>
            </w:r>
            <w:r>
              <w:fldChar w:fldCharType="end"/>
            </w:r>
          </w:p>
        </w:tc>
      </w:tr>
    </w:tbl>
    <w:p>
      <w:pPr>
        <w:pStyle w:val="ListParagraph"/>
        <w:numPr>
          <w:ilvl w:val="0"/>
          <w:numId w:val="13"/>
        </w:numPr>
        <w:ind w:left="426" w:hanging="360"/>
        <w:rPr/>
      </w:pPr>
      <w:r>
        <w:rPr>
          <w:lang w:val="es-ES"/>
        </w:rPr>
        <w:t xml:space="preserve">El </w:t>
      </w:r>
      <w:r>
        <w:rPr/>
        <w:t xml:space="preserve">resumen óptimo </w:t>
      </w:r>
      <w:r>
        <w:rPr>
          <w:i/>
        </w:rPr>
        <w:t>S</w:t>
      </w:r>
      <w:r>
        <w:rPr>
          <w:i/>
          <w:vertAlign w:val="superscript"/>
        </w:rPr>
        <w:t>*</w:t>
      </w:r>
      <w:r>
        <w:rPr>
          <w:vertAlign w:val="superscript"/>
        </w:rPr>
        <w:t xml:space="preserve"> </w:t>
      </w:r>
      <w:r>
        <w:rPr>
          <w:rFonts w:cs="Cambria Math" w:ascii="Cambria Math" w:hAnsi="Cambria Math"/>
        </w:rPr>
        <w:t>∈</w:t>
      </w:r>
      <w:r>
        <w:rPr/>
        <w:t xml:space="preserve"> {</w:t>
      </w:r>
      <w:r>
        <w:rPr>
          <w:i/>
        </w:rPr>
        <w:t>S</w:t>
      </w:r>
      <w:r>
        <w:rPr/>
        <w:t xml:space="preserve">}, </w:t>
      </w:r>
      <w:r>
        <w:rPr>
          <w:lang w:val="es-ES"/>
        </w:rPr>
        <w:t xml:space="preserve">que sería el máximo argumento de </w:t>
      </w:r>
      <w:r>
        <w:rPr>
          <w:lang w:val="es-ES"/>
        </w:rPr>
      </w:r>
      <m:oMath xmlns:m="http://schemas.openxmlformats.org/officeDocument/2006/math">
        <m:sSub>
          <m:e>
            <m:r>
              <w:rPr>
                <w:rFonts w:ascii="Cambria Math" w:hAnsi="Cambria Math"/>
              </w:rPr>
              <m:t xml:space="preserve">T</m:t>
            </m:r>
          </m:e>
          <m:sub>
            <m:r>
              <w:rPr>
                <w:rFonts w:ascii="Cambria Math" w:hAnsi="Cambria Math"/>
              </w:rPr>
              <m:t xml:space="preserve">LS</m:t>
            </m:r>
          </m:sub>
        </m:sSub>
      </m:oMath>
      <w:r>
        <w:rPr>
          <w:lang w:val="es-ES"/>
        </w:rPr>
        <w:t xml:space="preserve">, ver </w:t>
      </w:r>
      <w:r>
        <w:rPr>
          <w:lang w:val="es-ES"/>
        </w:rPr>
        <w:fldChar w:fldCharType="begin"/>
      </w:r>
      <w:r>
        <w:instrText> REF _Ref70271536 \h </w:instrText>
      </w:r>
      <w:r>
        <w:fldChar w:fldCharType="separate"/>
      </w:r>
      <w:r>
        <w:t xml:space="preserve">Ecuación </w:t>
      </w:r>
      <w:r>
        <w:fldChar w:fldCharType="end"/>
      </w:r>
      <w:r>
        <w:rPr>
          <w:lang w:val="es-ES"/>
        </w:rPr>
        <w:t xml:space="preserve">, </w:t>
      </w:r>
      <w:r>
        <w:rPr/>
        <w:t>tal que:</w:t>
      </w:r>
    </w:p>
    <w:tbl>
      <w:tblPr>
        <w:tblStyle w:val="Tablaconcuadrcula"/>
        <w:tblW w:w="7905" w:type="dxa"/>
        <w:jc w:val="left"/>
        <w:tblInd w:w="0" w:type="dxa"/>
        <w:tblCellMar>
          <w:top w:w="0" w:type="dxa"/>
          <w:left w:w="123" w:type="dxa"/>
          <w:bottom w:w="0" w:type="dxa"/>
          <w:right w:w="108" w:type="dxa"/>
        </w:tblCellMar>
        <w:tblLook w:val="04a0" w:noVBand="1" w:noHBand="0" w:lastColumn="0" w:firstColumn="1" w:lastRow="0" w:firstRow="1"/>
      </w:tblPr>
      <w:tblGrid>
        <w:gridCol w:w="4819"/>
        <w:gridCol w:w="3085"/>
      </w:tblGrid>
      <w:tr>
        <w:trPr>
          <w:trHeight w:val="635" w:hRule="atLeast"/>
        </w:trPr>
        <w:tc>
          <w:tcPr>
            <w:tcW w:w="4819" w:type="dxa"/>
            <w:tcBorders>
              <w:top w:val="nil"/>
              <w:left w:val="nil"/>
              <w:bottom w:val="nil"/>
              <w:right w:val="nil"/>
              <w:insideH w:val="nil"/>
              <w:insideV w:val="nil"/>
            </w:tcBorders>
            <w:shd w:color="auto" w:fill="auto" w:val="clear"/>
            <w:vAlign w:val="center"/>
          </w:tcPr>
          <w:p>
            <w:pPr>
              <w:pStyle w:val="Caption1"/>
              <w:spacing w:before="0" w:after="60"/>
              <w:jc w:val="left"/>
              <w:rPr>
                <w:sz w:val="22"/>
              </w:rPr>
            </w:pPr>
            <w:r>
              <w:rPr/>
            </w:r>
            <m:oMath xmlns:m="http://schemas.openxmlformats.org/officeDocument/2006/math">
              <m:sSup>
                <m:e>
                  <m:r>
                    <w:rPr>
                      <w:rFonts w:ascii="Cambria Math" w:hAnsi="Cambria Math"/>
                    </w:rPr>
                    <m:t xml:space="preserve">S</m:t>
                  </m:r>
                </m:e>
                <m:sup/>
              </m:sSup>
              <m:r>
                <w:rPr>
                  <w:rFonts w:ascii="Cambria Math" w:hAnsi="Cambria Math"/>
                </w:rPr>
                <m:t xml:space="preserve">=</m:t>
              </m:r>
              <m:r>
                <w:rPr>
                  <w:rFonts w:ascii="Cambria Math" w:hAnsi="Cambria Math"/>
                </w:rPr>
                <m:t xml:space="preserve">arg</m:t>
              </m:r>
              <m:d>
                <m:dPr>
                  <m:begChr m:val="("/>
                  <m:endChr m:val=")"/>
                </m:dPr>
                <m:e>
                  <m:r>
                    <w:rPr>
                      <w:rFonts w:ascii="Cambria Math" w:hAnsi="Cambria Math"/>
                    </w:rPr>
                    <m:t xml:space="preserve">max</m:t>
                  </m:r>
                  <m:sSub>
                    <m:e>
                      <m:r>
                        <w:rPr>
                          <w:rFonts w:ascii="Cambria Math" w:hAnsi="Cambria Math"/>
                        </w:rPr>
                        <m:t xml:space="preserve">T</m:t>
                      </m:r>
                    </m:e>
                    <m:sub>
                      <m:r>
                        <w:rPr>
                          <w:rFonts w:ascii="Cambria Math" w:hAnsi="Cambria Math"/>
                        </w:rPr>
                        <m:t xml:space="preserve">LS</m:t>
                      </m:r>
                    </m:sub>
                  </m:sSub>
                </m:e>
              </m:d>
            </m:oMath>
            <w:r>
              <w:rPr>
                <w:rFonts w:eastAsia="MS Mincho" w:cs="Times New Roman" w:ascii="Times New Roman" w:hAnsi="Times New Roman"/>
                <w:i/>
                <w:sz w:val="22"/>
              </w:rPr>
              <w:t xml:space="preserve"> </w:t>
            </w:r>
          </w:p>
        </w:tc>
        <w:tc>
          <w:tcPr>
            <w:tcW w:w="3085" w:type="dxa"/>
            <w:tcBorders>
              <w:top w:val="nil"/>
              <w:left w:val="nil"/>
              <w:bottom w:val="nil"/>
              <w:right w:val="nil"/>
              <w:insideH w:val="nil"/>
              <w:insideV w:val="nil"/>
            </w:tcBorders>
            <w:shd w:color="auto" w:fill="auto" w:val="clear"/>
            <w:vAlign w:val="center"/>
          </w:tcPr>
          <w:p>
            <w:pPr>
              <w:pStyle w:val="Normal"/>
              <w:spacing w:before="80" w:after="60"/>
              <w:jc w:val="right"/>
              <w:rPr/>
            </w:pPr>
            <w:bookmarkStart w:id="1376" w:name="_Ref70271536"/>
            <w:r>
              <w:rPr/>
              <w:t xml:space="preserve">Ecuación </w:t>
            </w:r>
            <w:bookmarkEnd w:id="1376"/>
            <w:r>
              <w:rPr/>
              <w:fldChar w:fldCharType="begin"/>
            </w:r>
            <w:r>
              <w:instrText> SEQ Ecuación \* ARABIC </w:instrText>
            </w:r>
            <w:r>
              <w:fldChar w:fldCharType="separate"/>
            </w:r>
            <w:r>
              <w:t>29</w:t>
            </w:r>
            <w:r>
              <w:fldChar w:fldCharType="end"/>
            </w:r>
          </w:p>
        </w:tc>
      </w:tr>
    </w:tbl>
    <w:p>
      <w:pPr>
        <w:pStyle w:val="Normal"/>
        <w:rPr>
          <w:rFonts w:eastAsia="MS Mincho"/>
        </w:rPr>
      </w:pPr>
      <w:r>
        <w:rPr>
          <w:rFonts w:eastAsia="MS Mincho"/>
        </w:rPr>
        <w:t xml:space="preserve">Donde </w:t>
      </w:r>
      <w:r>
        <w:rPr>
          <w:rFonts w:eastAsia="MS Mincho"/>
          <w:i/>
        </w:rPr>
        <w:t>k</w:t>
      </w:r>
      <w:r>
        <w:rPr>
          <w:rFonts w:eastAsia="MS Mincho"/>
        </w:rPr>
        <w:t xml:space="preserve"> es el número total de resúmenes lingüísticos generados, y </w:t>
      </w:r>
      <w:r>
        <w:rPr>
          <w:rFonts w:eastAsia="MS Mincho"/>
          <w:i/>
        </w:rPr>
        <w:t>arg</w:t>
      </w:r>
      <w:r>
        <w:rPr>
          <w:rFonts w:eastAsia="MS Mincho"/>
        </w:rPr>
        <w:t xml:space="preserve"> es una función que devuelve el resumen lingüístico obtenido como resultado de la operación.</w:t>
      </w:r>
    </w:p>
    <w:p>
      <w:pPr>
        <w:pStyle w:val="Heading2"/>
        <w:numPr>
          <w:ilvl w:val="1"/>
          <w:numId w:val="80"/>
        </w:numPr>
        <w:rPr/>
      </w:pPr>
      <w:bookmarkStart w:id="1377" w:name="_Toc84598939"/>
      <w:r>
        <w:rPr/>
        <w:t xml:space="preserve">Propuestas de extensiones de </w:t>
      </w:r>
      <w:r>
        <w:rPr>
          <w:i/>
        </w:rPr>
        <w:t>T</w:t>
      </w:r>
      <w:bookmarkEnd w:id="1377"/>
      <w:r>
        <w:rPr/>
        <w:t xml:space="preserve"> para evaluar resúmenes lingüísticos</w:t>
      </w:r>
    </w:p>
    <w:p>
      <w:pPr>
        <w:pStyle w:val="Normal"/>
        <w:rPr/>
      </w:pPr>
      <w:r>
        <w:rPr/>
        <w:t xml:space="preserve">En esta sección, se propone un grupo de extensiones a los indicadores tradicionales de evaluación de resúmenes lingüísticos, combinando elementos de la teoría de los conjuntos aproximados </w:t>
      </w:r>
      <w:r>
        <w:fldChar w:fldCharType="begin"/>
      </w:r>
      <w:r>
        <w:instrText>ADDIN ZOTERO_ITEM CSL_CITATION {"citationID":"A8m2OuHG","properties":{"formattedCitation":"(Dubois y Prade 1990)","plainCitation":"(Dubois y Prade 1990)","noteIndex":0},"citationItems":[{"id":"NJclqhNX/Y4dRfPEN","uris":["http://zotero.org/users/local/rsuvzjK6/items/JAMC7K8A"],"uri":["http://zotero.org/users/local/rsuvzjK6/items/JAMC7K8A"],"itemData":{"id":2421,"type":"article-journal","abstract":"The notion of a rough set introduced by Pawlak has often been compared to that of a fuzzy set, sometimes with a view to prove that one is more general, or, more useful than the other. In this paper we argue that both notions aim to different purposes. Seen this way, it is more natural to try to combine the two models of uncertainty (vagueness and coarseness) rather than to have them compete on the same problems. First, one may think of deriving the upper and lower approximations of a fuzzy set, when a reference scale is coarsened by means of an equivalence relation. We then come close to Caianiello's C-calculus. Shafer's concept of coarsened belief functions also belongs to the same line of thought. Another idea is to turn the equivalence relation into a fuzzy similarity relation, for the modeling of coarseness, as already proposed by Farinas del Cerro and Prade. Instead of using a similarity relation, we can start with fuzzy granules which make a fuzzy partition of the reference scale. The main contribution of the paper is to clarify the difference between fuzzy sets and rough sets, and unify several independent works which deal with similar ideas in different settings or notations.","container-title":"International Journal of General System","DOI":"10.1080/03081079008935107","issue":"2-3","language":"en","page":"191–209","title":"Rough fuzzy sets and fuzzy rough sets","volume":"17","author":[{"family":"Dubois","given":"Didier"},{"family":"Prade","given":"Henri"}],"issued":{"date-parts":[["1990"]]}}}],"schema":"https://github.com/citation-style-language/schema/raw/master/csl-citation.json"}</w:instrText>
      </w:r>
      <w:r>
        <w:fldChar w:fldCharType="separate"/>
      </w:r>
      <w:bookmarkStart w:id="1378" w:name="__Fieldmark__10821_2067855929"/>
      <w:r>
        <w:rPr/>
        <w:t>(</w:t>
      </w:r>
      <w:bookmarkStart w:id="1379" w:name="__Fieldmark__9376_498839314"/>
      <w:r>
        <w:rPr/>
        <w:t>D</w:t>
      </w:r>
      <w:bookmarkStart w:id="1380" w:name="__Fieldmark__8344_998588997"/>
      <w:r>
        <w:rPr/>
        <w:t>u</w:t>
      </w:r>
      <w:bookmarkStart w:id="1381" w:name="__Fieldmark__12592_118561941"/>
      <w:r>
        <w:rPr/>
        <w:t>bois y Prade 1990)</w:t>
      </w:r>
      <w:r>
        <w:rPr/>
      </w:r>
      <w:r>
        <w:fldChar w:fldCharType="end"/>
      </w:r>
      <w:bookmarkEnd w:id="1378"/>
      <w:bookmarkEnd w:id="1379"/>
      <w:bookmarkEnd w:id="1380"/>
      <w:bookmarkEnd w:id="1381"/>
      <w:r>
        <w:rPr/>
        <w:t xml:space="preserve"> </w:t>
      </w:r>
      <w:r>
        <w:fldChar w:fldCharType="begin"/>
      </w:r>
      <w:r>
        <w:instrText>ADDIN ZOTERO_ITEM CSL_CITATION {"citationID":"ach4khgs61","properties":{"formattedCitation":"(Bello y Verdegay 2012)","plainCitation":"(Bello y Verdegay 2012)","noteIndex":0},"citationItems":[{"id":"NJclqhNX/FudetImu","uris":["http://zotero.org/users/local/rsuvzjK6/items/78C6ALHR"],"uri":["http://zotero.org/users/local/rsuvzjK6/items/78C6ALHR"],"itemData":{"id":2319,"type":"article-journal","abstract":"Problem-solving in situations of uncertainty is a key issue in achieving effective computational systems. Various techniques have been developed to address uncertainty, including Soft Computing, which has established itself as an area of significant interest. On the other hand, rough sets theory has become an effective means of dealing with uncertainty, particularly when it arises as a result of inconsistencies in the data. The present paper surveys an analysis of the relationship between rough sets and other components of Soft Computing, and of how this hybridization helps improve system performance.","container-title":"Information Sciences, ISSN 0020-0255","DOI":"10.1016/j.ins.2012.04.041","ISSN":"0020-0255","language":"en","page":"1–14","title":"Rough sets in the Soft Computing environment","volume":"212","author":[{"family":"Bello","given":"Rafael"},{"family":"Verdegay","given":"José Luis"}],"issued":{"date-parts":[["2012",12]]}}}],"schema":"https://github.com/citation-style-language/schema/raw/master/csl-citation.json"}</w:instrText>
      </w:r>
      <w:r>
        <w:fldChar w:fldCharType="separate"/>
      </w:r>
      <w:bookmarkStart w:id="1382" w:name="__Fieldmark__10836_2067855929"/>
      <w:r>
        <w:rPr/>
        <w:t>(</w:t>
      </w:r>
      <w:bookmarkStart w:id="1383" w:name="__Fieldmark__9387_498839314"/>
      <w:r>
        <w:rPr/>
        <w:t>B</w:t>
      </w:r>
      <w:bookmarkStart w:id="1384" w:name="__Fieldmark__8351_998588997"/>
      <w:r>
        <w:rPr/>
        <w:t>e</w:t>
      </w:r>
      <w:bookmarkStart w:id="1385" w:name="__Fieldmark__12597_118561941"/>
      <w:r>
        <w:rPr/>
        <w:t>llo y Verdegay 2012)</w:t>
      </w:r>
      <w:r>
        <w:rPr/>
      </w:r>
      <w:r>
        <w:fldChar w:fldCharType="end"/>
      </w:r>
      <w:bookmarkEnd w:id="1382"/>
      <w:bookmarkEnd w:id="1383"/>
      <w:bookmarkEnd w:id="1384"/>
      <w:bookmarkEnd w:id="1385"/>
      <w:r>
        <w:rPr/>
        <w:t xml:space="preserve"> y de la teoría neutrosófica</w:t>
      </w:r>
      <w:r>
        <w:rPr>
          <w:rStyle w:val="FootnoteAnchor"/>
        </w:rPr>
        <w:footnoteReference w:id="11"/>
      </w:r>
      <w:r>
        <w:rPr/>
        <w:t xml:space="preserve"> </w:t>
      </w:r>
      <w:r>
        <w:fldChar w:fldCharType="begin"/>
      </w:r>
      <w:r>
        <w:instrText>ADDIN ZOTERO_ITEM CSL_CITATION {"citationID":"a2bgj1orsi9","properties":{"formattedCitation":"(Smarandache y Pramanik 2018)","plainCitation":"(Smarandache y Pramanik 2018)","noteIndex":0},"citationItems":[{"id":3480,"uris":["http://zotero.org/users/local/EJ15hJE2/items/X7RZKAPI"],"uri":["http://zotero.org/users/local/EJ15hJE2/items/X7RZKAPI"],"itemData":{"id":3480,"type":"book","abstract":"Neutrosophic theory and applications have been expanding in all directions at anastonishing rate especially after the introduction the journal entitled “Neutrosophic Setsand Systems”. New theories, techniques, algorithms have been rapidly developed. Oneof the most striking trends in the neutrosophic theory is the hybridization ofneutrosophic set with other potential sets such as rough set, bipolar set, soft set, hesitantfuzzy set, etc.","edition":"Pons","event-place":"Brussels, Belgium, EU","ISBN":"978-1-59973-559-7","language":"en","note":"Google-Books-ID: egpZDwAAQBAJ","number-of-pages":"471","publisher":"Infinite Study","publisher-place":"Brussels, Belgium, EU","source":"Google Books","title":"New Trends in Neutrosophic Theory and Applications, Volume II","volume":"II","author":[{"family":"Smarandache","given":"Florentin"},{"family":"Pramanik","given":"Surapati"}],"issued":{"date-parts":[["2018"]]}}}],"schema":"https://github.com/citation-style-language/schema/raw/master/csl-citation.json"}</w:instrText>
      </w:r>
      <w:r>
        <w:fldChar w:fldCharType="separate"/>
      </w:r>
      <w:bookmarkStart w:id="1386" w:name="__Fieldmark__10868_2067855929"/>
      <w:r>
        <w:rPr/>
      </w:r>
      <w:r>
        <w:rPr>
          <w:szCs w:val="24"/>
        </w:rPr>
        <w:t>(Smarandache y Pramanik 2018)</w:t>
      </w:r>
      <w:bookmarkStart w:id="1387" w:name="__Fieldmark__9415_498839314"/>
      <w:bookmarkStart w:id="1388" w:name="__Fieldmark__12621_118561941"/>
      <w:bookmarkStart w:id="1389" w:name="_Hlk79771425"/>
      <w:bookmarkStart w:id="1390" w:name="__Fieldmark__8375_998588997"/>
      <w:bookmarkEnd w:id="1387"/>
      <w:bookmarkEnd w:id="1388"/>
      <w:bookmarkEnd w:id="1389"/>
      <w:bookmarkEnd w:id="1390"/>
      <w:r>
        <w:rPr/>
      </w:r>
      <w:r>
        <w:fldChar w:fldCharType="end"/>
      </w:r>
      <w:bookmarkEnd w:id="1386"/>
      <w:r>
        <w:rPr/>
        <w:t>.</w:t>
      </w:r>
    </w:p>
    <w:p>
      <w:pPr>
        <w:pStyle w:val="Normal"/>
        <w:rPr/>
      </w:pPr>
      <w:r>
        <w:rPr/>
        <w:t xml:space="preserve">Para mayor comprensión de las propuestas, se introduce en la subsección 3.2.1 un conjunto de definiciones y notaciones que se emplean para la formulación de las extensiones propuestas. En el resto de las subsecciones se proponen extensiones para los indicadores </w:t>
      </w:r>
      <w:r>
        <w:rPr>
          <w:i/>
        </w:rPr>
        <w:t>T</w:t>
      </w:r>
      <w:r>
        <w:rPr>
          <w:i/>
          <w:vertAlign w:val="subscript"/>
        </w:rPr>
        <w:t>1</w:t>
      </w:r>
      <w:r>
        <w:rPr>
          <w:i/>
        </w:rPr>
        <w:t>, T</w:t>
      </w:r>
      <w:r>
        <w:rPr>
          <w:i/>
          <w:vertAlign w:val="subscript"/>
        </w:rPr>
        <w:t>2</w:t>
      </w:r>
      <w:r>
        <w:rPr>
          <w:i/>
        </w:rPr>
        <w:t>, T</w:t>
      </w:r>
      <w:r>
        <w:rPr>
          <w:i/>
          <w:vertAlign w:val="subscript"/>
        </w:rPr>
        <w:t>3</w:t>
      </w:r>
      <w:r>
        <w:rPr>
          <w:i/>
        </w:rPr>
        <w:t>, T</w:t>
      </w:r>
      <w:r>
        <w:rPr>
          <w:i/>
          <w:vertAlign w:val="subscript"/>
        </w:rPr>
        <w:t>4</w:t>
      </w:r>
      <w:r>
        <w:rPr>
          <w:i/>
        </w:rPr>
        <w:t xml:space="preserve"> </w:t>
      </w:r>
      <w:r>
        <w:rPr/>
        <w:t>y</w:t>
      </w:r>
      <w:r>
        <w:rPr>
          <w:i/>
        </w:rPr>
        <w:t xml:space="preserve"> T</w:t>
      </w:r>
      <w:r>
        <w:rPr>
          <w:i/>
          <w:vertAlign w:val="subscript"/>
        </w:rPr>
        <w:t>5</w:t>
      </w:r>
      <w:r>
        <w:rPr/>
        <w:t xml:space="preserve"> respectivamente.</w:t>
      </w:r>
    </w:p>
    <w:p>
      <w:pPr>
        <w:pStyle w:val="Heading3"/>
        <w:numPr>
          <w:ilvl w:val="2"/>
          <w:numId w:val="80"/>
        </w:numPr>
        <w:rPr/>
      </w:pPr>
      <w:r>
        <w:rPr/>
        <w:t>Definiciones y notaciones empleadas en las extensiones propuestas</w:t>
      </w:r>
    </w:p>
    <w:p>
      <w:pPr>
        <w:pStyle w:val="Normal"/>
        <w:rPr/>
      </w:pPr>
      <w:r>
        <w:rPr/>
        <w:t xml:space="preserve">A continuación, se presenta un conjunto de definiciones y notaciones que forman parte de la propuesta realizada en la presente investigación y publicada por la autora en </w:t>
      </w:r>
      <w:r>
        <w:fldChar w:fldCharType="begin"/>
      </w:r>
      <w:r>
        <w:instrText>ADDIN ZOTERO_ITEM CSL_CITATION {"citationID":"r90kFFBZ","properties":{"formattedCitation":"(P\\uc0\\u233{}rez Pupo, Pi\\uc0\\u241{}ero P\\uc0\\u233{}rez, et\\uc0\\u160{}al. 2018)","plainCitation":"(Pérez Pupo, Piñero Pérez, et al. 2018)","noteIndex":0},"citationItems":[{"id":"NJclqhNX/ev8ERjZl","uris":["http://zotero.org/users/local/X7i2mGyy/items/AWZIURJ9"],"uri":["http://zotero.org/users/local/X7i2mGyy/items/AWZIURJ9"],"itemData":{"id":1620,"type":"article-journal","abstract":"The quick development of the markets and companies, especially those that apply information technology, has made it easy to store a large volume of digital information. Nevertheless, the extraction of potentially useful knowledge is difficult; also could not be easily understandable by humans. One of the techniques applied to the solution to this problem is the linguistic data summarizations, whose objective is to discover knowledge to extract patterns from databases, from which are generated explicit and concise summaries. Another important element of the linguistic summaries is the indicators (T) for their evaluation proposed by Zadeh when including linguistic terms evaluation in fuzzy sets. However, these indicators not include\nthe analysis in indeterminate sets. In this paper, it is discussed the use of linguistic data summarization in project management environments and new T indicators are proposed including neutrosophic sets with single value neutrosophic numbers. Authors evaluate T-values proposed by Zadeh and T-values based on neutrosophic theory in the evaluation of linguistic summaries recovered.","container-title":"Neutrosophic Sets and Systems, University of New Mexico","language":"English","page":"87-100","title":"Extensions to Linguistic Summaries Indicators based on Neutrosophic Theory: Applications in Project Management Decisions","volume":"22","author":[{"family":"Pérez Pupo","given":"Iliana"},{"family":"Piñero Pérez","given":"Pedro Y"},{"family":"García Vacacela","given":"Roberto"},{"family":"Bello","given":"Rafael"},{"family":"Santos Acosta","given":"Osvaldo"},{"family":"Leyva Vázquez","given":"Maikel Y."}],"issued":{"date-parts":[["2018"]]}}}],"schema":"https://github.com/citation-style-language/schema/raw/master/csl-citation.json"}</w:instrText>
      </w:r>
      <w:r>
        <w:fldChar w:fldCharType="separate"/>
      </w:r>
      <w:bookmarkStart w:id="1391" w:name="__Fieldmark__10906_2067855929"/>
      <w:r>
        <w:rPr/>
      </w:r>
      <w:r>
        <w:rPr>
          <w:szCs w:val="24"/>
        </w:rPr>
        <w:t>(</w:t>
      </w:r>
      <w:bookmarkStart w:id="1392" w:name="__Fieldmark__9446_498839314"/>
      <w:r>
        <w:rPr>
          <w:szCs w:val="24"/>
        </w:rPr>
        <w:t>P</w:t>
      </w:r>
      <w:bookmarkStart w:id="1393" w:name="__Fieldmark__8403_998588997"/>
      <w:r>
        <w:rPr>
          <w:szCs w:val="24"/>
        </w:rPr>
        <w:t>é</w:t>
      </w:r>
      <w:bookmarkStart w:id="1394" w:name="__Fieldmark__12656_118561941"/>
      <w:r>
        <w:rPr>
          <w:szCs w:val="24"/>
        </w:rPr>
        <w:t>rez Pupo, Piñero Pérez, et al. 2018)</w:t>
      </w:r>
      <w:r>
        <w:rPr/>
      </w:r>
      <w:r>
        <w:fldChar w:fldCharType="end"/>
      </w:r>
      <w:bookmarkEnd w:id="1391"/>
      <w:bookmarkEnd w:id="1392"/>
      <w:bookmarkEnd w:id="1393"/>
      <w:bookmarkEnd w:id="1394"/>
      <w:r>
        <w:rPr/>
        <w:t>.</w:t>
      </w:r>
    </w:p>
    <w:p>
      <w:pPr>
        <w:pStyle w:val="Normal"/>
        <w:rPr/>
      </w:pPr>
      <w:r>
        <w:rPr>
          <w:rFonts w:eastAsia="Arial Unicode MS"/>
          <w:b/>
          <w:lang w:eastAsia="ja-JP"/>
        </w:rPr>
        <w:t xml:space="preserve">Definición </w:t>
      </w:r>
      <w:r>
        <w:rPr>
          <w:rFonts w:eastAsia="Arial Unicode MS"/>
          <w:b/>
          <w:lang w:eastAsia="ja-JP"/>
        </w:rPr>
        <w:fldChar w:fldCharType="begin"/>
      </w:r>
      <w:r>
        <w:instrText> SEQ Definición \* ARABIC </w:instrText>
      </w:r>
      <w:r>
        <w:fldChar w:fldCharType="separate"/>
      </w:r>
      <w:r>
        <w:t>5</w:t>
      </w:r>
      <w:r>
        <w:fldChar w:fldCharType="end"/>
      </w:r>
      <w:r>
        <w:rPr>
          <w:rFonts w:eastAsia="Arial Unicode MS"/>
          <w:b/>
          <w:lang w:eastAsia="ja-JP"/>
        </w:rPr>
        <w:t>. Conjunto neutrosófico:</w:t>
      </w:r>
      <w:r>
        <w:rPr>
          <w:rFonts w:eastAsia="Arial Unicode MS"/>
          <w:lang w:eastAsia="ja-JP"/>
        </w:rPr>
        <w:t xml:space="preserve"> sea </w:t>
      </w:r>
      <w:r>
        <w:rPr>
          <w:rFonts w:eastAsia="Arial Unicode MS"/>
          <w:i/>
          <w:lang w:eastAsia="ja-JP"/>
        </w:rPr>
        <w:t>X</w:t>
      </w:r>
      <w:r>
        <w:rPr>
          <w:rFonts w:eastAsia="Arial Unicode MS"/>
          <w:lang w:eastAsia="ja-JP"/>
        </w:rPr>
        <w:t xml:space="preserve"> un universo de discurso, un conjunto neutrosófico </w:t>
      </w:r>
      <w:r>
        <w:rPr>
          <w:rFonts w:eastAsia="Arial Unicode MS"/>
          <w:i/>
          <w:lang w:eastAsia="ja-JP"/>
        </w:rPr>
        <w:t>A</w:t>
      </w:r>
      <w:r>
        <w:rPr>
          <w:rFonts w:eastAsia="Arial Unicode MS"/>
          <w:lang w:eastAsia="ja-JP"/>
        </w:rPr>
        <w:t xml:space="preserve"> sobre </w:t>
      </w:r>
      <w:r>
        <w:rPr>
          <w:rFonts w:eastAsia="Arial Unicode MS"/>
          <w:i/>
          <w:lang w:eastAsia="ja-JP"/>
        </w:rPr>
        <w:t>X</w:t>
      </w:r>
      <w:r>
        <w:rPr>
          <w:rFonts w:eastAsia="Arial Unicode MS"/>
          <w:lang w:eastAsia="ja-JP"/>
        </w:rPr>
        <w:t xml:space="preserve"> es un objeto de la forma: </w:t>
      </w:r>
      <w:r>
        <w:rPr>
          <w:rFonts w:eastAsia="Arial Unicode MS"/>
          <w:i/>
          <w:lang w:eastAsia="ja-JP"/>
        </w:rPr>
        <w:t>A = {</w:t>
      </w:r>
      <w:r>
        <w:rPr>
          <w:rFonts w:eastAsia="Symbol" w:cs="Symbol" w:ascii="Symbol" w:hAnsi="Symbol"/>
          <w:i/>
          <w:lang w:eastAsia="ja-JP"/>
        </w:rPr>
        <w:t></w:t>
      </w:r>
      <w:r>
        <w:rPr>
          <w:rFonts w:eastAsia="Arial Unicode MS"/>
          <w:i/>
          <w:lang w:eastAsia="ja-JP"/>
        </w:rPr>
        <w:t xml:space="preserve"> μ</w:t>
      </w:r>
      <w:r>
        <w:rPr>
          <w:rFonts w:eastAsia="Arial Unicode MS"/>
          <w:i/>
          <w:vertAlign w:val="subscript"/>
          <w:lang w:eastAsia="ja-JP"/>
        </w:rPr>
        <w:t>A</w:t>
      </w:r>
      <w:r>
        <w:rPr>
          <w:rFonts w:eastAsia="Arial Unicode MS"/>
          <w:i/>
          <w:lang w:eastAsia="ja-JP"/>
        </w:rPr>
        <w:t xml:space="preserve">(x), </w:t>
      </w:r>
      <w:r>
        <w:rPr>
          <w:rFonts w:eastAsia="Symbol" w:cs="Symbol" w:ascii="Symbol" w:hAnsi="Symbol"/>
          <w:i/>
          <w:sz w:val="24"/>
          <w:szCs w:val="24"/>
          <w:lang w:val="x-none" w:eastAsia="en-US"/>
        </w:rPr>
        <w:t></w:t>
      </w:r>
      <w:r>
        <w:rPr>
          <w:rFonts w:eastAsia="Arial Unicode MS"/>
          <w:i/>
          <w:vertAlign w:val="subscript"/>
          <w:lang w:eastAsia="ja-JP"/>
        </w:rPr>
        <w:t>A</w:t>
      </w:r>
      <w:r>
        <w:rPr>
          <w:rFonts w:eastAsia="Arial Unicode MS"/>
          <w:i/>
          <w:lang w:eastAsia="ja-JP"/>
        </w:rPr>
        <w:t>(x), σ</w:t>
      </w:r>
      <w:r>
        <w:rPr>
          <w:rFonts w:eastAsia="Arial Unicode MS"/>
          <w:i/>
          <w:vertAlign w:val="subscript"/>
          <w:lang w:eastAsia="ja-JP"/>
        </w:rPr>
        <w:t>A</w:t>
      </w:r>
      <w:r>
        <w:rPr>
          <w:rFonts w:eastAsia="Arial Unicode MS"/>
          <w:i/>
          <w:lang w:eastAsia="ja-JP"/>
        </w:rPr>
        <w:t>(x)</w:t>
      </w:r>
      <w:r>
        <w:rPr>
          <w:rFonts w:eastAsia="Symbol" w:cs="Symbol" w:ascii="Symbol" w:hAnsi="Symbol"/>
          <w:i/>
          <w:lang w:eastAsia="ja-JP"/>
        </w:rPr>
        <w:t></w:t>
      </w:r>
      <w:r>
        <w:rPr>
          <w:rFonts w:eastAsia="Arial Unicode MS"/>
          <w:i/>
          <w:lang w:eastAsia="ja-JP"/>
        </w:rPr>
        <w:t xml:space="preserve"> : x </w:t>
      </w:r>
      <w:r>
        <w:rPr>
          <w:rFonts w:eastAsia="Symbol" w:cs="Symbol" w:ascii="Symbol" w:hAnsi="Symbol"/>
          <w:i/>
          <w:lang w:eastAsia="ja-JP"/>
        </w:rPr>
        <w:t></w:t>
      </w:r>
      <w:r>
        <w:rPr>
          <w:rFonts w:eastAsia="Arial Unicode MS"/>
          <w:i/>
          <w:lang w:eastAsia="ja-JP"/>
        </w:rPr>
        <w:t xml:space="preserve"> X},</w:t>
      </w:r>
      <w:r>
        <w:rPr>
          <w:rFonts w:eastAsia="Arial Unicode MS"/>
          <w:lang w:eastAsia="ja-JP"/>
        </w:rPr>
        <w:t xml:space="preserve"> ver </w:t>
      </w:r>
      <w:r>
        <w:rPr>
          <w:rFonts w:eastAsia="Arial Unicode MS"/>
          <w:lang w:eastAsia="ja-JP"/>
        </w:rPr>
        <w:fldChar w:fldCharType="begin"/>
      </w:r>
      <w:r>
        <w:instrText> REF _Ref79485301 \h </w:instrText>
      </w:r>
      <w:r>
        <w:fldChar w:fldCharType="separate"/>
      </w:r>
      <w:r>
        <w:t>Figura 3</w:t>
      </w:r>
      <w:r>
        <w:fldChar w:fldCharType="end"/>
      </w:r>
      <w:r>
        <w:rPr/>
        <w:t xml:space="preserve"> y se cumple que:</w:t>
      </w:r>
    </w:p>
    <w:p>
      <w:pPr>
        <w:pStyle w:val="ListParagraph"/>
        <w:numPr>
          <w:ilvl w:val="0"/>
          <w:numId w:val="13"/>
        </w:numPr>
        <w:rPr/>
      </w:pPr>
      <w:r>
        <w:rPr>
          <w:i/>
          <w:szCs w:val="24"/>
          <w:lang w:eastAsia="en-US"/>
        </w:rPr>
        <w:t>μ</w:t>
      </w:r>
      <w:r>
        <w:rPr>
          <w:i/>
          <w:szCs w:val="24"/>
          <w:vertAlign w:val="subscript"/>
          <w:lang w:eastAsia="en-US"/>
        </w:rPr>
        <w:t>A</w:t>
      </w:r>
      <w:r>
        <w:rPr>
          <w:i/>
          <w:szCs w:val="24"/>
          <w:lang w:eastAsia="en-US"/>
        </w:rPr>
        <w:t>(x)</w:t>
      </w:r>
      <w:r>
        <w:rPr>
          <w:rFonts w:eastAsia="Symbol" w:cs="Symbol" w:ascii="Symbol" w:hAnsi="Symbol"/>
          <w:i/>
        </w:rPr>
        <w:t></w:t>
      </w:r>
      <w:r>
        <w:rPr>
          <w:rFonts w:eastAsia="Times New Roman"/>
          <w:i/>
          <w:szCs w:val="24"/>
          <w:lang w:eastAsia="en-US"/>
        </w:rPr>
        <w:t xml:space="preserve"> </w:t>
      </w:r>
      <w:r>
        <w:rPr>
          <w:i/>
          <w:szCs w:val="24"/>
          <w:lang w:eastAsia="en-US"/>
        </w:rPr>
        <w:t>[0,1]</w:t>
      </w:r>
      <w:r>
        <w:rPr>
          <w:szCs w:val="24"/>
          <w:lang w:eastAsia="en-US"/>
        </w:rPr>
        <w:t xml:space="preserve"> </w:t>
      </w:r>
      <w:r>
        <w:rPr>
          <w:szCs w:val="24"/>
          <w:lang w:val="es-ES" w:eastAsia="en-US"/>
        </w:rPr>
        <w:t xml:space="preserve">es una </w:t>
      </w:r>
      <w:r>
        <w:rPr>
          <w:szCs w:val="24"/>
        </w:rPr>
        <w:t xml:space="preserve">función de membresía que representa el grado de </w:t>
      </w:r>
      <w:r>
        <w:rPr>
          <w:szCs w:val="24"/>
          <w:lang w:val="es-ES"/>
        </w:rPr>
        <w:t xml:space="preserve">certeza de la </w:t>
      </w:r>
      <w:r>
        <w:rPr>
          <w:szCs w:val="24"/>
        </w:rPr>
        <w:t xml:space="preserve">pertenencia del valor </w:t>
      </w:r>
      <w:r>
        <w:rPr>
          <w:i/>
          <w:szCs w:val="24"/>
        </w:rPr>
        <w:t>x</w:t>
      </w:r>
      <w:r>
        <w:rPr>
          <w:szCs w:val="24"/>
        </w:rPr>
        <w:t xml:space="preserve"> al conjunto </w:t>
      </w:r>
      <w:r>
        <w:rPr>
          <w:i/>
          <w:szCs w:val="24"/>
        </w:rPr>
        <w:t>A</w:t>
      </w:r>
      <w:r>
        <w:rPr>
          <w:szCs w:val="24"/>
          <w:lang w:val="es-ES"/>
        </w:rPr>
        <w:t>, ver</w:t>
      </w:r>
      <w:r>
        <w:rPr>
          <w:i/>
          <w:szCs w:val="24"/>
          <w:lang w:val="es-ES"/>
        </w:rPr>
        <w:t xml:space="preserve"> </w:t>
      </w:r>
      <w:r>
        <w:rPr>
          <w:i/>
          <w:szCs w:val="24"/>
          <w:lang w:val="es-ES"/>
        </w:rPr>
        <w:fldChar w:fldCharType="begin"/>
      </w:r>
      <w:r>
        <w:instrText> REF _Ref70145653 \h </w:instrText>
      </w:r>
      <w:r>
        <w:fldChar w:fldCharType="separate"/>
      </w:r>
      <w:r>
        <w:t xml:space="preserve">Ecuación </w:t>
      </w:r>
      <w:r>
        <w:fldChar w:fldCharType="end"/>
      </w:r>
      <w:r>
        <w:rPr>
          <w:i/>
          <w:szCs w:val="24"/>
          <w:lang w:val="es-ES"/>
        </w:rPr>
        <w:t>.</w:t>
      </w:r>
    </w:p>
    <w:p>
      <w:pPr>
        <w:pStyle w:val="Papertext1"/>
        <w:numPr>
          <w:ilvl w:val="0"/>
          <w:numId w:val="12"/>
        </w:numPr>
        <w:spacing w:lineRule="auto" w:line="312"/>
        <w:ind w:left="709" w:hanging="360"/>
        <w:rPr/>
      </w:pPr>
      <w:r>
        <w:rPr>
          <w:rFonts w:eastAsia="Symbol" w:cs="Symbol" w:ascii="Symbol" w:hAnsi="Symbol"/>
          <w:i/>
          <w:color w:val="000000"/>
          <w:sz w:val="24"/>
          <w:szCs w:val="24"/>
          <w:lang w:val="x-none" w:eastAsia="en-US"/>
        </w:rPr>
        <w:t></w:t>
      </w:r>
      <w:r>
        <w:rPr>
          <w:rFonts w:eastAsia="游明朝" w:cs="Times New Roman" w:ascii="Arial" w:hAnsi="Arial" w:eastAsiaTheme="minorEastAsia"/>
          <w:i/>
          <w:color w:val="000000"/>
          <w:sz w:val="22"/>
          <w:szCs w:val="24"/>
          <w:vertAlign w:val="subscript"/>
          <w:lang w:val="x-none" w:eastAsia="en-US"/>
        </w:rPr>
        <w:t>A</w:t>
      </w:r>
      <w:r>
        <w:rPr>
          <w:rFonts w:eastAsia="游明朝" w:cs="Times New Roman" w:ascii="Arial" w:hAnsi="Arial" w:eastAsiaTheme="minorEastAsia"/>
          <w:i/>
          <w:color w:val="000000"/>
          <w:sz w:val="22"/>
          <w:szCs w:val="24"/>
          <w:lang w:val="x-none" w:eastAsia="en-US"/>
        </w:rPr>
        <w:t>(x)</w:t>
      </w:r>
      <w:r>
        <w:rPr>
          <w:rFonts w:ascii="Arial" w:hAnsi="Arial"/>
          <w:sz w:val="22"/>
          <w:szCs w:val="24"/>
          <w:lang w:val="es-ES" w:eastAsia="en-US"/>
        </w:rPr>
        <w:t xml:space="preserve"> </w:t>
      </w:r>
      <w:r>
        <w:rPr>
          <w:rFonts w:eastAsia="Symbol" w:cs="Symbol" w:ascii="Symbol" w:hAnsi="Symbol"/>
          <w:sz w:val="22"/>
          <w:szCs w:val="24"/>
          <w:lang w:val="es-ES"/>
        </w:rPr>
        <w:t></w:t>
      </w:r>
      <w:r>
        <w:rPr>
          <w:rFonts w:eastAsia="Times New Roman" w:ascii="Arial" w:hAnsi="Arial"/>
          <w:sz w:val="22"/>
          <w:szCs w:val="24"/>
          <w:lang w:val="es-ES" w:eastAsia="en-US"/>
        </w:rPr>
        <w:t xml:space="preserve"> </w:t>
      </w:r>
      <w:r>
        <w:rPr>
          <w:rFonts w:ascii="Arial" w:hAnsi="Arial"/>
          <w:i/>
          <w:sz w:val="22"/>
          <w:szCs w:val="24"/>
          <w:lang w:val="es-ES" w:eastAsia="en-US"/>
        </w:rPr>
        <w:t>[0,1]</w:t>
      </w:r>
      <w:r>
        <w:rPr>
          <w:rFonts w:ascii="Arial" w:hAnsi="Arial"/>
          <w:sz w:val="22"/>
          <w:szCs w:val="24"/>
          <w:lang w:val="es-ES" w:eastAsia="en-US"/>
        </w:rPr>
        <w:t xml:space="preserve"> </w:t>
      </w:r>
      <w:r>
        <w:rPr>
          <w:rFonts w:ascii="Arial" w:hAnsi="Arial"/>
          <w:sz w:val="22"/>
          <w:szCs w:val="24"/>
          <w:lang w:val="es-ES"/>
        </w:rPr>
        <w:t xml:space="preserve">función de membresía que representa el grado de indeterminación del valor </w:t>
      </w:r>
      <w:r>
        <w:rPr>
          <w:rFonts w:ascii="Arial" w:hAnsi="Arial"/>
          <w:i/>
          <w:sz w:val="22"/>
          <w:szCs w:val="24"/>
          <w:lang w:val="es-ES"/>
        </w:rPr>
        <w:t>x</w:t>
      </w:r>
      <w:r>
        <w:rPr>
          <w:rFonts w:ascii="Arial" w:hAnsi="Arial"/>
          <w:sz w:val="22"/>
          <w:szCs w:val="24"/>
          <w:lang w:val="es-ES"/>
        </w:rPr>
        <w:t xml:space="preserve"> al conjunto </w:t>
      </w:r>
      <w:r>
        <w:rPr>
          <w:rFonts w:ascii="Arial" w:hAnsi="Arial"/>
          <w:i/>
          <w:sz w:val="22"/>
          <w:szCs w:val="24"/>
          <w:lang w:val="es-ES"/>
        </w:rPr>
        <w:t>A</w:t>
      </w:r>
      <w:r>
        <w:rPr>
          <w:rFonts w:ascii="Arial" w:hAnsi="Arial"/>
          <w:sz w:val="22"/>
          <w:szCs w:val="24"/>
          <w:lang w:val="es-ES"/>
        </w:rPr>
        <w:t>, ver</w:t>
      </w:r>
      <w:r>
        <w:rPr>
          <w:rFonts w:ascii="Arial" w:hAnsi="Arial"/>
          <w:i/>
          <w:sz w:val="22"/>
          <w:szCs w:val="24"/>
          <w:lang w:val="es-ES"/>
        </w:rPr>
        <w:t xml:space="preserve"> </w:t>
      </w:r>
      <w:r>
        <w:rPr>
          <w:rFonts w:ascii="Arial" w:hAnsi="Arial"/>
          <w:i/>
          <w:sz w:val="22"/>
          <w:szCs w:val="24"/>
          <w:lang w:val="es-ES"/>
        </w:rPr>
        <w:fldChar w:fldCharType="begin"/>
      </w:r>
      <w:r>
        <w:instrText> REF _Ref70145662 \h </w:instrText>
      </w:r>
      <w:r>
        <w:fldChar w:fldCharType="separate"/>
      </w:r>
      <w:r>
        <w:t xml:space="preserve">Ecuación </w:t>
      </w:r>
      <w:r>
        <w:fldChar w:fldCharType="end"/>
      </w:r>
      <w:r>
        <w:rPr>
          <w:rFonts w:ascii="Arial" w:hAnsi="Arial"/>
          <w:sz w:val="22"/>
          <w:szCs w:val="24"/>
          <w:lang w:val="es-ES"/>
        </w:rPr>
        <w:t>.</w:t>
      </w:r>
    </w:p>
    <w:p>
      <w:pPr>
        <w:pStyle w:val="Papertext1"/>
        <w:numPr>
          <w:ilvl w:val="0"/>
          <w:numId w:val="12"/>
        </w:numPr>
        <w:spacing w:lineRule="auto" w:line="312"/>
        <w:ind w:left="709" w:hanging="357"/>
        <w:rPr/>
      </w:pPr>
      <w:r>
        <w:rPr>
          <w:rFonts w:ascii="Arial" w:hAnsi="Arial"/>
          <w:i/>
          <w:sz w:val="22"/>
          <w:szCs w:val="24"/>
          <w:lang w:val="es-ES" w:eastAsia="en-US"/>
        </w:rPr>
        <w:t>σ</w:t>
      </w:r>
      <w:r>
        <w:rPr>
          <w:rFonts w:ascii="Arial" w:hAnsi="Arial"/>
          <w:i/>
          <w:sz w:val="22"/>
          <w:szCs w:val="24"/>
          <w:vertAlign w:val="subscript"/>
          <w:lang w:val="es-ES" w:eastAsia="en-US"/>
        </w:rPr>
        <w:t>A</w:t>
      </w:r>
      <w:r>
        <w:rPr>
          <w:rFonts w:ascii="Arial" w:hAnsi="Arial"/>
          <w:i/>
          <w:sz w:val="22"/>
          <w:szCs w:val="24"/>
          <w:lang w:val="es-ES" w:eastAsia="en-US"/>
        </w:rPr>
        <w:t xml:space="preserve">(x) </w:t>
      </w:r>
      <w:r>
        <w:rPr>
          <w:rFonts w:eastAsia="Symbol" w:cs="Symbol" w:ascii="Symbol" w:hAnsi="Symbol"/>
          <w:i/>
          <w:sz w:val="22"/>
          <w:szCs w:val="24"/>
          <w:lang w:val="es-ES" w:eastAsia="en-US"/>
        </w:rPr>
        <w:t></w:t>
      </w:r>
      <w:r>
        <w:rPr>
          <w:rFonts w:ascii="Arial" w:hAnsi="Arial"/>
          <w:i/>
          <w:sz w:val="22"/>
          <w:szCs w:val="24"/>
          <w:lang w:val="es-ES" w:eastAsia="en-US"/>
        </w:rPr>
        <w:t xml:space="preserve"> [0,1] </w:t>
      </w:r>
      <w:r>
        <w:rPr>
          <w:rFonts w:ascii="Arial" w:hAnsi="Arial"/>
          <w:sz w:val="22"/>
          <w:szCs w:val="24"/>
          <w:lang w:val="es-ES"/>
        </w:rPr>
        <w:t xml:space="preserve">función de membresía que representa el grado de no pertenencia (o falsedad) del valor </w:t>
      </w:r>
      <w:r>
        <w:rPr>
          <w:rFonts w:ascii="Arial" w:hAnsi="Arial"/>
          <w:i/>
          <w:sz w:val="22"/>
          <w:szCs w:val="24"/>
          <w:lang w:val="es-ES"/>
        </w:rPr>
        <w:t>x</w:t>
      </w:r>
      <w:r>
        <w:rPr>
          <w:rFonts w:ascii="Arial" w:hAnsi="Arial"/>
          <w:sz w:val="22"/>
          <w:szCs w:val="24"/>
          <w:lang w:val="es-ES"/>
        </w:rPr>
        <w:t xml:space="preserve"> al conjunto </w:t>
      </w:r>
      <w:r>
        <w:rPr>
          <w:rFonts w:ascii="Arial" w:hAnsi="Arial"/>
          <w:i/>
          <w:sz w:val="22"/>
          <w:szCs w:val="24"/>
          <w:lang w:val="es-ES"/>
        </w:rPr>
        <w:t>A</w:t>
      </w:r>
      <w:r>
        <w:rPr>
          <w:rFonts w:ascii="Arial" w:hAnsi="Arial"/>
          <w:sz w:val="22"/>
          <w:szCs w:val="24"/>
          <w:lang w:val="es-ES"/>
        </w:rPr>
        <w:t xml:space="preserve">, ver </w:t>
      </w:r>
      <w:r>
        <w:rPr>
          <w:rFonts w:ascii="Arial" w:hAnsi="Arial"/>
          <w:sz w:val="22"/>
          <w:szCs w:val="24"/>
          <w:lang w:val="es-ES"/>
        </w:rPr>
        <w:fldChar w:fldCharType="begin"/>
      </w:r>
      <w:r>
        <w:instrText> REF _Ref70145667 \h </w:instrText>
      </w:r>
      <w:r>
        <w:fldChar w:fldCharType="separate"/>
      </w:r>
      <w:r>
        <w:t xml:space="preserve">Ecuación </w:t>
      </w:r>
      <w:r>
        <w:fldChar w:fldCharType="end"/>
      </w:r>
      <w:r>
        <w:rPr>
          <w:rFonts w:ascii="Arial" w:hAnsi="Arial"/>
          <w:sz w:val="22"/>
          <w:szCs w:val="24"/>
          <w:lang w:val="es-ES"/>
        </w:rPr>
        <w:t>.</w:t>
      </w:r>
    </w:p>
    <w:p>
      <w:pPr>
        <w:pStyle w:val="Papertext1"/>
        <w:numPr>
          <w:ilvl w:val="0"/>
          <w:numId w:val="12"/>
        </w:numPr>
        <w:spacing w:lineRule="auto" w:line="312"/>
        <w:ind w:left="709" w:hanging="357"/>
        <w:rPr>
          <w:rFonts w:ascii="Arial" w:hAnsi="Arial"/>
          <w:i/>
          <w:i/>
          <w:sz w:val="22"/>
          <w:szCs w:val="24"/>
          <w:lang w:val="es-ES" w:eastAsia="en-US"/>
        </w:rPr>
      </w:pPr>
      <w:r>
        <w:rPr>
          <w:rFonts w:ascii="Arial" w:hAnsi="Arial"/>
          <w:i/>
          <w:sz w:val="22"/>
          <w:szCs w:val="24"/>
          <w:lang w:val="es-ES" w:eastAsia="en-US"/>
        </w:rPr>
        <w:t xml:space="preserve">0 </w:t>
      </w:r>
      <w:r>
        <w:rPr>
          <w:rFonts w:eastAsia="Symbol" w:cs="Symbol" w:ascii="Symbol" w:hAnsi="Symbol"/>
          <w:i/>
          <w:sz w:val="22"/>
          <w:szCs w:val="24"/>
          <w:lang w:val="es-ES" w:eastAsia="en-US"/>
        </w:rPr>
        <w:t></w:t>
      </w:r>
      <w:r>
        <w:rPr>
          <w:rFonts w:ascii="Arial" w:hAnsi="Arial"/>
          <w:i/>
          <w:sz w:val="22"/>
          <w:szCs w:val="24"/>
          <w:lang w:val="es-ES" w:eastAsia="en-US"/>
        </w:rPr>
        <w:t xml:space="preserve"> μA(x) + </w:t>
      </w:r>
      <w:r>
        <w:rPr>
          <w:rFonts w:eastAsia="Symbol" w:cs="Symbol" w:ascii="Symbol" w:hAnsi="Symbol"/>
          <w:i/>
          <w:sz w:val="22"/>
          <w:szCs w:val="24"/>
          <w:lang w:val="es-ES" w:eastAsia="en-US"/>
        </w:rPr>
        <w:t></w:t>
      </w:r>
      <w:r>
        <w:rPr>
          <w:rFonts w:ascii="Arial" w:hAnsi="Arial"/>
          <w:i/>
          <w:sz w:val="22"/>
          <w:szCs w:val="24"/>
          <w:lang w:val="es-ES" w:eastAsia="en-US"/>
        </w:rPr>
        <w:t xml:space="preserve">A(x) + σA(x) </w:t>
      </w:r>
      <w:r>
        <w:rPr>
          <w:rFonts w:eastAsia="Symbol" w:cs="Symbol" w:ascii="Symbol" w:hAnsi="Symbol"/>
          <w:i/>
          <w:sz w:val="22"/>
          <w:szCs w:val="24"/>
          <w:lang w:val="es-ES" w:eastAsia="en-US"/>
        </w:rPr>
        <w:t></w:t>
      </w:r>
      <w:r>
        <w:rPr>
          <w:rFonts w:ascii="Arial" w:hAnsi="Arial"/>
          <w:i/>
          <w:sz w:val="22"/>
          <w:szCs w:val="24"/>
          <w:lang w:val="es-ES" w:eastAsia="en-US"/>
        </w:rPr>
        <w:t xml:space="preserve"> 3 </w:t>
      </w:r>
      <w:r>
        <w:rPr>
          <w:rFonts w:eastAsia="Symbol" w:cs="Symbol" w:ascii="Symbol" w:hAnsi="Symbol"/>
          <w:i/>
          <w:sz w:val="22"/>
          <w:szCs w:val="24"/>
          <w:lang w:val="es-ES" w:eastAsia="en-US"/>
        </w:rPr>
        <w:t></w:t>
      </w:r>
      <w:r>
        <w:rPr>
          <w:rFonts w:ascii="Arial" w:hAnsi="Arial"/>
          <w:i/>
          <w:sz w:val="22"/>
          <w:szCs w:val="24"/>
          <w:lang w:val="es-ES" w:eastAsia="en-US"/>
        </w:rPr>
        <w:t xml:space="preserve"> x </w:t>
      </w:r>
      <w:r>
        <w:rPr>
          <w:rFonts w:eastAsia="Symbol" w:cs="Symbol" w:ascii="Symbol" w:hAnsi="Symbol"/>
          <w:i/>
          <w:sz w:val="22"/>
          <w:szCs w:val="24"/>
          <w:lang w:val="es-ES" w:eastAsia="en-US"/>
        </w:rPr>
        <w:t></w:t>
      </w:r>
      <w:r>
        <w:rPr>
          <w:rFonts w:ascii="Arial" w:hAnsi="Arial"/>
          <w:i/>
          <w:sz w:val="22"/>
          <w:szCs w:val="24"/>
          <w:lang w:val="es-ES" w:eastAsia="en-US"/>
        </w:rPr>
        <w:t xml:space="preserve"> X</w:t>
      </w:r>
    </w:p>
    <w:tbl>
      <w:tblPr>
        <w:tblStyle w:val="Tablaconcuadrcula"/>
        <w:tblW w:w="8131" w:type="dxa"/>
        <w:jc w:val="center"/>
        <w:tblInd w:w="0" w:type="dxa"/>
        <w:tblCellMar>
          <w:top w:w="0" w:type="dxa"/>
          <w:left w:w="123" w:type="dxa"/>
          <w:bottom w:w="0" w:type="dxa"/>
          <w:right w:w="108" w:type="dxa"/>
        </w:tblCellMar>
        <w:tblLook w:val="04a0" w:noVBand="1" w:noHBand="0" w:lastColumn="0" w:firstColumn="1" w:lastRow="0" w:firstRow="1"/>
      </w:tblPr>
      <w:tblGrid>
        <w:gridCol w:w="6521"/>
        <w:gridCol w:w="1609"/>
      </w:tblGrid>
      <w:tr>
        <w:trPr>
          <w:trHeight w:val="713" w:hRule="atLeast"/>
        </w:trPr>
        <w:tc>
          <w:tcPr>
            <w:tcW w:w="6521" w:type="dxa"/>
            <w:tcBorders>
              <w:top w:val="nil"/>
              <w:left w:val="nil"/>
              <w:bottom w:val="nil"/>
              <w:right w:val="nil"/>
              <w:insideH w:val="nil"/>
              <w:insideV w:val="nil"/>
            </w:tcBorders>
            <w:shd w:color="auto" w:fill="auto" w:val="clear"/>
            <w:vAlign w:val="center"/>
          </w:tcPr>
          <w:p>
            <w:pPr>
              <w:pStyle w:val="Normal"/>
              <w:widowControl/>
              <w:suppressAutoHyphens w:val="true"/>
              <w:bidi w:val="0"/>
              <w:spacing w:lineRule="auto" w:line="312" w:before="80" w:after="60"/>
              <w:jc w:val="both"/>
              <w:textAlignment w:val="baseline"/>
              <w:rPr>
                <w:rFonts w:cs="Times New Roman"/>
              </w:rPr>
            </w:pPr>
            <w:r>
              <w:rPr/>
            </w:r>
            <m:oMath xmlns:m="http://schemas.openxmlformats.org/officeDocument/2006/math">
              <m:sSub>
                <m:e>
                  <m:r>
                    <w:rPr>
                      <w:rFonts w:ascii="Cambria Math" w:hAnsi="Cambria Math"/>
                    </w:rPr>
                    <m:t xml:space="preserve">μ</m:t>
                  </m:r>
                </m:e>
                <m:sub>
                  <m:r>
                    <w:rPr>
                      <w:rFonts w:ascii="Cambria Math" w:hAnsi="Cambria Math"/>
                    </w:rPr>
                    <m:t xml:space="preserve">A</m:t>
                  </m:r>
                </m:sub>
              </m:sSub>
              <m:d>
                <m:dPr>
                  <m:begChr m:val="("/>
                  <m:endChr m:val=")"/>
                </m:dPr>
                <m:e>
                  <m:r>
                    <w:rPr>
                      <w:rFonts w:ascii="Cambria Math" w:hAnsi="Cambria Math"/>
                    </w:rPr>
                    <m:t xml:space="preserve">x</m:t>
                  </m:r>
                </m:e>
              </m:d>
              <m:r>
                <w:rPr>
                  <w:rFonts w:ascii="Cambria Math" w:hAnsi="Cambria Math"/>
                </w:rPr>
                <m:t xml:space="preserve">=</m:t>
              </m:r>
              <m:d>
                <m:dPr>
                  <m:begChr m:val="{"/>
                  <m:endChr m:val=""/>
                </m:dPr>
                <m:e>
                  <m:eqArr>
                    <m:e>
                      <m:eqArr>
                        <m:e>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a</m:t>
                              </m:r>
                            </m:e>
                          </m:d>
                          <m:f>
                            <m:fPr>
                              <m:type m:val="lin"/>
                            </m:fPr>
                            <m:num>
                              <m:sSub>
                                <m:e>
                                  <m:r>
                                    <w:rPr>
                                      <w:rFonts w:ascii="Cambria Math" w:hAnsi="Cambria Math"/>
                                    </w:rPr>
                                    <m:t xml:space="preserve">u</m:t>
                                  </m:r>
                                </m:e>
                                <m:sub>
                                  <m:r>
                                    <w:rPr>
                                      <w:rFonts w:ascii="Cambria Math" w:hAnsi="Cambria Math"/>
                                    </w:rPr>
                                    <m:t xml:space="preserve">A</m:t>
                                  </m:r>
                                </m:sub>
                              </m:sSub>
                            </m:num>
                            <m:den>
                              <m:d>
                                <m:dPr>
                                  <m:begChr m:val="("/>
                                  <m:endChr m:val=")"/>
                                </m:dPr>
                                <m:e>
                                  <m:r>
                                    <w:rPr>
                                      <w:rFonts w:ascii="Cambria Math" w:hAnsi="Cambria Math"/>
                                    </w:rPr>
                                    <m:t xml:space="preserve">b</m:t>
                                  </m:r>
                                  <m:r>
                                    <w:rPr>
                                      <w:rFonts w:ascii="Cambria Math" w:hAnsi="Cambria Math"/>
                                    </w:rPr>
                                    <m:t xml:space="preserve">−</m:t>
                                  </m:r>
                                  <m:r>
                                    <w:rPr>
                                      <w:rFonts w:ascii="Cambria Math" w:hAnsi="Cambria Math"/>
                                    </w:rPr>
                                    <m:t xml:space="preserve">a</m:t>
                                  </m:r>
                                </m:e>
                              </m:d>
                            </m:den>
                          </m:f>
                          <m:d>
                            <m:dPr>
                              <m:begChr m:val="("/>
                              <m:endChr m:val=")"/>
                            </m:dPr>
                            <m:e>
                              <m:r>
                                <w:rPr>
                                  <w:rFonts w:ascii="Cambria Math" w:hAnsi="Cambria Math"/>
                                </w:rPr>
                                <m:t xml:space="preserve">a</m:t>
                              </m:r>
                              <m:r>
                                <w:rPr>
                                  <w:rFonts w:ascii="Cambria Math" w:hAnsi="Cambria Math"/>
                                </w:rPr>
                                <m:t xml:space="preserve">≤</m:t>
                              </m:r>
                              <m:r>
                                <w:rPr>
                                  <w:rFonts w:ascii="Cambria Math" w:hAnsi="Cambria Math"/>
                                </w:rPr>
                                <m:t xml:space="preserve">x</m:t>
                              </m:r>
                              <m:r>
                                <w:rPr>
                                  <w:rFonts w:ascii="Cambria Math" w:hAnsi="Cambria Math"/>
                                </w:rPr>
                                <m:t xml:space="preserve">&lt;</m:t>
                              </m:r>
                              <m:r>
                                <w:rPr>
                                  <w:rFonts w:ascii="Cambria Math" w:hAnsi="Cambria Math"/>
                                </w:rPr>
                                <m:t xml:space="preserve">b</m:t>
                              </m:r>
                            </m:e>
                          </m:d>
                        </m:e>
                        <m:e>
                          <m:sSub>
                            <m:e>
                              <m:r>
                                <w:rPr>
                                  <w:rFonts w:ascii="Cambria Math" w:hAnsi="Cambria Math"/>
                                </w:rPr>
                                <m:t xml:space="preserve">u</m:t>
                              </m:r>
                            </m:e>
                            <m:sub>
                              <m:r>
                                <w:rPr>
                                  <w:rFonts w:ascii="Cambria Math" w:hAnsi="Cambria Math"/>
                                </w:rPr>
                                <m:t xml:space="preserve">A</m:t>
                              </m:r>
                            </m:sub>
                          </m:sSub>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b</m:t>
                              </m:r>
                            </m:e>
                          </m:d>
                        </m:e>
                        <m:e>
                          <m:d>
                            <m:dPr>
                              <m:begChr m:val="("/>
                              <m:endChr m:val=")"/>
                            </m:dPr>
                            <m:e>
                              <m:r>
                                <w:rPr>
                                  <w:rFonts w:ascii="Cambria Math" w:hAnsi="Cambria Math"/>
                                </w:rPr>
                                <m:t xml:space="preserve">c</m:t>
                              </m:r>
                              <m:r>
                                <w:rPr>
                                  <w:rFonts w:ascii="Cambria Math" w:hAnsi="Cambria Math"/>
                                </w:rPr>
                                <m:t xml:space="preserve">−</m:t>
                              </m:r>
                              <m:r>
                                <w:rPr>
                                  <w:rFonts w:ascii="Cambria Math" w:hAnsi="Cambria Math"/>
                                </w:rPr>
                                <m:t xml:space="preserve">x</m:t>
                              </m:r>
                            </m:e>
                          </m:d>
                          <m:f>
                            <m:fPr>
                              <m:type m:val="lin"/>
                            </m:fPr>
                            <m:num>
                              <m:sSub>
                                <m:e>
                                  <m:r>
                                    <w:rPr>
                                      <w:rFonts w:ascii="Cambria Math" w:hAnsi="Cambria Math"/>
                                    </w:rPr>
                                    <m:t xml:space="preserve">u</m:t>
                                  </m:r>
                                </m:e>
                                <m:sub>
                                  <m:r>
                                    <w:rPr>
                                      <w:rFonts w:ascii="Cambria Math" w:hAnsi="Cambria Math"/>
                                    </w:rPr>
                                    <m:t xml:space="preserve">A</m:t>
                                  </m:r>
                                </m:sub>
                              </m:sSub>
                            </m:num>
                            <m:den>
                              <m:d>
                                <m:dPr>
                                  <m:begChr m:val="("/>
                                  <m:endChr m:val=")"/>
                                </m:dPr>
                                <m:e>
                                  <m:r>
                                    <w:rPr>
                                      <w:rFonts w:ascii="Cambria Math" w:hAnsi="Cambria Math"/>
                                    </w:rPr>
                                    <m:t xml:space="preserve">c</m:t>
                                  </m:r>
                                  <m:r>
                                    <w:rPr>
                                      <w:rFonts w:ascii="Cambria Math" w:hAnsi="Cambria Math"/>
                                    </w:rPr>
                                    <m:t xml:space="preserve">−</m:t>
                                  </m:r>
                                  <m:r>
                                    <w:rPr>
                                      <w:rFonts w:ascii="Cambria Math" w:hAnsi="Cambria Math"/>
                                    </w:rPr>
                                    <m:t xml:space="preserve">b</m:t>
                                  </m:r>
                                </m:e>
                              </m:d>
                            </m:den>
                          </m:f>
                          <m:d>
                            <m:dPr>
                              <m:begChr m:val="("/>
                              <m:endChr m:val=")"/>
                            </m:dPr>
                            <m:e>
                              <m:r>
                                <w:rPr>
                                  <w:rFonts w:ascii="Cambria Math" w:hAnsi="Cambria Math"/>
                                </w:rPr>
                                <m:t xml:space="preserve">b</m:t>
                              </m:r>
                              <m:r>
                                <w:rPr>
                                  <w:rFonts w:ascii="Cambria Math" w:hAnsi="Cambria Math"/>
                                </w:rPr>
                                <m:t xml:space="preserve">&lt;</m:t>
                              </m:r>
                              <m:r>
                                <w:rPr>
                                  <w:rFonts w:ascii="Cambria Math" w:hAnsi="Cambria Math"/>
                                </w:rPr>
                                <m:t xml:space="preserve">x</m:t>
                              </m:r>
                              <m:r>
                                <w:rPr>
                                  <w:rFonts w:ascii="Cambria Math" w:hAnsi="Cambria Math"/>
                                </w:rPr>
                                <m:t xml:space="preserve">≤</m:t>
                              </m:r>
                              <m:r>
                                <w:rPr>
                                  <w:rFonts w:ascii="Cambria Math" w:hAnsi="Cambria Math"/>
                                </w:rPr>
                                <m:t xml:space="preserve">c</m:t>
                              </m:r>
                            </m:e>
                          </m:d>
                        </m:e>
                      </m:eqArr>
                    </m:e>
                    <m:e>
                      <m:r>
                        <w:rPr>
                          <w:rFonts w:ascii="Cambria Math" w:hAnsi="Cambria Math"/>
                        </w:rPr>
                        <m:t xml:space="preserve">0</m:t>
                      </m:r>
                      <m:r>
                        <w:rPr>
                          <w:rFonts w:ascii="Cambria Math" w:hAnsi="Cambria Math"/>
                        </w:rPr>
                        <m:t xml:space="preserve">Enotrocaso</m:t>
                      </m:r>
                    </m:e>
                  </m:eqArr>
                </m:e>
              </m:d>
            </m:oMath>
          </w:p>
        </w:tc>
        <w:tc>
          <w:tcPr>
            <w:tcW w:w="1609" w:type="dxa"/>
            <w:tcBorders>
              <w:top w:val="nil"/>
              <w:left w:val="nil"/>
              <w:bottom w:val="nil"/>
              <w:right w:val="nil"/>
              <w:insideH w:val="nil"/>
              <w:insideV w:val="nil"/>
            </w:tcBorders>
            <w:shd w:color="auto" w:fill="auto" w:val="clear"/>
            <w:vAlign w:val="center"/>
          </w:tcPr>
          <w:p>
            <w:pPr>
              <w:pStyle w:val="Normal"/>
              <w:spacing w:before="80" w:after="60"/>
              <w:jc w:val="right"/>
              <w:rPr/>
            </w:pPr>
            <w:bookmarkStart w:id="1395" w:name="_Ref70145653"/>
            <w:r>
              <w:rPr/>
              <w:t xml:space="preserve">Ecuación </w:t>
            </w:r>
            <w:bookmarkEnd w:id="1395"/>
            <w:r>
              <w:rPr/>
              <w:fldChar w:fldCharType="begin"/>
            </w:r>
            <w:r>
              <w:instrText> SEQ Ecuación \* ARABIC </w:instrText>
            </w:r>
            <w:r>
              <w:fldChar w:fldCharType="separate"/>
            </w:r>
            <w:r>
              <w:t>30</w:t>
            </w:r>
            <w:r>
              <w:fldChar w:fldCharType="end"/>
            </w:r>
          </w:p>
        </w:tc>
      </w:tr>
      <w:tr>
        <w:trPr>
          <w:trHeight w:val="637" w:hRule="atLeast"/>
        </w:trPr>
        <w:tc>
          <w:tcPr>
            <w:tcW w:w="6521" w:type="dxa"/>
            <w:tcBorders>
              <w:top w:val="nil"/>
              <w:left w:val="nil"/>
              <w:bottom w:val="nil"/>
              <w:right w:val="nil"/>
              <w:insideH w:val="nil"/>
              <w:insideV w:val="nil"/>
            </w:tcBorders>
            <w:shd w:color="auto" w:fill="auto" w:val="clear"/>
            <w:vAlign w:val="center"/>
          </w:tcPr>
          <w:p>
            <w:pPr>
              <w:pStyle w:val="Normal"/>
              <w:widowControl/>
              <w:suppressAutoHyphens w:val="true"/>
              <w:bidi w:val="0"/>
              <w:spacing w:lineRule="auto" w:line="312" w:before="80" w:after="60"/>
              <w:jc w:val="both"/>
              <w:textAlignment w:val="baseline"/>
              <w:rPr>
                <w:rFonts w:cs="Times New Roman"/>
              </w:rPr>
            </w:pPr>
            <w:r>
              <w:rPr/>
            </w:r>
            <m:oMath xmlns:m="http://schemas.openxmlformats.org/officeDocument/2006/math">
              <m:sSub>
                <m:e>
                  <m:r>
                    <w:rPr>
                      <w:rFonts w:ascii="Cambria Math" w:hAnsi="Cambria Math"/>
                    </w:rPr>
                    <m:t xml:space="preserve">τ</m:t>
                  </m:r>
                </m:e>
                <m:sub>
                  <m:r>
                    <w:rPr>
                      <w:rFonts w:ascii="Cambria Math" w:hAnsi="Cambria Math"/>
                    </w:rPr>
                    <m:t xml:space="preserve">A</m:t>
                  </m:r>
                </m:sub>
              </m:sSub>
              <m:d>
                <m:dPr>
                  <m:begChr m:val="("/>
                  <m:endChr m:val=")"/>
                </m:dPr>
                <m:e>
                  <m:r>
                    <w:rPr>
                      <w:rFonts w:ascii="Cambria Math" w:hAnsi="Cambria Math"/>
                    </w:rPr>
                    <m:t xml:space="preserve">x</m:t>
                  </m:r>
                </m:e>
              </m:d>
              <m:r>
                <w:rPr>
                  <w:rFonts w:ascii="Cambria Math" w:hAnsi="Cambria Math"/>
                </w:rPr>
                <m:t xml:space="preserve">=</m:t>
              </m:r>
              <m:d>
                <m:dPr>
                  <m:begChr m:val="{"/>
                  <m:endChr m:val=""/>
                </m:dPr>
                <m:e>
                  <m:eqArr>
                    <m:e>
                      <m:eqArr>
                        <m:e>
                          <m:f>
                            <m:fPr>
                              <m:type m:val="lin"/>
                            </m:fPr>
                            <m:num>
                              <m:d>
                                <m:dPr>
                                  <m:begChr m:val="("/>
                                  <m:endChr m:val=")"/>
                                </m:dPr>
                                <m:e>
                                  <m:r>
                                    <w:rPr>
                                      <w:rFonts w:ascii="Cambria Math" w:hAnsi="Cambria Math"/>
                                    </w:rPr>
                                    <m:t xml:space="preserve">b</m:t>
                                  </m:r>
                                  <m:r>
                                    <w:rPr>
                                      <w:rFonts w:ascii="Cambria Math" w:hAnsi="Cambria Math"/>
                                    </w:rPr>
                                    <m:t xml:space="preserve">−</m:t>
                                  </m:r>
                                  <m:r>
                                    <w:rPr>
                                      <w:rFonts w:ascii="Cambria Math" w:hAnsi="Cambria Math"/>
                                    </w:rPr>
                                    <m:t xml:space="preserve">x</m:t>
                                  </m:r>
                                  <m:r>
                                    <w:rPr>
                                      <w:rFonts w:ascii="Cambria Math" w:hAnsi="Cambria Math"/>
                                    </w:rPr>
                                    <m:t xml:space="preserve">+</m:t>
                                  </m:r>
                                  <m:sSub>
                                    <m:e>
                                      <m:r>
                                        <w:rPr>
                                          <w:rFonts w:ascii="Cambria Math" w:hAnsi="Cambria Math"/>
                                        </w:rPr>
                                        <m:t xml:space="preserve">v</m:t>
                                      </m:r>
                                    </m:e>
                                    <m:sub>
                                      <m:r>
                                        <w:rPr>
                                          <w:rFonts w:ascii="Cambria Math" w:hAnsi="Cambria Math"/>
                                        </w:rPr>
                                        <m:t xml:space="preserve">A</m:t>
                                      </m:r>
                                    </m:sub>
                                  </m:sSub>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a</m:t>
                                      </m:r>
                                    </m:e>
                                  </m:d>
                                </m:e>
                              </m:d>
                            </m:num>
                            <m:den>
                              <m:d>
                                <m:dPr>
                                  <m:begChr m:val="("/>
                                  <m:endChr m:val=")"/>
                                </m:dPr>
                                <m:e>
                                  <m:r>
                                    <w:rPr>
                                      <w:rFonts w:ascii="Cambria Math" w:hAnsi="Cambria Math"/>
                                    </w:rPr>
                                    <m:t xml:space="preserve">b</m:t>
                                  </m:r>
                                  <m:r>
                                    <w:rPr>
                                      <w:rFonts w:ascii="Cambria Math" w:hAnsi="Cambria Math"/>
                                    </w:rPr>
                                    <m:t xml:space="preserve">−</m:t>
                                  </m:r>
                                  <m:r>
                                    <w:rPr>
                                      <w:rFonts w:ascii="Cambria Math" w:hAnsi="Cambria Math"/>
                                    </w:rPr>
                                    <m:t xml:space="preserve">a</m:t>
                                  </m:r>
                                </m:e>
                              </m:d>
                            </m:den>
                          </m:f>
                          <m:d>
                            <m:dPr>
                              <m:begChr m:val="("/>
                              <m:endChr m:val=")"/>
                            </m:dPr>
                            <m:e>
                              <m:r>
                                <w:rPr>
                                  <w:rFonts w:ascii="Cambria Math" w:hAnsi="Cambria Math"/>
                                </w:rPr>
                                <m:t xml:space="preserve">a</m:t>
                              </m:r>
                              <m:r>
                                <w:rPr>
                                  <w:rFonts w:ascii="Cambria Math" w:hAnsi="Cambria Math"/>
                                </w:rPr>
                                <m:t xml:space="preserve">≤</m:t>
                              </m:r>
                              <m:r>
                                <w:rPr>
                                  <w:rFonts w:ascii="Cambria Math" w:hAnsi="Cambria Math"/>
                                </w:rPr>
                                <m:t xml:space="preserve">x</m:t>
                              </m:r>
                              <m:r>
                                <w:rPr>
                                  <w:rFonts w:ascii="Cambria Math" w:hAnsi="Cambria Math"/>
                                </w:rPr>
                                <m:t xml:space="preserve">&lt;</m:t>
                              </m:r>
                              <m:r>
                                <w:rPr>
                                  <w:rFonts w:ascii="Cambria Math" w:hAnsi="Cambria Math"/>
                                </w:rPr>
                                <m:t xml:space="preserve">b</m:t>
                              </m:r>
                            </m:e>
                          </m:d>
                        </m:e>
                        <m:e>
                          <m:sSub>
                            <m:e>
                              <m:r>
                                <w:rPr>
                                  <w:rFonts w:ascii="Cambria Math" w:hAnsi="Cambria Math"/>
                                </w:rPr>
                                <m:t xml:space="preserve">r</m:t>
                              </m:r>
                            </m:e>
                            <m:sub>
                              <m:r>
                                <w:rPr>
                                  <w:rFonts w:ascii="Cambria Math" w:hAnsi="Cambria Math"/>
                                </w:rPr>
                                <m:t xml:space="preserve">A</m:t>
                              </m:r>
                            </m:sub>
                          </m:sSub>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b</m:t>
                              </m:r>
                            </m:e>
                          </m:d>
                        </m:e>
                        <m:e>
                          <m:f>
                            <m:fPr>
                              <m:type m:val="lin"/>
                            </m:fPr>
                            <m:num>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b</m:t>
                                  </m:r>
                                  <m:r>
                                    <w:rPr>
                                      <w:rFonts w:ascii="Cambria Math" w:hAnsi="Cambria Math"/>
                                    </w:rPr>
                                    <m:t xml:space="preserve">+</m:t>
                                  </m:r>
                                  <m:sSub>
                                    <m:e>
                                      <m:r>
                                        <w:rPr>
                                          <w:rFonts w:ascii="Cambria Math" w:hAnsi="Cambria Math"/>
                                        </w:rPr>
                                        <m:t xml:space="preserve">v</m:t>
                                      </m:r>
                                    </m:e>
                                    <m:sub>
                                      <m:r>
                                        <w:rPr>
                                          <w:rFonts w:ascii="Cambria Math" w:hAnsi="Cambria Math"/>
                                        </w:rPr>
                                        <m:t xml:space="preserve">A</m:t>
                                      </m:r>
                                    </m:sub>
                                  </m:sSub>
                                  <m:d>
                                    <m:dPr>
                                      <m:begChr m:val="("/>
                                      <m:endChr m:val=")"/>
                                    </m:dPr>
                                    <m:e>
                                      <m:r>
                                        <w:rPr>
                                          <w:rFonts w:ascii="Cambria Math" w:hAnsi="Cambria Math"/>
                                        </w:rPr>
                                        <m:t xml:space="preserve">c</m:t>
                                      </m:r>
                                      <m:r>
                                        <w:rPr>
                                          <w:rFonts w:ascii="Cambria Math" w:hAnsi="Cambria Math"/>
                                        </w:rPr>
                                        <m:t xml:space="preserve">−</m:t>
                                      </m:r>
                                      <m:r>
                                        <w:rPr>
                                          <w:rFonts w:ascii="Cambria Math" w:hAnsi="Cambria Math"/>
                                        </w:rPr>
                                        <m:t xml:space="preserve">x</m:t>
                                      </m:r>
                                    </m:e>
                                  </m:d>
                                </m:e>
                              </m:d>
                            </m:num>
                            <m:den>
                              <m:d>
                                <m:dPr>
                                  <m:begChr m:val="("/>
                                  <m:endChr m:val=")"/>
                                </m:dPr>
                                <m:e>
                                  <m:r>
                                    <w:rPr>
                                      <w:rFonts w:ascii="Cambria Math" w:hAnsi="Cambria Math"/>
                                    </w:rPr>
                                    <m:t xml:space="preserve">c</m:t>
                                  </m:r>
                                  <m:r>
                                    <w:rPr>
                                      <w:rFonts w:ascii="Cambria Math" w:hAnsi="Cambria Math"/>
                                    </w:rPr>
                                    <m:t xml:space="preserve">−</m:t>
                                  </m:r>
                                  <m:r>
                                    <w:rPr>
                                      <w:rFonts w:ascii="Cambria Math" w:hAnsi="Cambria Math"/>
                                    </w:rPr>
                                    <m:t xml:space="preserve">b</m:t>
                                  </m:r>
                                </m:e>
                              </m:d>
                            </m:den>
                          </m:f>
                          <m:d>
                            <m:dPr>
                              <m:begChr m:val="("/>
                              <m:endChr m:val=")"/>
                            </m:dPr>
                            <m:e>
                              <m:r>
                                <w:rPr>
                                  <w:rFonts w:ascii="Cambria Math" w:hAnsi="Cambria Math"/>
                                </w:rPr>
                                <m:t xml:space="preserve">b</m:t>
                              </m:r>
                              <m:r>
                                <w:rPr>
                                  <w:rFonts w:ascii="Cambria Math" w:hAnsi="Cambria Math"/>
                                </w:rPr>
                                <m:t xml:space="preserve">&lt;</m:t>
                              </m:r>
                              <m:r>
                                <w:rPr>
                                  <w:rFonts w:ascii="Cambria Math" w:hAnsi="Cambria Math"/>
                                </w:rPr>
                                <m:t xml:space="preserve">x</m:t>
                              </m:r>
                              <m:r>
                                <w:rPr>
                                  <w:rFonts w:ascii="Cambria Math" w:hAnsi="Cambria Math"/>
                                </w:rPr>
                                <m:t xml:space="preserve">≤</m:t>
                              </m:r>
                              <m:r>
                                <w:rPr>
                                  <w:rFonts w:ascii="Cambria Math" w:hAnsi="Cambria Math"/>
                                </w:rPr>
                                <m:t xml:space="preserve">c</m:t>
                              </m:r>
                            </m:e>
                          </m:d>
                        </m:e>
                      </m:eqArr>
                    </m:e>
                    <m:e>
                      <m:r>
                        <w:rPr>
                          <w:rFonts w:ascii="Cambria Math" w:hAnsi="Cambria Math"/>
                        </w:rPr>
                        <m:t xml:space="preserve">1</m:t>
                      </m:r>
                      <m:r>
                        <w:rPr>
                          <w:rFonts w:ascii="Cambria Math" w:hAnsi="Cambria Math"/>
                        </w:rPr>
                        <m:t xml:space="preserve">Enotrocaso</m:t>
                      </m:r>
                    </m:e>
                  </m:eqArr>
                </m:e>
              </m:d>
            </m:oMath>
          </w:p>
        </w:tc>
        <w:tc>
          <w:tcPr>
            <w:tcW w:w="1609" w:type="dxa"/>
            <w:tcBorders>
              <w:top w:val="nil"/>
              <w:left w:val="nil"/>
              <w:bottom w:val="nil"/>
              <w:right w:val="nil"/>
              <w:insideH w:val="nil"/>
              <w:insideV w:val="nil"/>
            </w:tcBorders>
            <w:shd w:color="auto" w:fill="auto" w:val="clear"/>
            <w:vAlign w:val="center"/>
          </w:tcPr>
          <w:p>
            <w:pPr>
              <w:pStyle w:val="Normal"/>
              <w:spacing w:before="80" w:after="60"/>
              <w:jc w:val="right"/>
              <w:rPr/>
            </w:pPr>
            <w:bookmarkStart w:id="1396" w:name="_Ref70145662"/>
            <w:r>
              <w:rPr/>
              <w:t xml:space="preserve">Ecuación </w:t>
            </w:r>
            <w:bookmarkEnd w:id="1396"/>
            <w:r>
              <w:rPr/>
              <w:fldChar w:fldCharType="begin"/>
            </w:r>
            <w:r>
              <w:instrText> SEQ Ecuación \* ARABIC </w:instrText>
            </w:r>
            <w:r>
              <w:fldChar w:fldCharType="separate"/>
            </w:r>
            <w:r>
              <w:t>31</w:t>
            </w:r>
            <w:r>
              <w:fldChar w:fldCharType="end"/>
            </w:r>
          </w:p>
        </w:tc>
      </w:tr>
      <w:tr>
        <w:trPr>
          <w:trHeight w:val="663" w:hRule="atLeast"/>
        </w:trPr>
        <w:tc>
          <w:tcPr>
            <w:tcW w:w="6521" w:type="dxa"/>
            <w:tcBorders>
              <w:top w:val="nil"/>
              <w:left w:val="nil"/>
              <w:bottom w:val="nil"/>
              <w:right w:val="nil"/>
              <w:insideH w:val="nil"/>
              <w:insideV w:val="nil"/>
            </w:tcBorders>
            <w:shd w:color="auto" w:fill="auto" w:val="clear"/>
            <w:vAlign w:val="center"/>
          </w:tcPr>
          <w:p>
            <w:pPr>
              <w:pStyle w:val="Normal"/>
              <w:widowControl/>
              <w:suppressAutoHyphens w:val="true"/>
              <w:bidi w:val="0"/>
              <w:spacing w:lineRule="auto" w:line="312" w:before="80" w:after="60"/>
              <w:jc w:val="both"/>
              <w:textAlignment w:val="baseline"/>
              <w:rPr>
                <w:rFonts w:cs="Times New Roman"/>
                <w:sz w:val="20"/>
              </w:rPr>
            </w:pPr>
            <w:r>
              <w:rPr/>
            </w:r>
            <m:oMath xmlns:m="http://schemas.openxmlformats.org/officeDocument/2006/math">
              <m:sSub>
                <m:e>
                  <m:r>
                    <w:rPr>
                      <w:rFonts w:ascii="Cambria Math" w:hAnsi="Cambria Math"/>
                    </w:rPr>
                    <m:t xml:space="preserve">σ</m:t>
                  </m:r>
                </m:e>
                <m:sub>
                  <m:r>
                    <w:rPr>
                      <w:rFonts w:ascii="Cambria Math" w:hAnsi="Cambria Math"/>
                    </w:rPr>
                    <m:t xml:space="preserve">A</m:t>
                  </m:r>
                </m:sub>
              </m:sSub>
              <m:d>
                <m:dPr>
                  <m:begChr m:val="("/>
                  <m:endChr m:val=")"/>
                </m:dPr>
                <m:e>
                  <m:r>
                    <w:rPr>
                      <w:rFonts w:ascii="Cambria Math" w:hAnsi="Cambria Math"/>
                    </w:rPr>
                    <m:t xml:space="preserve">x</m:t>
                  </m:r>
                </m:e>
              </m:d>
              <m:r>
                <w:rPr>
                  <w:rFonts w:ascii="Cambria Math" w:hAnsi="Cambria Math"/>
                </w:rPr>
                <m:t xml:space="preserve">=</m:t>
              </m:r>
              <m:d>
                <m:dPr>
                  <m:begChr m:val="{"/>
                  <m:endChr m:val=""/>
                </m:dPr>
                <m:e>
                  <m:eqArr>
                    <m:e>
                      <m:eqArr>
                        <m:e>
                          <m:f>
                            <m:fPr>
                              <m:type m:val="lin"/>
                            </m:fPr>
                            <m:num>
                              <m:d>
                                <m:dPr>
                                  <m:begChr m:val="("/>
                                  <m:endChr m:val=")"/>
                                </m:dPr>
                                <m:e>
                                  <m:r>
                                    <w:rPr>
                                      <w:rFonts w:ascii="Cambria Math" w:hAnsi="Cambria Math"/>
                                    </w:rPr>
                                    <m:t xml:space="preserve">b</m:t>
                                  </m:r>
                                  <m:r>
                                    <w:rPr>
                                      <w:rFonts w:ascii="Cambria Math" w:hAnsi="Cambria Math"/>
                                    </w:rPr>
                                    <m:t xml:space="preserve">−</m:t>
                                  </m:r>
                                  <m:r>
                                    <w:rPr>
                                      <w:rFonts w:ascii="Cambria Math" w:hAnsi="Cambria Math"/>
                                    </w:rPr>
                                    <m:t xml:space="preserve">x</m:t>
                                  </m:r>
                                  <m:r>
                                    <w:rPr>
                                      <w:rFonts w:ascii="Cambria Math" w:hAnsi="Cambria Math"/>
                                    </w:rPr>
                                    <m:t xml:space="preserve">+</m:t>
                                  </m:r>
                                  <m:sSub>
                                    <m:e>
                                      <m:r>
                                        <w:rPr>
                                          <w:rFonts w:ascii="Cambria Math" w:hAnsi="Cambria Math"/>
                                        </w:rPr>
                                        <m:t xml:space="preserve">f</m:t>
                                      </m:r>
                                    </m:e>
                                    <m:sub>
                                      <m:r>
                                        <w:rPr>
                                          <w:rFonts w:ascii="Cambria Math" w:hAnsi="Cambria Math"/>
                                        </w:rPr>
                                        <m:t xml:space="preserve">A</m:t>
                                      </m:r>
                                    </m:sub>
                                  </m:sSub>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a</m:t>
                                      </m:r>
                                    </m:e>
                                  </m:d>
                                </m:e>
                              </m:d>
                            </m:num>
                            <m:den>
                              <m:d>
                                <m:dPr>
                                  <m:begChr m:val="("/>
                                  <m:endChr m:val=")"/>
                                </m:dPr>
                                <m:e>
                                  <m:r>
                                    <w:rPr>
                                      <w:rFonts w:ascii="Cambria Math" w:hAnsi="Cambria Math"/>
                                    </w:rPr>
                                    <m:t xml:space="preserve">b</m:t>
                                  </m:r>
                                  <m:r>
                                    <w:rPr>
                                      <w:rFonts w:ascii="Cambria Math" w:hAnsi="Cambria Math"/>
                                    </w:rPr>
                                    <m:t xml:space="preserve">−</m:t>
                                  </m:r>
                                  <m:r>
                                    <w:rPr>
                                      <w:rFonts w:ascii="Cambria Math" w:hAnsi="Cambria Math"/>
                                    </w:rPr>
                                    <m:t xml:space="preserve">a</m:t>
                                  </m:r>
                                </m:e>
                              </m:d>
                            </m:den>
                          </m:f>
                          <m:d>
                            <m:dPr>
                              <m:begChr m:val="("/>
                              <m:endChr m:val=")"/>
                            </m:dPr>
                            <m:e>
                              <m:r>
                                <w:rPr>
                                  <w:rFonts w:ascii="Cambria Math" w:hAnsi="Cambria Math"/>
                                </w:rPr>
                                <m:t xml:space="preserve">a</m:t>
                              </m:r>
                              <m:r>
                                <w:rPr>
                                  <w:rFonts w:ascii="Cambria Math" w:hAnsi="Cambria Math"/>
                                </w:rPr>
                                <m:t xml:space="preserve">≤</m:t>
                              </m:r>
                              <m:r>
                                <w:rPr>
                                  <w:rFonts w:ascii="Cambria Math" w:hAnsi="Cambria Math"/>
                                </w:rPr>
                                <m:t xml:space="preserve">x</m:t>
                              </m:r>
                              <m:r>
                                <w:rPr>
                                  <w:rFonts w:ascii="Cambria Math" w:hAnsi="Cambria Math"/>
                                </w:rPr>
                                <m:t xml:space="preserve">&lt;</m:t>
                              </m:r>
                              <m:r>
                                <w:rPr>
                                  <w:rFonts w:ascii="Cambria Math" w:hAnsi="Cambria Math"/>
                                </w:rPr>
                                <m:t xml:space="preserve">b</m:t>
                              </m:r>
                            </m:e>
                          </m:d>
                        </m:e>
                        <m:e>
                          <m:sSub>
                            <m:e>
                              <m:r>
                                <w:rPr>
                                  <w:rFonts w:ascii="Cambria Math" w:hAnsi="Cambria Math"/>
                                </w:rPr>
                                <m:t xml:space="preserve">f</m:t>
                              </m:r>
                            </m:e>
                            <m:sub>
                              <m:r>
                                <w:rPr>
                                  <w:rFonts w:ascii="Cambria Math" w:hAnsi="Cambria Math"/>
                                </w:rPr>
                                <m:t xml:space="preserve">A</m:t>
                              </m:r>
                            </m:sub>
                          </m:sSub>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b</m:t>
                              </m:r>
                            </m:e>
                          </m:d>
                        </m:e>
                        <m:e>
                          <m:f>
                            <m:fPr>
                              <m:type m:val="lin"/>
                            </m:fPr>
                            <m:num>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b</m:t>
                                  </m:r>
                                  <m:r>
                                    <w:rPr>
                                      <w:rFonts w:ascii="Cambria Math" w:hAnsi="Cambria Math"/>
                                    </w:rPr>
                                    <m:t xml:space="preserve">+</m:t>
                                  </m:r>
                                  <m:sSub>
                                    <m:e>
                                      <m:r>
                                        <w:rPr>
                                          <w:rFonts w:ascii="Cambria Math" w:hAnsi="Cambria Math"/>
                                        </w:rPr>
                                        <m:t xml:space="preserve">f</m:t>
                                      </m:r>
                                    </m:e>
                                    <m:sub>
                                      <m:r>
                                        <w:rPr>
                                          <w:rFonts w:ascii="Cambria Math" w:hAnsi="Cambria Math"/>
                                        </w:rPr>
                                        <m:t xml:space="preserve">A</m:t>
                                      </m:r>
                                    </m:sub>
                                  </m:sSub>
                                  <m:d>
                                    <m:dPr>
                                      <m:begChr m:val="("/>
                                      <m:endChr m:val=")"/>
                                    </m:dPr>
                                    <m:e>
                                      <m:r>
                                        <w:rPr>
                                          <w:rFonts w:ascii="Cambria Math" w:hAnsi="Cambria Math"/>
                                        </w:rPr>
                                        <m:t xml:space="preserve">c</m:t>
                                      </m:r>
                                      <m:r>
                                        <w:rPr>
                                          <w:rFonts w:ascii="Cambria Math" w:hAnsi="Cambria Math"/>
                                        </w:rPr>
                                        <m:t xml:space="preserve">−</m:t>
                                      </m:r>
                                      <m:r>
                                        <w:rPr>
                                          <w:rFonts w:ascii="Cambria Math" w:hAnsi="Cambria Math"/>
                                        </w:rPr>
                                        <m:t xml:space="preserve">x</m:t>
                                      </m:r>
                                    </m:e>
                                  </m:d>
                                </m:e>
                              </m:d>
                            </m:num>
                            <m:den>
                              <m:d>
                                <m:dPr>
                                  <m:begChr m:val="("/>
                                  <m:endChr m:val=")"/>
                                </m:dPr>
                                <m:e>
                                  <m:r>
                                    <w:rPr>
                                      <w:rFonts w:ascii="Cambria Math" w:hAnsi="Cambria Math"/>
                                    </w:rPr>
                                    <m:t xml:space="preserve">c</m:t>
                                  </m:r>
                                  <m:r>
                                    <w:rPr>
                                      <w:rFonts w:ascii="Cambria Math" w:hAnsi="Cambria Math"/>
                                    </w:rPr>
                                    <m:t xml:space="preserve">−</m:t>
                                  </m:r>
                                  <m:r>
                                    <w:rPr>
                                      <w:rFonts w:ascii="Cambria Math" w:hAnsi="Cambria Math"/>
                                    </w:rPr>
                                    <m:t xml:space="preserve">b</m:t>
                                  </m:r>
                                </m:e>
                              </m:d>
                            </m:den>
                          </m:f>
                          <m:d>
                            <m:dPr>
                              <m:begChr m:val="("/>
                              <m:endChr m:val=")"/>
                            </m:dPr>
                            <m:e>
                              <m:r>
                                <w:rPr>
                                  <w:rFonts w:ascii="Cambria Math" w:hAnsi="Cambria Math"/>
                                </w:rPr>
                                <m:t xml:space="preserve">b</m:t>
                              </m:r>
                              <m:r>
                                <w:rPr>
                                  <w:rFonts w:ascii="Cambria Math" w:hAnsi="Cambria Math"/>
                                </w:rPr>
                                <m:t xml:space="preserve">&lt;</m:t>
                              </m:r>
                              <m:r>
                                <w:rPr>
                                  <w:rFonts w:ascii="Cambria Math" w:hAnsi="Cambria Math"/>
                                </w:rPr>
                                <m:t xml:space="preserve">x</m:t>
                              </m:r>
                              <m:r>
                                <w:rPr>
                                  <w:rFonts w:ascii="Cambria Math" w:hAnsi="Cambria Math"/>
                                </w:rPr>
                                <m:t xml:space="preserve">≤</m:t>
                              </m:r>
                              <m:r>
                                <w:rPr>
                                  <w:rFonts w:ascii="Cambria Math" w:hAnsi="Cambria Math"/>
                                </w:rPr>
                                <m:t xml:space="preserve">c</m:t>
                              </m:r>
                            </m:e>
                          </m:d>
                        </m:e>
                      </m:eqArr>
                    </m:e>
                    <m:e>
                      <m:r>
                        <w:rPr>
                          <w:rFonts w:ascii="Cambria Math" w:hAnsi="Cambria Math"/>
                        </w:rPr>
                        <m:t xml:space="preserve">1</m:t>
                      </m:r>
                      <m:r>
                        <w:rPr>
                          <w:rFonts w:ascii="Cambria Math" w:hAnsi="Cambria Math"/>
                        </w:rPr>
                        <m:t xml:space="preserve">Enotrocaso</m:t>
                      </m:r>
                    </m:e>
                  </m:eqArr>
                </m:e>
              </m:d>
            </m:oMath>
          </w:p>
        </w:tc>
        <w:tc>
          <w:tcPr>
            <w:tcW w:w="1609" w:type="dxa"/>
            <w:tcBorders>
              <w:top w:val="nil"/>
              <w:left w:val="nil"/>
              <w:bottom w:val="nil"/>
              <w:right w:val="nil"/>
              <w:insideH w:val="nil"/>
              <w:insideV w:val="nil"/>
            </w:tcBorders>
            <w:shd w:color="auto" w:fill="auto" w:val="clear"/>
            <w:vAlign w:val="center"/>
          </w:tcPr>
          <w:p>
            <w:pPr>
              <w:pStyle w:val="Normal"/>
              <w:spacing w:before="80" w:after="60"/>
              <w:jc w:val="right"/>
              <w:rPr/>
            </w:pPr>
            <w:bookmarkStart w:id="1397" w:name="_Ref70145667"/>
            <w:r>
              <w:rPr/>
              <w:t xml:space="preserve">Ecuación </w:t>
            </w:r>
            <w:bookmarkEnd w:id="1397"/>
            <w:r>
              <w:rPr/>
              <w:fldChar w:fldCharType="begin"/>
            </w:r>
            <w:r>
              <w:instrText> SEQ Ecuación \* ARABIC </w:instrText>
            </w:r>
            <w:r>
              <w:fldChar w:fldCharType="separate"/>
            </w:r>
            <w:r>
              <w:t>32</w:t>
            </w:r>
            <w:r>
              <w:fldChar w:fldCharType="end"/>
            </w:r>
          </w:p>
        </w:tc>
      </w:tr>
    </w:tbl>
    <w:p>
      <w:pPr>
        <w:pStyle w:val="Caption1"/>
        <w:ind w:left="0" w:hanging="0"/>
        <w:jc w:val="both"/>
        <w:rPr>
          <w:sz w:val="22"/>
        </w:rPr>
      </w:pPr>
      <w:r>
        <w:drawing>
          <wp:anchor behindDoc="0" distT="0" distB="1905" distL="114300" distR="114935" simplePos="0" locked="0" layoutInCell="1" allowOverlap="1" relativeHeight="29">
            <wp:simplePos x="0" y="0"/>
            <wp:positionH relativeFrom="column">
              <wp:posOffset>24765</wp:posOffset>
            </wp:positionH>
            <wp:positionV relativeFrom="paragraph">
              <wp:posOffset>27940</wp:posOffset>
            </wp:positionV>
            <wp:extent cx="2056765" cy="1750695"/>
            <wp:effectExtent l="0" t="0" r="0" b="0"/>
            <wp:wrapSquare wrapText="bothSides"/>
            <wp:docPr id="6" name="Imagen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descr=""/>
                    <pic:cNvPicPr>
                      <a:picLocks noChangeAspect="1" noChangeArrowheads="1"/>
                    </pic:cNvPicPr>
                  </pic:nvPicPr>
                  <pic:blipFill>
                    <a:blip r:embed="rId7"/>
                    <a:stretch>
                      <a:fillRect/>
                    </a:stretch>
                  </pic:blipFill>
                  <pic:spPr bwMode="auto">
                    <a:xfrm>
                      <a:off x="0" y="0"/>
                      <a:ext cx="2056765" cy="1750695"/>
                    </a:xfrm>
                    <a:prstGeom prst="rect">
                      <a:avLst/>
                    </a:prstGeom>
                  </pic:spPr>
                </pic:pic>
              </a:graphicData>
            </a:graphic>
          </wp:anchor>
        </w:drawing>
      </w:r>
      <w:r>
        <w:rPr>
          <w:sz w:val="22"/>
        </w:rPr>
        <w:t>S</w:t>
      </w:r>
      <w:r>
        <w:rPr>
          <w:sz w:val="22"/>
        </w:rPr>
        <w:t xml:space="preserve">iendo </w:t>
      </w:r>
      <w:r>
        <w:rPr>
          <w:i/>
          <w:sz w:val="22"/>
        </w:rPr>
        <w:t>y</w:t>
      </w:r>
      <w:r>
        <w:rPr>
          <w:i/>
          <w:sz w:val="22"/>
          <w:vertAlign w:val="subscript"/>
        </w:rPr>
        <w:t xml:space="preserve">i </w:t>
      </w:r>
      <w:r>
        <w:rPr>
          <w:rFonts w:eastAsia="Symbol" w:cs="Symbol" w:ascii="Symbol" w:hAnsi="Symbol"/>
          <w:i/>
          <w:sz w:val="22"/>
        </w:rPr>
        <w:t></w:t>
      </w:r>
      <w:r>
        <w:rPr>
          <w:i/>
          <w:sz w:val="22"/>
        </w:rPr>
        <w:t xml:space="preserve">Y </w:t>
      </w:r>
      <w:r>
        <w:rPr>
          <w:sz w:val="22"/>
        </w:rPr>
        <w:t>tal que,</w:t>
      </w:r>
      <w:r>
        <w:rPr>
          <w:i/>
          <w:sz w:val="22"/>
        </w:rPr>
        <w:t xml:space="preserve"> Y</w:t>
      </w:r>
      <w:r>
        <w:rPr>
          <w:sz w:val="22"/>
        </w:rPr>
        <w:t xml:space="preserve"> representa a la base de datos de </w:t>
      </w:r>
      <w:r>
        <w:rPr>
          <w:i/>
          <w:sz w:val="22"/>
        </w:rPr>
        <w:t>n</w:t>
      </w:r>
      <w:r>
        <w:rPr>
          <w:sz w:val="22"/>
        </w:rPr>
        <w:t xml:space="preserve"> objetos, </w:t>
      </w:r>
      <w:r>
        <w:rPr>
          <w:i/>
          <w:sz w:val="22"/>
        </w:rPr>
        <w:t xml:space="preserve">|Y| = n </w:t>
      </w:r>
      <w:r>
        <w:rPr>
          <w:sz w:val="22"/>
        </w:rPr>
        <w:t>y cada</w:t>
      </w:r>
      <w:r>
        <w:rPr>
          <w:i/>
          <w:sz w:val="22"/>
        </w:rPr>
        <w:t xml:space="preserve"> </w:t>
      </w:r>
      <w:r>
        <w:rPr>
          <w:sz w:val="22"/>
        </w:rPr>
        <w:t xml:space="preserve">objeto </w:t>
      </w:r>
      <w:r>
        <w:rPr>
          <w:i/>
          <w:sz w:val="22"/>
        </w:rPr>
        <w:t>y</w:t>
      </w:r>
      <w:r>
        <w:rPr>
          <w:i/>
          <w:sz w:val="22"/>
          <w:vertAlign w:val="subscript"/>
        </w:rPr>
        <w:t>i</w:t>
      </w:r>
      <w:r>
        <w:rPr>
          <w:sz w:val="22"/>
        </w:rPr>
        <w:t xml:space="preserve"> está formado por </w:t>
      </w:r>
      <w:r>
        <w:rPr>
          <w:i/>
          <w:sz w:val="22"/>
        </w:rPr>
        <w:t>k</w:t>
      </w:r>
      <w:r>
        <w:rPr>
          <w:sz w:val="22"/>
        </w:rPr>
        <w:t xml:space="preserve"> atributos. Para cada atributo</w:t>
      </w:r>
      <w:r>
        <w:rPr>
          <w:i/>
          <w:sz w:val="22"/>
        </w:rPr>
        <w:t xml:space="preserve"> z </w:t>
      </w:r>
      <w:r>
        <w:rPr>
          <w:sz w:val="22"/>
        </w:rPr>
        <w:t>de un objeto</w:t>
      </w:r>
      <w:r>
        <w:rPr>
          <w:i/>
          <w:sz w:val="22"/>
        </w:rPr>
        <w:t xml:space="preserve"> y</w:t>
      </w:r>
      <w:r>
        <w:rPr>
          <w:i/>
          <w:sz w:val="22"/>
          <w:vertAlign w:val="subscript"/>
        </w:rPr>
        <w:t>i</w:t>
      </w:r>
      <w:r>
        <w:rPr>
          <w:sz w:val="22"/>
        </w:rPr>
        <w:t xml:space="preserve"> existe una variable lingüística </w:t>
      </w:r>
      <w:r>
        <w:rPr>
          <w:i/>
          <w:sz w:val="22"/>
        </w:rPr>
        <w:t>V</w:t>
      </w:r>
      <w:r>
        <w:rPr>
          <w:i/>
          <w:sz w:val="22"/>
          <w:vertAlign w:val="subscript"/>
        </w:rPr>
        <w:t xml:space="preserve">z </w:t>
      </w:r>
      <w:r>
        <w:rPr>
          <w:i/>
          <w:sz w:val="22"/>
        </w:rPr>
        <w:t>= {A</w:t>
      </w:r>
      <w:r>
        <w:rPr>
          <w:i/>
          <w:sz w:val="22"/>
          <w:vertAlign w:val="subscript"/>
        </w:rPr>
        <w:t>1</w:t>
      </w:r>
      <w:r>
        <w:rPr>
          <w:i/>
          <w:sz w:val="22"/>
        </w:rPr>
        <w:t>, A</w:t>
      </w:r>
      <w:r>
        <w:rPr>
          <w:i/>
          <w:sz w:val="22"/>
          <w:vertAlign w:val="subscript"/>
        </w:rPr>
        <w:t>2</w:t>
      </w:r>
      <w:r>
        <w:rPr>
          <w:i/>
          <w:sz w:val="22"/>
        </w:rPr>
        <w:t>, …, A</w:t>
      </w:r>
      <w:r>
        <w:rPr>
          <w:i/>
          <w:sz w:val="22"/>
          <w:vertAlign w:val="subscript"/>
        </w:rPr>
        <w:t>g</w:t>
      </w:r>
      <w:r>
        <w:rPr>
          <w:i/>
          <w:sz w:val="22"/>
        </w:rPr>
        <w:t>}</w:t>
      </w:r>
      <w:r>
        <w:rPr>
          <w:sz w:val="22"/>
        </w:rPr>
        <w:t xml:space="preserve"> formada por “</w:t>
      </w:r>
      <w:r>
        <w:rPr>
          <w:i/>
          <w:sz w:val="22"/>
        </w:rPr>
        <w:t>g”</w:t>
      </w:r>
      <w:r>
        <w:rPr>
          <w:sz w:val="22"/>
        </w:rPr>
        <w:t xml:space="preserve"> conjuntos borrosos.</w:t>
      </w:r>
    </w:p>
    <w:p>
      <w:pPr>
        <w:pStyle w:val="Papertext1"/>
        <w:widowControl w:val="false"/>
        <w:spacing w:lineRule="auto" w:line="312"/>
        <w:ind w:hanging="0"/>
        <w:rPr/>
      </w:pPr>
      <w:bookmarkStart w:id="1398" w:name="_Ref48910754"/>
      <w:r>
        <w:rPr>
          <w:rFonts w:ascii="Arial" w:hAnsi="Arial"/>
          <w:b/>
          <w:sz w:val="22"/>
          <w:lang w:val="es-ES"/>
        </w:rPr>
        <w:t xml:space="preserve">Definición </w:t>
      </w:r>
      <w:r>
        <w:rPr>
          <w:rFonts w:ascii="Arial" w:hAnsi="Arial"/>
          <w:b/>
          <w:sz w:val="22"/>
          <w:lang w:val="es-ES"/>
        </w:rPr>
        <w:fldChar w:fldCharType="begin"/>
      </w:r>
      <w:r>
        <w:instrText> SEQ Definición \* ARABIC </w:instrText>
      </w:r>
      <w:r>
        <w:fldChar w:fldCharType="separate"/>
      </w:r>
      <w:r>
        <w:t>6</w:t>
      </w:r>
      <w:r>
        <w:fldChar w:fldCharType="end"/>
      </w:r>
      <w:bookmarkEnd w:id="1398"/>
      <w:r>
        <w:rPr>
          <w:rFonts w:ascii="Arial" w:hAnsi="Arial"/>
          <w:b/>
          <w:sz w:val="22"/>
          <w:lang w:val="es-ES"/>
        </w:rPr>
        <w:t>:</w:t>
      </w:r>
      <w:r>
        <w:rPr>
          <w:rFonts w:ascii="Arial" w:hAnsi="Arial"/>
          <w:sz w:val="22"/>
          <w:lang w:val="es-ES"/>
        </w:rPr>
        <w:t xml:space="preserve"> Siendo </w:t>
      </w:r>
      <w:r>
        <w:rPr>
          <w:rFonts w:ascii="Arial" w:hAnsi="Arial"/>
          <w:i/>
          <w:sz w:val="22"/>
          <w:lang w:val="es-ES"/>
        </w:rPr>
        <w:t>V</w:t>
      </w:r>
      <w:r>
        <w:rPr>
          <w:rFonts w:ascii="Arial" w:hAnsi="Arial"/>
          <w:i/>
          <w:sz w:val="22"/>
          <w:vertAlign w:val="subscript"/>
          <w:lang w:val="es-ES"/>
        </w:rPr>
        <w:t>z</w:t>
      </w:r>
      <w:r>
        <w:rPr>
          <w:rFonts w:ascii="Arial" w:hAnsi="Arial"/>
          <w:sz w:val="22"/>
          <w:lang w:val="es-ES"/>
        </w:rPr>
        <w:t xml:space="preserve"> una variable lingüística asociada al </w:t>
      </w:r>
      <w:r>
        <w:rPr>
          <w:rFonts w:ascii="Arial" w:hAnsi="Arial"/>
          <w:i/>
          <w:sz w:val="22"/>
          <w:lang w:val="es-ES"/>
        </w:rPr>
        <w:t>z-ésimo</w:t>
      </w:r>
      <w:r>
        <w:rPr>
          <w:rFonts w:ascii="Arial" w:hAnsi="Arial"/>
          <w:sz w:val="22"/>
          <w:lang w:val="es-ES"/>
        </w:rPr>
        <w:t xml:space="preserve"> atributo de los objetos de la base de datos </w:t>
      </w:r>
      <w:r>
        <w:rPr>
          <w:rFonts w:ascii="Arial" w:hAnsi="Arial"/>
          <w:i/>
          <w:sz w:val="22"/>
          <w:lang w:val="es-ES"/>
        </w:rPr>
        <w:t xml:space="preserve">Y; </w:t>
      </w:r>
      <w:r>
        <w:rPr>
          <w:rFonts w:ascii="Arial" w:hAnsi="Arial"/>
          <w:sz w:val="22"/>
          <w:lang w:val="es-ES"/>
        </w:rPr>
        <w:t xml:space="preserve">la pertenencia de un objeto </w:t>
      </w:r>
      <w:r>
        <w:rPr>
          <w:rFonts w:ascii="Arial" w:hAnsi="Arial"/>
          <w:i/>
          <w:sz w:val="22"/>
          <w:lang w:val="es-ES"/>
        </w:rPr>
        <w:t>y</w:t>
      </w:r>
      <w:r>
        <w:rPr>
          <w:rFonts w:ascii="Arial" w:hAnsi="Arial"/>
          <w:i/>
          <w:sz w:val="22"/>
          <w:vertAlign w:val="subscript"/>
          <w:lang w:val="es-ES"/>
        </w:rPr>
        <w:t>i</w:t>
      </w:r>
      <w:r>
        <w:rPr>
          <w:rFonts w:eastAsia="Symbol" w:cs="Symbol" w:ascii="Symbol" w:hAnsi="Symbol"/>
          <w:i/>
          <w:sz w:val="22"/>
          <w:lang w:val="es-ES"/>
        </w:rPr>
        <w:t></w:t>
      </w:r>
      <w:r>
        <w:rPr>
          <w:rFonts w:ascii="Arial" w:hAnsi="Arial"/>
          <w:i/>
          <w:sz w:val="22"/>
          <w:lang w:val="es-ES"/>
        </w:rPr>
        <w:t>Y,</w:t>
      </w:r>
      <w:r>
        <w:rPr>
          <w:rFonts w:ascii="Arial" w:hAnsi="Arial"/>
          <w:i/>
          <w:sz w:val="22"/>
          <w:vertAlign w:val="subscript"/>
          <w:lang w:val="es-ES"/>
        </w:rPr>
        <w:t xml:space="preserve"> </w:t>
      </w:r>
      <w:r>
        <w:rPr>
          <w:rFonts w:ascii="Arial" w:hAnsi="Arial"/>
          <w:sz w:val="22"/>
          <w:lang w:val="es-ES"/>
        </w:rPr>
        <w:t xml:space="preserve">al conjunto borroso </w:t>
      </w:r>
      <w:r>
        <w:rPr>
          <w:rFonts w:ascii="Arial" w:hAnsi="Arial"/>
          <w:i/>
          <w:sz w:val="22"/>
          <w:lang w:val="es-ES"/>
        </w:rPr>
        <w:t>A</w:t>
      </w:r>
      <w:r>
        <w:rPr>
          <w:rFonts w:eastAsia="Symbol" w:cs="Symbol" w:ascii="Symbol" w:hAnsi="Symbol"/>
          <w:i/>
          <w:sz w:val="22"/>
          <w:lang w:val="es-ES"/>
        </w:rPr>
        <w:t></w:t>
      </w:r>
      <w:r>
        <w:rPr>
          <w:rFonts w:ascii="Arial" w:hAnsi="Arial"/>
          <w:i/>
          <w:sz w:val="22"/>
          <w:lang w:val="es-ES"/>
        </w:rPr>
        <w:t>V</w:t>
      </w:r>
      <w:r>
        <w:rPr>
          <w:rFonts w:ascii="Arial" w:hAnsi="Arial"/>
          <w:i/>
          <w:sz w:val="22"/>
          <w:vertAlign w:val="subscript"/>
          <w:lang w:val="es-ES"/>
        </w:rPr>
        <w:t>z</w:t>
      </w:r>
      <w:r>
        <w:rPr>
          <w:rFonts w:ascii="Arial" w:hAnsi="Arial"/>
          <w:i/>
          <w:sz w:val="22"/>
          <w:lang w:val="es-ES"/>
        </w:rPr>
        <w:t xml:space="preserve">, </w:t>
      </w:r>
      <w:r>
        <w:rPr>
          <w:rFonts w:ascii="Arial" w:hAnsi="Arial"/>
          <w:sz w:val="22"/>
          <w:lang w:val="es-ES"/>
        </w:rPr>
        <w:t>se denota</w:t>
      </w:r>
      <w:r>
        <w:rPr>
          <w:rFonts w:ascii="Arial" w:hAnsi="Arial"/>
          <w:i/>
          <w:sz w:val="22"/>
          <w:lang w:val="es-ES"/>
        </w:rPr>
        <w:t xml:space="preserve"> </w:t>
      </w:r>
      <w:r>
        <w:rPr>
          <w:rFonts w:ascii="Arial" w:hAnsi="Arial"/>
          <w:i/>
          <w:sz w:val="22"/>
          <w:lang w:val="es-ES"/>
        </w:rPr>
      </w:r>
      <m:oMath xmlns:m="http://schemas.openxmlformats.org/officeDocument/2006/math">
        <m:sSub>
          <m:e>
            <m:r>
              <w:rPr>
                <w:rFonts w:ascii="Cambria Math" w:hAnsi="Cambria Math"/>
              </w:rPr>
              <m:t xml:space="preserve">μ</m:t>
            </m:r>
          </m:e>
          <m:sub>
            <m:r>
              <w:rPr>
                <w:rFonts w:ascii="Cambria Math" w:hAnsi="Cambria Math"/>
              </w:rPr>
              <m:t xml:space="preserve">A</m:t>
            </m:r>
          </m:sub>
        </m:sSub>
        <m:d>
          <m:dPr>
            <m:begChr m:val="("/>
            <m:endChr m:val=")"/>
          </m:dPr>
          <m:e>
            <m:sSub>
              <m:e>
                <m:r>
                  <w:rPr>
                    <w:rFonts w:ascii="Cambria Math" w:hAnsi="Cambria Math"/>
                  </w:rPr>
                  <m:t xml:space="preserve">y</m:t>
                </m:r>
              </m:e>
              <m:sub>
                <m:r>
                  <w:rPr>
                    <w:rFonts w:ascii="Cambria Math" w:hAnsi="Cambria Math"/>
                  </w:rPr>
                  <m:t xml:space="preserve">i</m:t>
                </m:r>
              </m:sub>
            </m:sSub>
          </m:e>
        </m:d>
      </m:oMath>
      <w:r>
        <w:rPr>
          <w:rFonts w:eastAsia="Symbol" w:cs="Symbol" w:ascii="Symbol" w:hAnsi="Symbol"/>
          <w:sz w:val="22"/>
          <w:lang w:val="es-ES"/>
        </w:rPr>
        <w:t></w:t>
      </w:r>
      <w:r>
        <w:rPr>
          <w:rFonts w:ascii="Arial" w:hAnsi="Arial"/>
          <w:sz w:val="22"/>
          <w:lang w:val="es-ES"/>
        </w:rPr>
        <w:t xml:space="preserve"> </w:t>
      </w:r>
      <w:r>
        <w:rPr>
          <w:rFonts w:ascii="Arial" w:hAnsi="Arial"/>
          <w:i/>
          <w:sz w:val="22"/>
          <w:lang w:val="es-ES"/>
        </w:rPr>
        <w:t>[0,1]</w:t>
      </w:r>
      <w:r>
        <w:rPr>
          <w:rFonts w:ascii="Arial" w:hAnsi="Arial"/>
          <w:sz w:val="22"/>
          <w:lang w:val="es-ES"/>
        </w:rPr>
        <w:t xml:space="preserve"> y evalúa el </w:t>
      </w:r>
      <w:r>
        <w:rPr>
          <w:rFonts w:ascii="Arial" w:hAnsi="Arial"/>
          <w:i/>
          <w:sz w:val="22"/>
          <w:lang w:val="es-ES"/>
        </w:rPr>
        <w:t>z-ésimo</w:t>
      </w:r>
      <w:r>
        <w:rPr>
          <w:rFonts w:ascii="Arial" w:hAnsi="Arial"/>
          <w:sz w:val="22"/>
          <w:lang w:val="es-ES"/>
        </w:rPr>
        <w:t xml:space="preserve"> atributo del objeto </w:t>
      </w:r>
      <w:r>
        <w:rPr>
          <w:rFonts w:ascii="Arial" w:hAnsi="Arial"/>
          <w:i/>
          <w:sz w:val="22"/>
          <w:lang w:val="es-ES"/>
        </w:rPr>
        <w:t>y</w:t>
      </w:r>
      <w:r>
        <w:rPr>
          <w:rFonts w:ascii="Arial" w:hAnsi="Arial"/>
          <w:i/>
          <w:sz w:val="22"/>
          <w:vertAlign w:val="subscript"/>
          <w:lang w:val="es-ES"/>
        </w:rPr>
        <w:t xml:space="preserve">i </w:t>
      </w:r>
      <w:r>
        <w:rPr>
          <w:rFonts w:ascii="Arial" w:hAnsi="Arial"/>
          <w:sz w:val="22"/>
          <w:lang w:val="es-ES"/>
        </w:rPr>
        <w:t xml:space="preserve">en el conjunto borroso </w:t>
      </w:r>
      <w:r>
        <w:rPr>
          <w:rFonts w:ascii="Arial" w:hAnsi="Arial"/>
          <w:i/>
          <w:sz w:val="22"/>
          <w:lang w:val="es-ES"/>
        </w:rPr>
        <w:t>A.</w:t>
      </w:r>
    </w:p>
    <w:p>
      <w:pPr>
        <w:pStyle w:val="Papertext1"/>
        <w:widowControl w:val="false"/>
        <w:spacing w:lineRule="auto" w:line="312"/>
        <w:ind w:hanging="0"/>
        <w:rPr/>
      </w:pPr>
      <w:r>
        <w:rPr>
          <w:rFonts w:ascii="Arial" w:hAnsi="Arial"/>
          <w:b/>
          <w:sz w:val="22"/>
          <w:szCs w:val="22"/>
          <w:lang w:val="es-ES"/>
        </w:rPr>
        <w:t xml:space="preserve">Definición </w:t>
      </w:r>
      <w:r>
        <w:rPr>
          <w:rFonts w:ascii="Arial" w:hAnsi="Arial"/>
          <w:b/>
          <w:sz w:val="22"/>
          <w:szCs w:val="22"/>
          <w:lang w:val="es-ES"/>
        </w:rPr>
        <w:fldChar w:fldCharType="begin"/>
      </w:r>
      <w:r>
        <w:instrText> SEQ Definición \* ARABIC </w:instrText>
      </w:r>
      <w:r>
        <w:fldChar w:fldCharType="separate"/>
      </w:r>
      <w:r>
        <w:t>7</w:t>
      </w:r>
      <w:r>
        <w:fldChar w:fldCharType="end"/>
      </w:r>
      <w:r>
        <w:rPr>
          <w:rFonts w:ascii="Arial" w:hAnsi="Arial"/>
          <w:b/>
          <w:sz w:val="22"/>
          <w:szCs w:val="22"/>
          <w:lang w:val="es-ES"/>
        </w:rPr>
        <w:t>:</w:t>
      </w:r>
      <w:r>
        <w:rPr>
          <w:rFonts w:ascii="Arial" w:hAnsi="Arial"/>
          <w:sz w:val="22"/>
          <w:szCs w:val="22"/>
          <w:lang w:val="es-ES"/>
        </w:rPr>
        <w:t xml:space="preserve"> El grado de pertenencia del objeto </w:t>
      </w:r>
      <w:r>
        <w:rPr>
          <w:rFonts w:ascii="Arial" w:hAnsi="Arial"/>
          <w:i/>
          <w:sz w:val="22"/>
          <w:szCs w:val="22"/>
          <w:lang w:val="es-ES"/>
        </w:rPr>
        <w:t>y</w:t>
      </w:r>
      <w:r>
        <w:rPr>
          <w:rFonts w:ascii="Arial" w:hAnsi="Arial"/>
          <w:i/>
          <w:sz w:val="22"/>
          <w:szCs w:val="22"/>
          <w:vertAlign w:val="subscript"/>
          <w:lang w:val="es-ES"/>
        </w:rPr>
        <w:t>i</w:t>
      </w:r>
      <w:r>
        <w:rPr>
          <w:rFonts w:eastAsia="Symbol" w:cs="Symbol" w:ascii="Symbol" w:hAnsi="Symbol"/>
          <w:i/>
          <w:sz w:val="22"/>
          <w:szCs w:val="22"/>
          <w:lang w:val="es-ES"/>
        </w:rPr>
        <w:t></w:t>
      </w:r>
      <w:r>
        <w:rPr>
          <w:rFonts w:ascii="Arial" w:hAnsi="Arial"/>
          <w:i/>
          <w:sz w:val="22"/>
          <w:szCs w:val="22"/>
          <w:lang w:val="es-ES"/>
        </w:rPr>
        <w:t xml:space="preserve">Y </w:t>
      </w:r>
      <w:r>
        <w:rPr>
          <w:rFonts w:ascii="Arial" w:hAnsi="Arial"/>
          <w:sz w:val="22"/>
          <w:szCs w:val="22"/>
          <w:lang w:val="es-ES"/>
        </w:rPr>
        <w:t xml:space="preserve">a un resumen lingüístico </w:t>
      </w:r>
      <w:r>
        <w:rPr>
          <w:rFonts w:ascii="Arial" w:hAnsi="Arial"/>
          <w:i/>
          <w:sz w:val="22"/>
          <w:szCs w:val="22"/>
          <w:lang w:val="es-ES"/>
        </w:rPr>
        <w:t>SUMMARY,</w:t>
      </w:r>
      <w:r>
        <w:rPr>
          <w:rFonts w:ascii="Arial" w:hAnsi="Arial"/>
          <w:sz w:val="22"/>
          <w:szCs w:val="22"/>
          <w:lang w:val="es-ES"/>
        </w:rPr>
        <w:t xml:space="preserve"> se denota </w:t>
      </w:r>
      <w:r>
        <w:rPr>
          <w:rFonts w:ascii="Arial" w:hAnsi="Arial"/>
          <w:sz w:val="22"/>
          <w:szCs w:val="22"/>
          <w:lang w:val="es-ES"/>
        </w:rPr>
      </w:r>
      <m:oMath xmlns:m="http://schemas.openxmlformats.org/officeDocument/2006/math">
        <m:sSub>
          <m:e>
            <m:r>
              <w:rPr>
                <w:rFonts w:ascii="Cambria Math" w:hAnsi="Cambria Math"/>
              </w:rPr>
              <m:t xml:space="preserve">μ</m:t>
            </m:r>
          </m:e>
          <m:sub>
            <m:r>
              <m:rPr>
                <m:lit/>
                <m:nor/>
              </m:rPr>
              <w:rPr>
                <w:rFonts w:ascii="Cambria Math" w:hAnsi="Cambria Math"/>
              </w:rPr>
              <m:t xml:space="preserve">SUMMARY</m:t>
            </m:r>
          </m:sub>
        </m:sSub>
        <m:d>
          <m:dPr>
            <m:begChr m:val="("/>
            <m:endChr m:val=")"/>
          </m:dPr>
          <m:e>
            <m:sSub>
              <m:e>
                <m:r>
                  <w:rPr>
                    <w:rFonts w:ascii="Cambria Math" w:hAnsi="Cambria Math"/>
                  </w:rPr>
                  <m:t xml:space="preserve">y</m:t>
                </m:r>
              </m:e>
              <m:sub>
                <m:r>
                  <w:rPr>
                    <w:rFonts w:ascii="Cambria Math" w:hAnsi="Cambria Math"/>
                  </w:rPr>
                  <m:t xml:space="preserve">i</m:t>
                </m:r>
              </m:sub>
            </m:sSub>
          </m:e>
        </m:d>
      </m:oMath>
      <w:r>
        <w:rPr>
          <w:rFonts w:ascii="Arial" w:hAnsi="Arial"/>
          <w:sz w:val="22"/>
          <w:szCs w:val="22"/>
          <w:lang w:val="es-ES"/>
        </w:rPr>
        <w:t xml:space="preserve">, constituye una medida en que el objeto es cubierto o representado por un resumen lingüístico. Siendo </w:t>
      </w:r>
      <w:r>
        <w:rPr>
          <w:rFonts w:ascii="Arial" w:hAnsi="Arial"/>
          <w:i/>
          <w:sz w:val="22"/>
          <w:szCs w:val="22"/>
          <w:lang w:val="es-ES"/>
        </w:rPr>
        <w:t>SUMMARY</w:t>
      </w:r>
      <w:r>
        <w:rPr>
          <w:rFonts w:ascii="Arial" w:hAnsi="Arial"/>
          <w:sz w:val="22"/>
          <w:szCs w:val="22"/>
          <w:lang w:val="es-ES"/>
        </w:rPr>
        <w:t xml:space="preserve"> un resumen lingüístico en su forma generalizada “</w:t>
      </w:r>
      <w:r>
        <w:rPr>
          <w:rFonts w:ascii="Arial" w:hAnsi="Arial"/>
          <w:i/>
          <w:sz w:val="22"/>
          <w:szCs w:val="22"/>
          <w:lang w:val="es-ES"/>
        </w:rPr>
        <w:t>QRy´s are S”</w:t>
      </w:r>
      <w:r>
        <w:rPr>
          <w:rFonts w:ascii="Arial" w:hAnsi="Arial"/>
          <w:sz w:val="22"/>
          <w:szCs w:val="22"/>
          <w:lang w:val="es-ES"/>
        </w:rPr>
        <w:t xml:space="preserve"> y formado por la familia de conjuntos borrosos de </w:t>
      </w:r>
      <w:r>
        <w:rPr>
          <w:rFonts w:ascii="Arial" w:hAnsi="Arial"/>
          <w:i/>
          <w:iCs/>
          <w:sz w:val="22"/>
          <w:szCs w:val="22"/>
          <w:lang w:val="es-ES"/>
        </w:rPr>
        <w:t>Q</w:t>
      </w:r>
      <w:r>
        <w:rPr>
          <w:rFonts w:ascii="Arial" w:hAnsi="Arial"/>
          <w:sz w:val="22"/>
          <w:szCs w:val="22"/>
          <w:lang w:val="es-ES"/>
        </w:rPr>
        <w:t xml:space="preserve">, </w:t>
      </w:r>
      <w:r>
        <w:rPr>
          <w:rFonts w:ascii="Arial" w:hAnsi="Arial"/>
          <w:i/>
          <w:sz w:val="22"/>
          <w:szCs w:val="22"/>
          <w:lang w:val="es-ES"/>
        </w:rPr>
        <w:t>R={ R</w:t>
      </w:r>
      <w:r>
        <w:rPr>
          <w:rFonts w:ascii="Arial" w:hAnsi="Arial"/>
          <w:i/>
          <w:sz w:val="22"/>
          <w:szCs w:val="22"/>
          <w:vertAlign w:val="subscript"/>
          <w:lang w:val="es-ES"/>
        </w:rPr>
        <w:t>p</w:t>
      </w:r>
      <w:r>
        <w:rPr>
          <w:rFonts w:ascii="Arial" w:hAnsi="Arial"/>
          <w:i/>
          <w:sz w:val="22"/>
          <w:szCs w:val="22"/>
          <w:lang w:val="es-ES"/>
        </w:rPr>
        <w:t>}</w:t>
      </w:r>
      <w:r>
        <w:rPr>
          <w:rFonts w:ascii="Arial" w:hAnsi="Arial"/>
          <w:sz w:val="22"/>
          <w:szCs w:val="22"/>
          <w:lang w:val="es-ES"/>
        </w:rPr>
        <w:t xml:space="preserve"> y </w:t>
      </w:r>
      <w:r>
        <w:rPr>
          <w:rFonts w:ascii="Arial" w:hAnsi="Arial"/>
          <w:i/>
          <w:sz w:val="22"/>
          <w:szCs w:val="22"/>
          <w:lang w:val="es-ES"/>
        </w:rPr>
        <w:t>S={S</w:t>
      </w:r>
      <w:r>
        <w:rPr>
          <w:rFonts w:ascii="Arial" w:hAnsi="Arial"/>
          <w:i/>
          <w:sz w:val="22"/>
          <w:szCs w:val="22"/>
          <w:vertAlign w:val="subscript"/>
          <w:lang w:val="es-ES"/>
        </w:rPr>
        <w:t>1</w:t>
      </w:r>
      <w:r>
        <w:rPr>
          <w:rFonts w:ascii="Arial" w:hAnsi="Arial"/>
          <w:i/>
          <w:sz w:val="22"/>
          <w:szCs w:val="22"/>
          <w:lang w:val="es-ES"/>
        </w:rPr>
        <w:t>, S</w:t>
      </w:r>
      <w:r>
        <w:rPr>
          <w:rFonts w:ascii="Arial" w:hAnsi="Arial"/>
          <w:i/>
          <w:sz w:val="22"/>
          <w:szCs w:val="22"/>
          <w:vertAlign w:val="subscript"/>
          <w:lang w:val="es-ES"/>
        </w:rPr>
        <w:t>2</w:t>
      </w:r>
      <w:r>
        <w:rPr>
          <w:rFonts w:ascii="Arial" w:hAnsi="Arial"/>
          <w:i/>
          <w:sz w:val="22"/>
          <w:szCs w:val="22"/>
          <w:lang w:val="es-ES"/>
        </w:rPr>
        <w:t>, ...,S</w:t>
      </w:r>
      <w:r>
        <w:rPr>
          <w:rFonts w:ascii="Arial" w:hAnsi="Arial"/>
          <w:i/>
          <w:sz w:val="22"/>
          <w:szCs w:val="22"/>
          <w:vertAlign w:val="subscript"/>
          <w:lang w:val="es-ES"/>
        </w:rPr>
        <w:t>m</w:t>
      </w:r>
      <w:r>
        <w:rPr>
          <w:rFonts w:ascii="Arial" w:hAnsi="Arial"/>
          <w:i/>
          <w:sz w:val="22"/>
          <w:szCs w:val="22"/>
          <w:lang w:val="es-ES"/>
        </w:rPr>
        <w:t>}</w:t>
      </w:r>
      <w:r>
        <w:rPr>
          <w:rFonts w:ascii="Arial" w:hAnsi="Arial"/>
          <w:sz w:val="22"/>
          <w:szCs w:val="22"/>
          <w:lang w:val="es-ES"/>
        </w:rPr>
        <w:t xml:space="preserve">, donde </w:t>
      </w:r>
      <w:r>
        <w:rPr>
          <w:rFonts w:ascii="Arial" w:hAnsi="Arial"/>
          <w:i/>
          <w:sz w:val="22"/>
          <w:szCs w:val="22"/>
          <w:lang w:val="es-ES"/>
        </w:rPr>
        <w:t>Q</w:t>
      </w:r>
      <w:r>
        <w:rPr>
          <w:rFonts w:ascii="Arial" w:hAnsi="Arial"/>
          <w:sz w:val="22"/>
          <w:szCs w:val="22"/>
          <w:lang w:val="es-ES"/>
        </w:rPr>
        <w:t xml:space="preserve"> constituye un conjunto borroso de la variable lingüística del cuantificador </w:t>
      </w:r>
      <w:r>
        <w:rPr>
          <w:rFonts w:ascii="Arial" w:hAnsi="Arial"/>
          <w:i/>
          <w:iCs/>
          <w:sz w:val="22"/>
          <w:szCs w:val="22"/>
          <w:lang w:val="es-ES"/>
        </w:rPr>
        <w:t>Q</w:t>
      </w:r>
      <w:r>
        <w:rPr>
          <w:rFonts w:ascii="Arial" w:hAnsi="Arial"/>
          <w:sz w:val="22"/>
          <w:szCs w:val="22"/>
          <w:lang w:val="es-ES"/>
        </w:rPr>
        <w:t xml:space="preserve">, </w:t>
      </w:r>
      <w:r>
        <w:rPr>
          <w:rFonts w:ascii="Arial" w:hAnsi="Arial"/>
          <w:i/>
          <w:sz w:val="22"/>
          <w:szCs w:val="22"/>
          <w:lang w:val="es-ES"/>
        </w:rPr>
        <w:t>R</w:t>
      </w:r>
      <w:r>
        <w:rPr>
          <w:rFonts w:ascii="Arial" w:hAnsi="Arial"/>
          <w:sz w:val="22"/>
          <w:szCs w:val="22"/>
          <w:lang w:val="es-ES"/>
        </w:rPr>
        <w:t xml:space="preserve"> constituye la familia de conjuntos borrosos que conforman los filtros y </w:t>
      </w:r>
      <w:r>
        <w:rPr>
          <w:rFonts w:ascii="Arial" w:hAnsi="Arial"/>
          <w:i/>
          <w:sz w:val="22"/>
          <w:szCs w:val="22"/>
          <w:lang w:val="es-ES"/>
        </w:rPr>
        <w:t>S</w:t>
      </w:r>
      <w:r>
        <w:rPr>
          <w:rFonts w:ascii="Arial" w:hAnsi="Arial"/>
          <w:sz w:val="22"/>
          <w:szCs w:val="22"/>
          <w:lang w:val="es-ES"/>
        </w:rPr>
        <w:t xml:space="preserve"> la familia de conjuntos borrosos que representan los sumarizadores. El grado de pertenencia </w:t>
      </w:r>
      <w:r>
        <w:rPr>
          <w:rFonts w:ascii="Arial" w:hAnsi="Arial"/>
          <w:sz w:val="22"/>
          <w:szCs w:val="22"/>
          <w:lang w:val="es-ES"/>
        </w:rPr>
      </w:r>
      <m:oMath xmlns:m="http://schemas.openxmlformats.org/officeDocument/2006/math">
        <m:sSub>
          <m:e>
            <m:r>
              <w:rPr>
                <w:rFonts w:ascii="Cambria Math" w:hAnsi="Cambria Math"/>
              </w:rPr>
              <m:t xml:space="preserve">μ</m:t>
            </m:r>
          </m:e>
          <m:sub>
            <m:r>
              <m:rPr>
                <m:lit/>
                <m:nor/>
              </m:rPr>
              <w:rPr>
                <w:rFonts w:ascii="Cambria Math" w:hAnsi="Cambria Math"/>
              </w:rPr>
              <m:t xml:space="preserve">SUMMARY</m:t>
            </m:r>
          </m:sub>
        </m:sSub>
        <m:d>
          <m:dPr>
            <m:begChr m:val="("/>
            <m:endChr m:val=")"/>
          </m:dPr>
          <m:e>
            <m:sSub>
              <m:e>
                <m:r>
                  <w:rPr>
                    <w:rFonts w:ascii="Cambria Math" w:hAnsi="Cambria Math"/>
                  </w:rPr>
                  <m:t xml:space="preserve">y</m:t>
                </m:r>
              </m:e>
              <m:sub>
                <m:r>
                  <w:rPr>
                    <w:rFonts w:ascii="Cambria Math" w:hAnsi="Cambria Math"/>
                  </w:rPr>
                  <m:t xml:space="preserve">i</m:t>
                </m:r>
              </m:sub>
            </m:sSub>
          </m:e>
        </m:d>
      </m:oMath>
      <w:r>
        <w:rPr>
          <w:rFonts w:ascii="Arial" w:hAnsi="Arial"/>
          <w:sz w:val="22"/>
          <w:szCs w:val="22"/>
          <w:lang w:val="es-ES"/>
        </w:rPr>
        <w:t xml:space="preserve">, se calcula a partir de la aplicación de una </w:t>
      </w:r>
      <w:r>
        <w:rPr>
          <w:rFonts w:ascii="Arial" w:hAnsi="Arial"/>
          <w:i/>
          <w:sz w:val="22"/>
          <w:szCs w:val="22"/>
          <w:lang w:val="es-ES"/>
        </w:rPr>
        <w:t>t</w:t>
      </w:r>
      <w:r>
        <w:rPr>
          <w:rFonts w:ascii="Arial" w:hAnsi="Arial"/>
          <w:sz w:val="22"/>
          <w:szCs w:val="22"/>
          <w:lang w:val="es-ES"/>
        </w:rPr>
        <w:t xml:space="preserve">-norma al conjunto de los valores de pertenencia de los atributos del objeto </w:t>
      </w:r>
      <w:r>
        <w:rPr>
          <w:rFonts w:ascii="Arial" w:hAnsi="Arial"/>
          <w:i/>
          <w:sz w:val="22"/>
          <w:szCs w:val="22"/>
          <w:lang w:val="es-ES"/>
        </w:rPr>
        <w:t>y</w:t>
      </w:r>
      <w:r>
        <w:rPr>
          <w:rFonts w:ascii="Arial" w:hAnsi="Arial"/>
          <w:i/>
          <w:sz w:val="22"/>
          <w:szCs w:val="22"/>
          <w:vertAlign w:val="subscript"/>
          <w:lang w:val="es-ES"/>
        </w:rPr>
        <w:t>i</w:t>
      </w:r>
      <w:r>
        <w:rPr>
          <w:rFonts w:ascii="Arial" w:hAnsi="Arial"/>
          <w:sz w:val="22"/>
          <w:szCs w:val="22"/>
          <w:lang w:val="es-ES"/>
        </w:rPr>
        <w:t xml:space="preserve"> a la familia de los conjuntos borrosos que forman el </w:t>
      </w:r>
      <w:r>
        <w:rPr>
          <w:rFonts w:ascii="Arial" w:hAnsi="Arial"/>
          <w:i/>
          <w:sz w:val="22"/>
          <w:szCs w:val="22"/>
          <w:lang w:val="es-ES"/>
        </w:rPr>
        <w:t>SUMMARY</w:t>
      </w:r>
      <w:r>
        <w:rPr>
          <w:rFonts w:ascii="Arial" w:hAnsi="Arial"/>
          <w:sz w:val="22"/>
          <w:szCs w:val="22"/>
          <w:lang w:val="es-ES"/>
        </w:rPr>
        <w:t xml:space="preserve">, ver </w:t>
      </w:r>
      <w:r>
        <w:rPr>
          <w:rFonts w:ascii="Arial" w:hAnsi="Arial"/>
          <w:sz w:val="22"/>
          <w:szCs w:val="22"/>
          <w:lang w:val="es-ES"/>
        </w:rPr>
        <w:fldChar w:fldCharType="begin"/>
      </w:r>
      <w:r>
        <w:instrText> REF _Ref48851645 \h </w:instrText>
      </w:r>
      <w:r>
        <w:fldChar w:fldCharType="separate"/>
      </w:r>
      <w:r>
        <w:t xml:space="preserve">Ecuación </w:t>
      </w:r>
      <w:r>
        <w:fldChar w:fldCharType="end"/>
      </w:r>
      <w:r>
        <w:rPr>
          <w:rFonts w:ascii="Arial" w:hAnsi="Arial"/>
          <w:sz w:val="22"/>
          <w:szCs w:val="22"/>
          <w:lang w:val="es-ES"/>
        </w:rPr>
        <w:t xml:space="preserve">, </w:t>
      </w:r>
      <w:r>
        <w:rPr>
          <w:rFonts w:ascii="Arial" w:hAnsi="Arial"/>
          <w:sz w:val="22"/>
          <w:szCs w:val="22"/>
          <w:lang w:val="es-ES"/>
        </w:rPr>
        <w:fldChar w:fldCharType="begin"/>
      </w:r>
      <w:r>
        <w:instrText> REF _Ref48851647 \h </w:instrText>
      </w:r>
      <w:r>
        <w:fldChar w:fldCharType="separate"/>
      </w:r>
      <w:r>
        <w:t xml:space="preserve">Ecuación </w:t>
      </w:r>
      <w:r>
        <w:fldChar w:fldCharType="end"/>
      </w:r>
      <w:r>
        <w:rPr>
          <w:rFonts w:ascii="Arial" w:hAnsi="Arial"/>
          <w:sz w:val="22"/>
          <w:szCs w:val="22"/>
          <w:lang w:val="es-ES"/>
        </w:rPr>
        <w:t xml:space="preserve"> y la </w:t>
      </w:r>
      <w:r>
        <w:rPr>
          <w:rFonts w:ascii="Arial" w:hAnsi="Arial"/>
          <w:sz w:val="22"/>
          <w:szCs w:val="22"/>
          <w:lang w:val="es-ES"/>
        </w:rPr>
        <w:fldChar w:fldCharType="begin"/>
      </w:r>
      <w:r>
        <w:instrText> REF _Ref48910754 \h </w:instrText>
      </w:r>
      <w:r>
        <w:fldChar w:fldCharType="separate"/>
      </w:r>
      <w:r>
        <w:t>Definición 6</w:t>
      </w:r>
      <w:r>
        <w:fldChar w:fldCharType="end"/>
      </w:r>
      <w:r>
        <w:rPr>
          <w:rFonts w:ascii="Arial" w:hAnsi="Arial"/>
          <w:sz w:val="22"/>
          <w:szCs w:val="22"/>
          <w:lang w:val="es-ES"/>
        </w:rPr>
        <w:t>.</w:t>
      </w:r>
    </w:p>
    <w:tbl>
      <w:tblPr>
        <w:tblStyle w:val="Tablaconcuadrcula"/>
        <w:tblW w:w="5000" w:type="pct"/>
        <w:jc w:val="left"/>
        <w:tblInd w:w="0" w:type="dxa"/>
        <w:tblCellMar>
          <w:top w:w="0" w:type="dxa"/>
          <w:left w:w="123" w:type="dxa"/>
          <w:bottom w:w="0" w:type="dxa"/>
          <w:right w:w="108" w:type="dxa"/>
        </w:tblCellMar>
        <w:tblLook w:val="04a0" w:noVBand="1" w:noHBand="0" w:lastColumn="0" w:firstColumn="1" w:lastRow="0" w:firstRow="1"/>
      </w:tblPr>
      <w:tblGrid>
        <w:gridCol w:w="6911"/>
        <w:gridCol w:w="2067"/>
      </w:tblGrid>
      <w:tr>
        <w:trPr>
          <w:trHeight w:val="1280" w:hRule="atLeast"/>
        </w:trPr>
        <w:tc>
          <w:tcPr>
            <w:tcW w:w="6911" w:type="dxa"/>
            <w:tcBorders>
              <w:top w:val="nil"/>
              <w:left w:val="nil"/>
              <w:bottom w:val="nil"/>
              <w:right w:val="nil"/>
              <w:insideH w:val="nil"/>
              <w:insideV w:val="nil"/>
            </w:tcBorders>
            <w:shd w:color="auto" w:fill="auto" w:val="clear"/>
            <w:vAlign w:val="center"/>
          </w:tcPr>
          <w:p>
            <w:pPr>
              <w:pStyle w:val="Caption1"/>
              <w:ind w:left="0" w:hanging="0"/>
              <w:jc w:val="left"/>
              <w:rPr>
                <w:i/>
                <w:i/>
                <w:sz w:val="22"/>
              </w:rPr>
            </w:pPr>
            <w:r>
              <w:rPr>
                <w:i/>
                <w:sz w:val="22"/>
              </w:rPr>
            </w:r>
          </w:p>
          <w:p>
            <w:pPr>
              <w:pStyle w:val="Caption1"/>
              <w:ind w:left="0" w:hanging="0"/>
              <w:jc w:val="left"/>
              <w:rPr>
                <w:i/>
                <w:i/>
                <w:sz w:val="22"/>
              </w:rPr>
            </w:pPr>
            <w:r>
              <w:rPr>
                <w:i/>
                <w:sz w:val="22"/>
              </w:rPr>
            </w:r>
          </w:p>
          <w:p>
            <w:pPr>
              <w:pStyle w:val="Caption1"/>
              <w:spacing w:lineRule="auto" w:line="240" w:before="80" w:after="240"/>
              <w:ind w:left="476" w:hanging="0"/>
              <w:jc w:val="left"/>
              <w:rPr>
                <w:sz w:val="24"/>
                <w:szCs w:val="24"/>
                <w:lang w:val="en-US"/>
              </w:rPr>
            </w:pPr>
            <w:r>
              <w:rPr>
                <w:i/>
              </w:rPr>
              <w:t xml:space="preserve">SUMMARY </w:t>
            </w:r>
            <w:r>
              <w:rPr>
                <w:sz w:val="22"/>
              </w:rPr>
              <w:t xml:space="preserve">tiene la </w:t>
            </w:r>
            <w:r>
              <w:rPr/>
              <w:t>estructura</w:t>
            </w:r>
            <w:r>
              <w:rPr>
                <w:i/>
              </w:rPr>
              <w:t xml:space="preserve"> “Qy´s are S”, R = </w:t>
            </w:r>
            <w:r>
              <w:rPr>
                <w:rFonts w:eastAsia="Symbol" w:cs="Symbol" w:ascii="Symbol" w:hAnsi="Symbol"/>
                <w:i/>
              </w:rPr>
              <w:t></w:t>
            </w:r>
          </w:p>
        </w:tc>
        <w:tc>
          <w:tcPr>
            <w:tcW w:w="2067" w:type="dxa"/>
            <w:tcBorders>
              <w:top w:val="nil"/>
              <w:left w:val="nil"/>
              <w:bottom w:val="nil"/>
              <w:right w:val="nil"/>
              <w:insideH w:val="nil"/>
              <w:insideV w:val="nil"/>
            </w:tcBorders>
            <w:shd w:color="auto" w:fill="auto" w:val="clear"/>
            <w:vAlign w:val="center"/>
          </w:tcPr>
          <w:p>
            <w:pPr>
              <w:pStyle w:val="Normal"/>
              <w:spacing w:before="80" w:after="60"/>
              <w:jc w:val="right"/>
              <w:rPr/>
            </w:pPr>
            <w:bookmarkStart w:id="1399" w:name="_Ref48851645"/>
            <w:r>
              <w:rPr/>
              <w:t xml:space="preserve">Ecuación </w:t>
            </w:r>
            <w:bookmarkEnd w:id="1399"/>
            <w:r>
              <w:rPr/>
              <w:fldChar w:fldCharType="begin"/>
            </w:r>
            <w:r>
              <w:instrText> SEQ Ecuación \* ARABIC </w:instrText>
            </w:r>
            <w:r>
              <w:fldChar w:fldCharType="separate"/>
            </w:r>
            <w:r>
              <w:t>33</w:t>
            </w:r>
            <w:r>
              <w:fldChar w:fldCharType="end"/>
            </w:r>
          </w:p>
        </w:tc>
      </w:tr>
      <w:tr>
        <w:trPr>
          <w:trHeight w:val="430" w:hRule="atLeast"/>
        </w:trPr>
        <w:tc>
          <w:tcPr>
            <w:tcW w:w="6911" w:type="dxa"/>
            <w:tcBorders>
              <w:top w:val="nil"/>
              <w:left w:val="nil"/>
              <w:bottom w:val="nil"/>
              <w:right w:val="nil"/>
              <w:insideH w:val="nil"/>
              <w:insideV w:val="nil"/>
            </w:tcBorders>
            <w:shd w:color="auto" w:fill="auto" w:val="clear"/>
            <w:vAlign w:val="center"/>
          </w:tcPr>
          <w:p>
            <w:pPr>
              <w:pStyle w:val="Caption1"/>
              <w:spacing w:lineRule="auto" w:line="480" w:before="240" w:after="60"/>
              <w:ind w:left="456" w:hanging="0"/>
              <w:jc w:val="left"/>
              <w:rPr>
                <w:lang w:val="en-US" w:eastAsia="en-US"/>
              </w:rPr>
            </w:pPr>
            <w:r>
              <w:rPr>
                <w:i/>
                <w:lang w:val="en-US"/>
              </w:rPr>
              <w:t xml:space="preserve">SUMMARY </w:t>
            </w:r>
            <w:r>
              <w:rPr>
                <w:lang w:val="en-US"/>
              </w:rPr>
              <w:t>tiene la estructura</w:t>
            </w:r>
            <w:r>
              <w:rPr>
                <w:i/>
                <w:sz w:val="22"/>
                <w:lang w:val="en-US"/>
              </w:rPr>
              <w:t xml:space="preserve"> </w:t>
            </w:r>
            <w:r>
              <w:rPr>
                <w:lang w:val="en-US"/>
              </w:rPr>
              <w:t>“</w:t>
            </w:r>
            <w:r>
              <w:rPr>
                <w:i/>
                <w:lang w:val="en-US"/>
              </w:rPr>
              <w:t>QRy´s are S”</w:t>
            </w:r>
          </w:p>
        </w:tc>
        <w:tc>
          <w:tcPr>
            <w:tcW w:w="2067" w:type="dxa"/>
            <w:tcBorders>
              <w:top w:val="nil"/>
              <w:left w:val="nil"/>
              <w:bottom w:val="nil"/>
              <w:right w:val="nil"/>
              <w:insideH w:val="nil"/>
              <w:insideV w:val="nil"/>
            </w:tcBorders>
            <w:shd w:color="auto" w:fill="auto" w:val="clear"/>
            <w:vAlign w:val="center"/>
          </w:tcPr>
          <w:p>
            <w:pPr>
              <w:pStyle w:val="Normal"/>
              <w:spacing w:before="80" w:after="60"/>
              <w:jc w:val="right"/>
              <w:rPr/>
            </w:pPr>
            <w:bookmarkStart w:id="1400" w:name="_Ref48851647"/>
            <w:r>
              <w:rPr/>
              <w:t xml:space="preserve">Ecuación </w:t>
            </w:r>
            <w:bookmarkEnd w:id="1400"/>
            <w:r>
              <w:rPr/>
              <w:fldChar w:fldCharType="begin"/>
            </w:r>
            <w:r>
              <w:instrText> SEQ Ecuación \* ARABIC </w:instrText>
            </w:r>
            <w:r>
              <w:fldChar w:fldCharType="separate"/>
            </w:r>
            <w:r>
              <w:t>34</w:t>
            </w:r>
            <w:r>
              <w:fldChar w:fldCharType="end"/>
            </w:r>
          </w:p>
        </w:tc>
      </w:tr>
      <w:tr>
        <w:trPr>
          <w:trHeight w:val="430" w:hRule="atLeast"/>
        </w:trPr>
        <w:tc>
          <w:tcPr>
            <w:tcW w:w="8978" w:type="dxa"/>
            <w:gridSpan w:val="2"/>
            <w:tcBorders>
              <w:top w:val="nil"/>
              <w:left w:val="nil"/>
              <w:bottom w:val="nil"/>
              <w:right w:val="nil"/>
              <w:insideH w:val="nil"/>
              <w:insideV w:val="nil"/>
            </w:tcBorders>
            <w:shd w:color="auto" w:fill="auto" w:val="clear"/>
            <w:vAlign w:val="center"/>
          </w:tcPr>
          <w:p>
            <w:pPr>
              <w:pStyle w:val="Papertext1"/>
              <w:widowControl w:val="false"/>
              <w:spacing w:lineRule="auto" w:line="312"/>
              <w:ind w:left="476" w:hanging="583"/>
              <w:rPr>
                <w:rFonts w:ascii="Arial" w:hAnsi="Arial"/>
                <w:b/>
                <w:b/>
                <w:sz w:val="22"/>
                <w:szCs w:val="22"/>
                <w:lang w:val="es-ES"/>
              </w:rPr>
            </w:pPr>
            <w:r>
              <w:rPr>
                <w:rFonts w:ascii="Arial" w:hAnsi="Arial"/>
                <w:sz w:val="22"/>
                <w:szCs w:val="22"/>
                <w:lang w:val="es-ES"/>
              </w:rPr>
              <w:t xml:space="preserve">Donde </w:t>
            </w:r>
            <w:r>
              <w:rPr>
                <w:rFonts w:ascii="Arial" w:hAnsi="Arial"/>
                <w:sz w:val="22"/>
                <w:szCs w:val="22"/>
                <w:lang w:val="es-ES"/>
              </w:rPr>
            </w:r>
            <m:oMath xmlns:m="http://schemas.openxmlformats.org/officeDocument/2006/math">
              <m:sSub>
                <m:e>
                  <m:r>
                    <w:rPr>
                      <w:rFonts w:ascii="Cambria Math" w:hAnsi="Cambria Math"/>
                    </w:rPr>
                    <m:t xml:space="preserve">μ</m:t>
                  </m:r>
                </m:e>
                <m:sub>
                  <m:sSub>
                    <m:e>
                      <m:r>
                        <w:rPr>
                          <w:rFonts w:ascii="Cambria Math" w:hAnsi="Cambria Math"/>
                        </w:rPr>
                        <m:t xml:space="preserve">R</m:t>
                      </m:r>
                    </m:e>
                    <m:sub>
                      <m:r>
                        <w:rPr>
                          <w:rFonts w:ascii="Cambria Math" w:hAnsi="Cambria Math"/>
                        </w:rPr>
                        <m:t xml:space="preserve">k</m:t>
                      </m:r>
                    </m:sub>
                  </m:sSub>
                </m:sub>
              </m:sSub>
              <m:d>
                <m:dPr>
                  <m:begChr m:val="("/>
                  <m:endChr m:val=")"/>
                </m:dPr>
                <m:e>
                  <m:sSub>
                    <m:e>
                      <m:r>
                        <w:rPr>
                          <w:rFonts w:ascii="Cambria Math" w:hAnsi="Cambria Math"/>
                        </w:rPr>
                        <m:t xml:space="preserve">y</m:t>
                      </m:r>
                    </m:e>
                    <m:sub>
                      <m:r>
                        <w:rPr>
                          <w:rFonts w:ascii="Cambria Math" w:hAnsi="Cambria Math"/>
                        </w:rPr>
                        <m:t xml:space="preserve">i</m:t>
                      </m:r>
                    </m:sub>
                  </m:sSub>
                </m:e>
              </m:d>
            </m:oMath>
            <w:r>
              <w:rPr>
                <w:rFonts w:ascii="Arial" w:hAnsi="Arial"/>
                <w:sz w:val="22"/>
                <w:szCs w:val="22"/>
                <w:lang w:val="es-ES"/>
              </w:rPr>
              <w:t xml:space="preserve"> representa la evaluación del objeto</w:t>
            </w:r>
            <w:r>
              <w:rPr>
                <w:rFonts w:ascii="Arial" w:hAnsi="Arial"/>
                <w:i/>
                <w:sz w:val="22"/>
                <w:szCs w:val="22"/>
                <w:lang w:val="es-ES"/>
              </w:rPr>
              <w:t xml:space="preserve"> y</w:t>
            </w:r>
            <w:r>
              <w:rPr>
                <w:rFonts w:ascii="Arial" w:hAnsi="Arial"/>
                <w:i/>
                <w:sz w:val="22"/>
                <w:szCs w:val="22"/>
                <w:vertAlign w:val="subscript"/>
                <w:lang w:val="es-ES"/>
              </w:rPr>
              <w:t xml:space="preserve">i </w:t>
            </w:r>
            <w:r>
              <w:rPr>
                <w:rFonts w:ascii="Arial" w:hAnsi="Arial"/>
                <w:sz w:val="22"/>
                <w:szCs w:val="22"/>
                <w:lang w:val="es-ES"/>
              </w:rPr>
              <w:t xml:space="preserve">en la función de pertenencia de los conjuntos borrosos de </w:t>
            </w:r>
            <w:r>
              <w:rPr>
                <w:rFonts w:ascii="Arial" w:hAnsi="Arial"/>
                <w:i/>
                <w:sz w:val="22"/>
                <w:szCs w:val="22"/>
                <w:lang w:val="es-ES"/>
              </w:rPr>
              <w:t>R</w:t>
            </w:r>
            <w:r>
              <w:rPr>
                <w:rFonts w:ascii="Arial" w:hAnsi="Arial"/>
                <w:sz w:val="22"/>
                <w:szCs w:val="22"/>
                <w:lang w:val="es-ES"/>
              </w:rPr>
              <w:t xml:space="preserve"> y </w:t>
            </w:r>
            <w:r>
              <w:rPr>
                <w:rFonts w:ascii="Arial" w:hAnsi="Arial"/>
                <w:sz w:val="22"/>
                <w:szCs w:val="22"/>
                <w:lang w:val="es-ES"/>
              </w:rPr>
            </w:r>
            <m:oMath xmlns:m="http://schemas.openxmlformats.org/officeDocument/2006/math">
              <m:sSub>
                <m:e>
                  <m:r>
                    <w:rPr>
                      <w:rFonts w:ascii="Cambria Math" w:hAnsi="Cambria Math"/>
                    </w:rPr>
                    <m:t xml:space="preserve">μ</m:t>
                  </m:r>
                </m:e>
                <m:sub>
                  <m:sSub>
                    <m:e>
                      <m:r>
                        <w:rPr>
                          <w:rFonts w:ascii="Cambria Math" w:hAnsi="Cambria Math"/>
                        </w:rPr>
                        <m:t xml:space="preserve">S</m:t>
                      </m:r>
                    </m:e>
                    <m:sub>
                      <m:r>
                        <w:rPr>
                          <w:rFonts w:ascii="Cambria Math" w:hAnsi="Cambria Math"/>
                        </w:rPr>
                        <m:t xml:space="preserve">j</m:t>
                      </m:r>
                    </m:sub>
                  </m:sSub>
                </m:sub>
              </m:sSub>
              <m:d>
                <m:dPr>
                  <m:begChr m:val="("/>
                  <m:endChr m:val=")"/>
                </m:dPr>
                <m:e>
                  <m:sSub>
                    <m:e>
                      <m:r>
                        <w:rPr>
                          <w:rFonts w:ascii="Cambria Math" w:hAnsi="Cambria Math"/>
                        </w:rPr>
                        <m:t xml:space="preserve">y</m:t>
                      </m:r>
                    </m:e>
                    <m:sub>
                      <m:r>
                        <w:rPr>
                          <w:rFonts w:ascii="Cambria Math" w:hAnsi="Cambria Math"/>
                        </w:rPr>
                        <m:t xml:space="preserve">i</m:t>
                      </m:r>
                    </m:sub>
                  </m:sSub>
                </m:e>
              </m:d>
            </m:oMath>
            <w:r>
              <w:rPr>
                <w:rFonts w:ascii="Arial" w:hAnsi="Arial"/>
                <w:sz w:val="22"/>
                <w:szCs w:val="22"/>
                <w:lang w:val="es-ES"/>
              </w:rPr>
              <w:t>, representa la evaluación del objeto</w:t>
            </w:r>
            <w:r>
              <w:rPr>
                <w:rFonts w:ascii="Arial" w:hAnsi="Arial"/>
                <w:i/>
                <w:sz w:val="22"/>
                <w:szCs w:val="22"/>
                <w:lang w:val="es-ES"/>
              </w:rPr>
              <w:t xml:space="preserve"> y</w:t>
            </w:r>
            <w:r>
              <w:rPr>
                <w:rFonts w:ascii="Arial" w:hAnsi="Arial"/>
                <w:i/>
                <w:sz w:val="22"/>
                <w:szCs w:val="22"/>
                <w:vertAlign w:val="subscript"/>
                <w:lang w:val="es-ES"/>
              </w:rPr>
              <w:t xml:space="preserve">i </w:t>
            </w:r>
            <w:r>
              <w:rPr>
                <w:rFonts w:ascii="Arial" w:hAnsi="Arial"/>
                <w:sz w:val="22"/>
                <w:szCs w:val="22"/>
                <w:lang w:val="es-ES"/>
              </w:rPr>
              <w:t xml:space="preserve">en la función de pertenencia de los conjuntos borrosos de </w:t>
            </w:r>
            <w:r>
              <w:rPr>
                <w:rFonts w:ascii="Arial" w:hAnsi="Arial"/>
                <w:i/>
                <w:sz w:val="22"/>
                <w:szCs w:val="22"/>
                <w:lang w:val="es-ES"/>
              </w:rPr>
              <w:t>S</w:t>
            </w:r>
            <w:r>
              <w:rPr>
                <w:rFonts w:ascii="Arial" w:hAnsi="Arial"/>
                <w:i/>
                <w:sz w:val="22"/>
                <w:szCs w:val="22"/>
                <w:vertAlign w:val="subscript"/>
                <w:lang w:val="es-ES"/>
              </w:rPr>
              <w:t>j</w:t>
            </w:r>
            <w:r>
              <w:rPr>
                <w:rFonts w:ascii="Arial" w:hAnsi="Arial"/>
                <w:sz w:val="22"/>
                <w:szCs w:val="22"/>
                <w:lang w:val="es-ES"/>
              </w:rPr>
              <w:t>.</w:t>
            </w:r>
          </w:p>
        </w:tc>
      </w:tr>
    </w:tbl>
    <w:p>
      <w:pPr>
        <w:pStyle w:val="Papertext1"/>
        <w:widowControl w:val="false"/>
        <w:spacing w:lineRule="auto" w:line="312" w:before="240" w:after="60"/>
        <w:ind w:hanging="0"/>
        <w:rPr/>
      </w:pPr>
      <w:bookmarkStart w:id="1401" w:name="_Ref49970531"/>
      <w:r>
        <w:rPr>
          <w:rFonts w:ascii="Arial" w:hAnsi="Arial"/>
          <w:b/>
          <w:sz w:val="22"/>
          <w:szCs w:val="22"/>
          <w:lang w:val="es-ES"/>
        </w:rPr>
        <w:t xml:space="preserve">Definición </w:t>
      </w:r>
      <w:r>
        <w:rPr>
          <w:rFonts w:ascii="Arial" w:hAnsi="Arial"/>
          <w:b/>
          <w:sz w:val="22"/>
          <w:szCs w:val="22"/>
          <w:lang w:val="es-ES"/>
        </w:rPr>
        <w:fldChar w:fldCharType="begin"/>
      </w:r>
      <w:r>
        <w:instrText> SEQ Definición \* ARABIC </w:instrText>
      </w:r>
      <w:r>
        <w:fldChar w:fldCharType="separate"/>
      </w:r>
      <w:r>
        <w:t>8</w:t>
      </w:r>
      <w:r>
        <w:fldChar w:fldCharType="end"/>
      </w:r>
      <w:bookmarkEnd w:id="1401"/>
      <w:r>
        <w:rPr>
          <w:rFonts w:ascii="Arial" w:hAnsi="Arial"/>
          <w:b/>
          <w:sz w:val="22"/>
          <w:szCs w:val="22"/>
          <w:lang w:val="es-ES"/>
        </w:rPr>
        <w:t>:</w:t>
      </w:r>
      <w:r>
        <w:rPr>
          <w:rFonts w:ascii="Arial" w:hAnsi="Arial"/>
          <w:sz w:val="22"/>
          <w:szCs w:val="22"/>
          <w:lang w:val="es-ES"/>
        </w:rPr>
        <w:t xml:space="preserve"> Sea </w:t>
      </w:r>
      <w:r>
        <w:rPr>
          <w:rFonts w:ascii="Arial" w:hAnsi="Arial"/>
          <w:i/>
          <w:sz w:val="22"/>
          <w:szCs w:val="22"/>
          <w:lang w:val="es-ES"/>
        </w:rPr>
        <w:t>SUMMARY</w:t>
      </w:r>
      <w:r>
        <w:rPr>
          <w:rFonts w:ascii="Arial" w:hAnsi="Arial"/>
          <w:sz w:val="22"/>
          <w:szCs w:val="22"/>
          <w:lang w:val="es-ES"/>
        </w:rPr>
        <w:t xml:space="preserve"> un resumen lingüístico en su forma generalizada “</w:t>
      </w:r>
      <w:r>
        <w:rPr>
          <w:rFonts w:ascii="Arial" w:hAnsi="Arial"/>
          <w:i/>
          <w:sz w:val="22"/>
          <w:szCs w:val="22"/>
          <w:lang w:val="es-ES"/>
        </w:rPr>
        <w:t>QRy´s are S”</w:t>
      </w:r>
      <w:r>
        <w:rPr>
          <w:rFonts w:ascii="Arial" w:hAnsi="Arial"/>
          <w:sz w:val="22"/>
          <w:szCs w:val="22"/>
          <w:lang w:val="es-ES"/>
        </w:rPr>
        <w:t xml:space="preserve">, se define como aproximación inferior en grado </w:t>
      </w:r>
      <w:r>
        <w:rPr>
          <w:rFonts w:eastAsia="Symbol" w:cs="Symbol" w:ascii="Symbol" w:hAnsi="Symbol"/>
          <w:i/>
          <w:sz w:val="22"/>
          <w:szCs w:val="22"/>
          <w:lang w:val="es-ES"/>
        </w:rPr>
        <w:t></w:t>
      </w:r>
      <w:r>
        <w:rPr>
          <w:rFonts w:ascii="Arial" w:hAnsi="Arial"/>
          <w:i/>
          <w:sz w:val="22"/>
          <w:szCs w:val="22"/>
          <w:lang w:val="es-ES"/>
        </w:rPr>
        <w:t xml:space="preserve"> </w:t>
      </w:r>
      <w:r>
        <w:rPr>
          <w:rFonts w:ascii="Arial" w:hAnsi="Arial"/>
          <w:sz w:val="22"/>
          <w:szCs w:val="22"/>
          <w:lang w:val="es-ES"/>
        </w:rPr>
        <w:t xml:space="preserve">de </w:t>
      </w:r>
      <w:r>
        <w:rPr>
          <w:rFonts w:ascii="Arial" w:hAnsi="Arial"/>
          <w:i/>
          <w:sz w:val="22"/>
          <w:szCs w:val="22"/>
          <w:lang w:val="es-ES"/>
        </w:rPr>
        <w:t>SUMMARY</w:t>
      </w:r>
      <w:r>
        <w:rPr>
          <w:rFonts w:ascii="Arial" w:hAnsi="Arial"/>
          <w:sz w:val="22"/>
          <w:szCs w:val="22"/>
          <w:lang w:val="es-ES"/>
        </w:rPr>
        <w:t xml:space="preserve"> y se denota </w:t>
      </w:r>
      <w:r>
        <w:rPr>
          <w:rFonts w:ascii="Arial" w:hAnsi="Arial"/>
          <w:sz w:val="22"/>
          <w:szCs w:val="22"/>
          <w:lang w:val="es-ES"/>
        </w:rPr>
      </w:r>
      <m:oMath xmlns:m="http://schemas.openxmlformats.org/officeDocument/2006/math">
        <m:eqArr>
          <m:e>
            <m:r>
              <w:rPr>
                <w:rFonts w:ascii="Cambria Math" w:hAnsi="Cambria Math"/>
              </w:rPr>
              <m:t xml:space="preserve">α</m:t>
            </m:r>
            <m:r>
              <w:rPr>
                <w:rFonts w:ascii="Cambria Math" w:hAnsi="Cambria Math"/>
              </w:rPr>
              <m:t xml:space="preserve">∗</m:t>
            </m:r>
            <m:d>
              <m:dPr>
                <m:begChr m:val="("/>
                <m:endChr m:val=")"/>
              </m:dPr>
              <m:e>
                <m:r>
                  <w:rPr>
                    <w:rFonts w:ascii="Cambria Math" w:hAnsi="Cambria Math"/>
                  </w:rPr>
                  <m:t xml:space="preserve">Y</m:t>
                </m:r>
              </m:e>
            </m:d>
          </m:e>
          <m:e>
            <m:r>
              <w:rPr>
                <w:rFonts w:ascii="Cambria Math" w:hAnsi="Cambria Math"/>
              </w:rPr>
              <m:t xml:space="preserve">SUMMAR</m:t>
            </m:r>
            <m:sSub>
              <m:e>
                <m:r>
                  <w:rPr>
                    <w:rFonts w:ascii="Cambria Math" w:hAnsi="Cambria Math"/>
                  </w:rPr>
                  <m:t xml:space="preserve">Y</m:t>
                </m:r>
              </m:e>
              <m:sub/>
            </m:sSub>
          </m:e>
        </m:eqArr>
      </m:oMath>
      <w:r>
        <w:rPr>
          <w:rFonts w:ascii="Arial" w:hAnsi="Arial"/>
          <w:sz w:val="22"/>
          <w:szCs w:val="22"/>
          <w:lang w:val="es-ES"/>
        </w:rPr>
        <w:t xml:space="preserve"> al conjunto de objetos </w:t>
      </w:r>
      <w:r>
        <w:rPr>
          <w:rFonts w:ascii="Arial" w:hAnsi="Arial"/>
          <w:i/>
          <w:sz w:val="22"/>
          <w:szCs w:val="22"/>
          <w:lang w:val="es-ES"/>
        </w:rPr>
        <w:t>y</w:t>
      </w:r>
      <w:r>
        <w:rPr>
          <w:rFonts w:ascii="Arial" w:hAnsi="Arial"/>
          <w:i/>
          <w:sz w:val="22"/>
          <w:szCs w:val="22"/>
          <w:vertAlign w:val="subscript"/>
          <w:lang w:val="es-ES"/>
        </w:rPr>
        <w:t>i</w:t>
      </w:r>
      <w:r>
        <w:rPr>
          <w:rFonts w:eastAsia="Symbol" w:cs="Symbol" w:ascii="Symbol" w:hAnsi="Symbol"/>
          <w:i/>
          <w:sz w:val="22"/>
          <w:szCs w:val="22"/>
          <w:lang w:val="es-ES"/>
        </w:rPr>
        <w:t></w:t>
      </w:r>
      <w:r>
        <w:rPr>
          <w:rFonts w:ascii="Arial" w:hAnsi="Arial"/>
          <w:i/>
          <w:sz w:val="22"/>
          <w:szCs w:val="22"/>
          <w:lang w:val="es-ES"/>
        </w:rPr>
        <w:t xml:space="preserve"> Y, </w:t>
      </w:r>
      <w:r>
        <w:rPr>
          <w:rFonts w:ascii="Arial" w:hAnsi="Arial"/>
          <w:sz w:val="22"/>
          <w:szCs w:val="22"/>
          <w:lang w:val="es-ES"/>
        </w:rPr>
        <w:t>tal que</w:t>
      </w:r>
      <w:r>
        <w:rPr>
          <w:rFonts w:ascii="Arial" w:hAnsi="Arial"/>
          <w:i/>
          <w:sz w:val="22"/>
          <w:szCs w:val="22"/>
          <w:lang w:val="es-ES"/>
        </w:rPr>
        <w:t xml:space="preserve"> Y </w:t>
      </w:r>
      <w:r>
        <w:rPr>
          <w:rFonts w:ascii="Arial" w:hAnsi="Arial"/>
          <w:sz w:val="22"/>
          <w:szCs w:val="22"/>
          <w:lang w:val="es-ES"/>
        </w:rPr>
        <w:t xml:space="preserve">representa a la base de datos, cuyo grado de pertenencia al </w:t>
      </w:r>
      <w:r>
        <w:rPr>
          <w:rFonts w:ascii="Arial" w:hAnsi="Arial"/>
          <w:i/>
          <w:sz w:val="22"/>
          <w:szCs w:val="22"/>
          <w:lang w:val="es-ES"/>
        </w:rPr>
        <w:t>SUMMARY</w:t>
      </w:r>
      <w:r>
        <w:rPr>
          <w:rFonts w:ascii="Arial" w:hAnsi="Arial"/>
          <w:sz w:val="22"/>
          <w:szCs w:val="22"/>
          <w:lang w:val="es-ES"/>
        </w:rPr>
        <w:t xml:space="preserve"> es mayor que un </w:t>
      </w:r>
      <w:r>
        <w:rPr>
          <w:rFonts w:eastAsia="Symbol" w:cs="Symbol" w:ascii="Symbol" w:hAnsi="Symbol"/>
          <w:i/>
          <w:sz w:val="22"/>
          <w:szCs w:val="22"/>
          <w:lang w:val="es-ES"/>
        </w:rPr>
        <w:t></w:t>
      </w:r>
      <w:r>
        <w:rPr>
          <w:rFonts w:ascii="Arial" w:hAnsi="Arial"/>
          <w:i/>
          <w:sz w:val="22"/>
          <w:szCs w:val="22"/>
          <w:lang w:val="es-ES"/>
        </w:rPr>
        <w:t xml:space="preserve">-corte </w:t>
      </w:r>
      <w:r>
        <w:rPr>
          <w:rFonts w:ascii="Arial" w:hAnsi="Arial"/>
          <w:i/>
          <w:sz w:val="22"/>
          <w:szCs w:val="22"/>
          <w:lang w:val="en"/>
        </w:rPr>
        <w:t>α</w:t>
      </w:r>
      <w:r>
        <w:rPr>
          <w:rFonts w:eastAsia="Symbol" w:cs="Symbol" w:ascii="Symbol" w:hAnsi="Symbol"/>
          <w:i/>
          <w:sz w:val="22"/>
          <w:szCs w:val="22"/>
          <w:lang w:val="en"/>
        </w:rPr>
        <w:t></w:t>
      </w:r>
      <w:r>
        <w:rPr>
          <w:rFonts w:ascii="Arial" w:hAnsi="Arial"/>
          <w:i/>
          <w:sz w:val="22"/>
          <w:szCs w:val="22"/>
          <w:lang w:val="es-ES"/>
        </w:rPr>
        <w:t xml:space="preserve">[0,1], </w:t>
      </w:r>
      <w:r>
        <w:rPr>
          <w:rFonts w:ascii="Arial" w:hAnsi="Arial"/>
          <w:i/>
          <w:sz w:val="22"/>
          <w:szCs w:val="22"/>
          <w:lang w:val="es-ES"/>
        </w:rPr>
        <w:fldChar w:fldCharType="begin"/>
      </w:r>
      <w:r>
        <w:instrText> REF _Ref48850674 \h </w:instrText>
      </w:r>
      <w:r>
        <w:fldChar w:fldCharType="separate"/>
      </w:r>
      <w:r>
        <w:t>Error: Reference source not found</w:t>
      </w:r>
      <w:r>
        <w:fldChar w:fldCharType="end"/>
      </w:r>
      <w:r>
        <w:rPr>
          <w:rFonts w:ascii="Arial" w:hAnsi="Arial"/>
          <w:sz w:val="22"/>
          <w:szCs w:val="22"/>
          <w:lang w:val="es-ES"/>
        </w:rPr>
        <w:t>.</w:t>
      </w:r>
    </w:p>
    <w:p>
      <w:pPr>
        <w:pStyle w:val="Papertext1"/>
        <w:widowControl w:val="false"/>
        <w:spacing w:lineRule="auto" w:line="360" w:before="240" w:after="60"/>
        <w:ind w:hanging="0"/>
        <w:rPr/>
      </w:pPr>
      <w:r>
        <mc:AlternateContent>
          <mc:Choice Requires="wps">
            <w:drawing>
              <wp:anchor behindDoc="0" distT="0" distB="0" distL="114300" distR="114300" simplePos="0" locked="0" layoutInCell="1" allowOverlap="1" relativeHeight="28" wp14:anchorId="011EA8F6">
                <wp:simplePos x="0" y="0"/>
                <wp:positionH relativeFrom="column">
                  <wp:posOffset>1771015</wp:posOffset>
                </wp:positionH>
                <wp:positionV relativeFrom="paragraph">
                  <wp:posOffset>2529840</wp:posOffset>
                </wp:positionV>
                <wp:extent cx="3884930" cy="299085"/>
                <wp:effectExtent l="0" t="0" r="3810" b="8255"/>
                <wp:wrapSquare wrapText="bothSides"/>
                <wp:docPr id="7" name="Text Box 12"/>
                <a:graphic xmlns:a="http://schemas.openxmlformats.org/drawingml/2006/main">
                  <a:graphicData uri="http://schemas.microsoft.com/office/word/2010/wordprocessingShape">
                    <wps:wsp>
                      <wps:cNvSpPr/>
                      <wps:spPr>
                        <a:xfrm>
                          <a:off x="0" y="0"/>
                          <a:ext cx="3884400" cy="298440"/>
                        </a:xfrm>
                        <a:prstGeom prst="rect">
                          <a:avLst/>
                        </a:prstGeom>
                        <a:solidFill>
                          <a:srgbClr val="ffffff"/>
                        </a:solidFill>
                        <a:ln>
                          <a:noFill/>
                        </a:ln>
                      </wps:spPr>
                      <wps:style>
                        <a:lnRef idx="0"/>
                        <a:fillRef idx="0"/>
                        <a:effectRef idx="0"/>
                        <a:fontRef idx="minor"/>
                      </wps:style>
                      <wps:txbx>
                        <w:txbxContent>
                          <w:p>
                            <w:pPr>
                              <w:pStyle w:val="Caption1"/>
                              <w:rPr/>
                            </w:pPr>
                            <w:bookmarkStart w:id="1402" w:name="_Toc84599010"/>
                            <w:bookmarkStart w:id="1403" w:name="_Ref79485112"/>
                            <w:r>
                              <w:rPr>
                                <w:color w:val="00000A"/>
                              </w:rPr>
                              <w:t xml:space="preserve">Figura </w:t>
                            </w:r>
                            <w:r>
                              <w:rPr>
                                <w:color w:val="00000A"/>
                              </w:rPr>
                              <w:fldChar w:fldCharType="begin"/>
                            </w:r>
                            <w:r>
                              <w:instrText> SEQ Figura \* ARABIC </w:instrText>
                            </w:r>
                            <w:r>
                              <w:fldChar w:fldCharType="separate"/>
                            </w:r>
                            <w:r>
                              <w:t>4</w:t>
                            </w:r>
                            <w:r>
                              <w:fldChar w:fldCharType="end"/>
                            </w:r>
                            <w:bookmarkEnd w:id="1403"/>
                            <w:r>
                              <w:rPr>
                                <w:color w:val="00000A"/>
                              </w:rPr>
                              <w:t xml:space="preserve">: Comportamiento del </w:t>
                            </w:r>
                            <w:r>
                              <w:rPr>
                                <w:i/>
                                <w:color w:val="00000A"/>
                              </w:rPr>
                              <w:t>T</w:t>
                            </w:r>
                            <w:r>
                              <w:rPr>
                                <w:color w:val="00000A"/>
                                <w:vertAlign w:val="subscript"/>
                              </w:rPr>
                              <w:t>5</w:t>
                            </w:r>
                            <w:bookmarkEnd w:id="1402"/>
                            <w:r>
                              <w:rPr>
                                <w:color w:val="00000A"/>
                              </w:rPr>
                              <w:t>.</w:t>
                            </w:r>
                          </w:p>
                          <w:p>
                            <w:pPr>
                              <w:pStyle w:val="Caption1"/>
                              <w:overflowPunct w:val="true"/>
                              <w:spacing w:before="0" w:after="60"/>
                              <w:ind w:left="170" w:hanging="170"/>
                              <w:jc w:val="center"/>
                              <w:textAlignment w:val="auto"/>
                              <w:rPr/>
                            </w:pPr>
                            <w:r>
                              <w:rPr/>
                            </w:r>
                          </w:p>
                        </w:txbxContent>
                      </wps:txbx>
                      <wps:bodyPr lIns="0" rIns="0" tIns="0" bIns="0">
                        <a:prstTxWarp prst="textNoShape"/>
                        <a:noAutofit/>
                      </wps:bodyPr>
                    </wps:wsp>
                  </a:graphicData>
                </a:graphic>
              </wp:anchor>
            </w:drawing>
          </mc:Choice>
          <mc:Fallback>
            <w:pict>
              <v:rect id="shape_0" ID="Text Box 12" fillcolor="white" stroked="f" style="position:absolute;margin-left:139.45pt;margin-top:199.2pt;width:305.8pt;height:23.45pt" wp14:anchorId="011EA8F6">
                <w10:wrap type="square"/>
                <v:fill o:detectmouseclick="t" type="solid" color2="black"/>
                <v:stroke color="#3465a4" joinstyle="round" endcap="flat"/>
                <v:textbox>
                  <w:txbxContent>
                    <w:p>
                      <w:pPr>
                        <w:pStyle w:val="Caption1"/>
                        <w:rPr/>
                      </w:pPr>
                      <w:bookmarkStart w:id="1404" w:name="_Toc84599010"/>
                      <w:bookmarkStart w:id="1405" w:name="_Ref79485112"/>
                      <w:r>
                        <w:rPr>
                          <w:color w:val="00000A"/>
                        </w:rPr>
                        <w:t xml:space="preserve">Figura </w:t>
                      </w:r>
                      <w:r>
                        <w:rPr>
                          <w:color w:val="00000A"/>
                        </w:rPr>
                        <w:fldChar w:fldCharType="begin"/>
                      </w:r>
                      <w:r>
                        <w:instrText> SEQ Figura \* ARABIC </w:instrText>
                      </w:r>
                      <w:r>
                        <w:fldChar w:fldCharType="separate"/>
                      </w:r>
                      <w:r>
                        <w:t>4</w:t>
                      </w:r>
                      <w:r>
                        <w:fldChar w:fldCharType="end"/>
                      </w:r>
                      <w:bookmarkEnd w:id="1405"/>
                      <w:r>
                        <w:rPr>
                          <w:color w:val="00000A"/>
                        </w:rPr>
                        <w:t xml:space="preserve">: Comportamiento del </w:t>
                      </w:r>
                      <w:r>
                        <w:rPr>
                          <w:i/>
                          <w:color w:val="00000A"/>
                        </w:rPr>
                        <w:t>T</w:t>
                      </w:r>
                      <w:r>
                        <w:rPr>
                          <w:color w:val="00000A"/>
                          <w:vertAlign w:val="subscript"/>
                        </w:rPr>
                        <w:t>5</w:t>
                      </w:r>
                      <w:bookmarkEnd w:id="1404"/>
                      <w:r>
                        <w:rPr>
                          <w:color w:val="00000A"/>
                        </w:rPr>
                        <w:t>.</w:t>
                      </w:r>
                    </w:p>
                    <w:p>
                      <w:pPr>
                        <w:pStyle w:val="Caption1"/>
                        <w:overflowPunct w:val="true"/>
                        <w:spacing w:before="0" w:after="60"/>
                        <w:ind w:left="170" w:hanging="170"/>
                        <w:jc w:val="center"/>
                        <w:textAlignment w:val="auto"/>
                        <w:rPr/>
                      </w:pPr>
                      <w:r>
                        <w:rPr/>
                      </w:r>
                    </w:p>
                  </w:txbxContent>
                </v:textbox>
              </v:rect>
            </w:pict>
          </mc:Fallback>
        </mc:AlternateContent>
        <mc:AlternateContent>
          <mc:Choice Requires="wps">
            <w:drawing>
              <wp:anchor behindDoc="0" distT="0" distB="0" distL="114300" distR="114300" simplePos="0" locked="0" layoutInCell="1" allowOverlap="1" relativeHeight="30" wp14:anchorId="24863AE6">
                <wp:simplePos x="0" y="0"/>
                <wp:positionH relativeFrom="column">
                  <wp:posOffset>24765</wp:posOffset>
                </wp:positionH>
                <wp:positionV relativeFrom="paragraph">
                  <wp:posOffset>1858010</wp:posOffset>
                </wp:positionV>
                <wp:extent cx="2059305" cy="539750"/>
                <wp:effectExtent l="0" t="0" r="0" b="0"/>
                <wp:wrapSquare wrapText="bothSides"/>
                <wp:docPr id="9" name="Text Box 26"/>
                <a:graphic xmlns:a="http://schemas.openxmlformats.org/drawingml/2006/main">
                  <a:graphicData uri="http://schemas.microsoft.com/office/word/2010/wordprocessingShape">
                    <wps:wsp>
                      <wps:cNvSpPr/>
                      <wps:spPr>
                        <a:xfrm>
                          <a:off x="0" y="0"/>
                          <a:ext cx="2058840" cy="539280"/>
                        </a:xfrm>
                        <a:prstGeom prst="rect">
                          <a:avLst/>
                        </a:prstGeom>
                        <a:solidFill>
                          <a:srgbClr val="ffffff"/>
                        </a:solidFill>
                        <a:ln>
                          <a:noFill/>
                        </a:ln>
                      </wps:spPr>
                      <wps:style>
                        <a:lnRef idx="0"/>
                        <a:fillRef idx="0"/>
                        <a:effectRef idx="0"/>
                        <a:fontRef idx="minor"/>
                      </wps:style>
                      <wps:txbx>
                        <w:txbxContent>
                          <w:p>
                            <w:pPr>
                              <w:pStyle w:val="Caption1"/>
                              <w:overflowPunct w:val="true"/>
                              <w:spacing w:before="0" w:after="60"/>
                              <w:ind w:left="170" w:hanging="170"/>
                              <w:jc w:val="center"/>
                              <w:textAlignment w:val="auto"/>
                              <w:rPr/>
                            </w:pPr>
                            <w:bookmarkStart w:id="1406" w:name="_Toc84599011"/>
                            <w:bookmarkStart w:id="1407" w:name="_Ref79485301"/>
                            <w:r>
                              <w:rPr>
                                <w:color w:val="00000A"/>
                              </w:rPr>
                              <w:t xml:space="preserve">Figura </w:t>
                            </w:r>
                            <w:r>
                              <w:rPr>
                                <w:color w:val="00000A"/>
                              </w:rPr>
                              <w:fldChar w:fldCharType="begin"/>
                            </w:r>
                            <w:r>
                              <w:instrText> SEQ Figura \* ARABIC </w:instrText>
                            </w:r>
                            <w:r>
                              <w:fldChar w:fldCharType="separate"/>
                            </w:r>
                            <w:r>
                              <w:t>3</w:t>
                            </w:r>
                            <w:r>
                              <w:fldChar w:fldCharType="end"/>
                            </w:r>
                            <w:bookmarkStart w:id="1408" w:name="_Hlk79296452"/>
                            <w:bookmarkEnd w:id="1407"/>
                            <w:r>
                              <w:rPr>
                                <w:color w:val="00000A"/>
                                <w:sz w:val="22"/>
                              </w:rPr>
                              <w:t xml:space="preserve">: </w:t>
                            </w:r>
                            <w:bookmarkEnd w:id="1406"/>
                            <w:bookmarkEnd w:id="1408"/>
                            <w:r>
                              <w:rPr>
                                <w:color w:val="00000A"/>
                                <w:szCs w:val="20"/>
                              </w:rPr>
                              <w:t>Conjunto borroso incorporando los valores de veracidad, neutralidad y falsedad</w:t>
                            </w:r>
                          </w:p>
                        </w:txbxContent>
                      </wps:txbx>
                      <wps:bodyPr lIns="0" rIns="0" tIns="0" bIns="0">
                        <a:prstTxWarp prst="textNoShape"/>
                        <a:spAutoFit/>
                      </wps:bodyPr>
                    </wps:wsp>
                  </a:graphicData>
                </a:graphic>
              </wp:anchor>
            </w:drawing>
          </mc:Choice>
          <mc:Fallback>
            <w:pict>
              <v:rect id="shape_0" ID="Text Box 26" fillcolor="white" stroked="f" style="position:absolute;margin-left:1.95pt;margin-top:146.3pt;width:162.05pt;height:42.4pt" wp14:anchorId="24863AE6">
                <w10:wrap type="square"/>
                <v:fill o:detectmouseclick="t" type="solid" color2="black"/>
                <v:stroke color="#3465a4" joinstyle="round" endcap="flat"/>
                <v:textbox>
                  <w:txbxContent>
                    <w:p>
                      <w:pPr>
                        <w:pStyle w:val="Caption1"/>
                        <w:overflowPunct w:val="true"/>
                        <w:spacing w:before="0" w:after="60"/>
                        <w:ind w:left="170" w:hanging="170"/>
                        <w:jc w:val="center"/>
                        <w:textAlignment w:val="auto"/>
                        <w:rPr/>
                      </w:pPr>
                      <w:bookmarkStart w:id="1409" w:name="_Toc84599011"/>
                      <w:bookmarkStart w:id="1410" w:name="_Ref79485301"/>
                      <w:r>
                        <w:rPr>
                          <w:color w:val="00000A"/>
                        </w:rPr>
                        <w:t xml:space="preserve">Figura </w:t>
                      </w:r>
                      <w:r>
                        <w:rPr>
                          <w:color w:val="00000A"/>
                        </w:rPr>
                        <w:fldChar w:fldCharType="begin"/>
                      </w:r>
                      <w:r>
                        <w:instrText> SEQ Figura \* ARABIC </w:instrText>
                      </w:r>
                      <w:r>
                        <w:fldChar w:fldCharType="separate"/>
                      </w:r>
                      <w:r>
                        <w:t>3</w:t>
                      </w:r>
                      <w:r>
                        <w:fldChar w:fldCharType="end"/>
                      </w:r>
                      <w:bookmarkStart w:id="1411" w:name="_Hlk79296452"/>
                      <w:bookmarkEnd w:id="1410"/>
                      <w:r>
                        <w:rPr>
                          <w:color w:val="00000A"/>
                          <w:sz w:val="22"/>
                        </w:rPr>
                        <w:t xml:space="preserve">: </w:t>
                      </w:r>
                      <w:bookmarkEnd w:id="1409"/>
                      <w:bookmarkEnd w:id="1411"/>
                      <w:r>
                        <w:rPr>
                          <w:color w:val="00000A"/>
                          <w:szCs w:val="20"/>
                        </w:rPr>
                        <w:t>Conjunto borroso incorporando los valores de veracidad, neutralidad y falsedad</w:t>
                      </w:r>
                    </w:p>
                  </w:txbxContent>
                </v:textbox>
              </v:rect>
            </w:pict>
          </mc:Fallback>
        </mc:AlternateContent>
        <mc:AlternateContent>
          <mc:Choice Requires="wps">
            <w:drawing>
              <wp:anchor behindDoc="0" distT="0" distB="0" distL="114300" distR="114300" simplePos="0" locked="0" layoutInCell="1" allowOverlap="1" relativeHeight="32">
                <wp:simplePos x="0" y="0"/>
                <wp:positionH relativeFrom="margin">
                  <wp:posOffset>-68580</wp:posOffset>
                </wp:positionH>
                <wp:positionV relativeFrom="paragraph">
                  <wp:posOffset>635</wp:posOffset>
                </wp:positionV>
                <wp:extent cx="5701665" cy="481330"/>
                <wp:effectExtent l="0" t="0" r="0" b="0"/>
                <wp:wrapSquare wrapText="bothSides"/>
                <wp:docPr id="11" name="Frame4"/>
                <a:graphic xmlns:a="http://schemas.openxmlformats.org/drawingml/2006/main">
                  <a:graphicData uri="http://schemas.microsoft.com/office/word/2010/wordprocessingShape">
                    <wps:wsp>
                      <wps:cNvSpPr/>
                      <wps:spPr>
                        <a:xfrm>
                          <a:off x="0" y="0"/>
                          <a:ext cx="5700960" cy="480600"/>
                        </a:xfrm>
                        <a:prstGeom prst="rect">
                          <a:avLst/>
                        </a:prstGeom>
                        <a:noFill/>
                        <a:ln>
                          <a:noFill/>
                        </a:ln>
                      </wps:spPr>
                      <wps:style>
                        <a:lnRef idx="0"/>
                        <a:fillRef idx="0"/>
                        <a:effectRef idx="0"/>
                        <a:fontRef idx="minor"/>
                      </wps:style>
                      <wps:txbx>
                        <w:txbxContent>
                          <w:tbl>
                            <w:tblPr>
                              <w:tblStyle w:val="Tablaconcuadrcula"/>
                              <w:tblW w:w="5000" w:type="pct"/>
                              <w:jc w:val="left"/>
                              <w:tblInd w:w="108" w:type="dxa"/>
                              <w:tblCellMar>
                                <w:top w:w="0" w:type="dxa"/>
                                <w:left w:w="123" w:type="dxa"/>
                                <w:bottom w:w="0" w:type="dxa"/>
                                <w:right w:w="108" w:type="dxa"/>
                              </w:tblCellMar>
                              <w:tblLook w:val="04a0" w:noVBand="1" w:noHBand="0" w:firstRow="1" w:lastRow="0" w:firstColumn="1" w:lastColumn="0"/>
                            </w:tblPr>
                            <w:tblGrid>
                              <w:gridCol w:w="7255"/>
                              <w:gridCol w:w="1724"/>
                            </w:tblGrid>
                            <w:tr>
                              <w:trPr>
                                <w:trHeight w:val="426" w:hRule="atLeast"/>
                              </w:trPr>
                              <w:tc>
                                <w:tcPr>
                                  <w:tcW w:w="7255" w:type="dxa"/>
                                  <w:tcBorders>
                                    <w:top w:val="nil"/>
                                    <w:left w:val="nil"/>
                                    <w:bottom w:val="nil"/>
                                    <w:right w:val="nil"/>
                                    <w:insideH w:val="nil"/>
                                    <w:insideV w:val="nil"/>
                                  </w:tcBorders>
                                  <w:shd w:color="auto" w:fill="auto" w:val="clear"/>
                                  <w:vAlign w:val="center"/>
                                </w:tcPr>
                                <w:p>
                                  <w:pPr>
                                    <w:pStyle w:val="Caption1"/>
                                    <w:spacing w:before="0" w:after="60"/>
                                    <w:ind w:left="0" w:hanging="0"/>
                                    <w:jc w:val="left"/>
                                    <w:rPr>
                                      <w:color w:val="00000A"/>
                                    </w:rPr>
                                  </w:pPr>
                                  <w:r>
                                    <w:rPr>
                                      <w:color w:val="00000A"/>
                                    </w:rPr>
                                  </w:r>
                                </w:p>
                              </w:tc>
                              <w:tc>
                                <w:tcPr>
                                  <w:tcW w:w="1724" w:type="dxa"/>
                                  <w:tcBorders>
                                    <w:top w:val="nil"/>
                                    <w:left w:val="nil"/>
                                    <w:bottom w:val="nil"/>
                                    <w:right w:val="nil"/>
                                    <w:insideH w:val="nil"/>
                                    <w:insideV w:val="nil"/>
                                  </w:tcBorders>
                                  <w:shd w:color="auto" w:fill="auto" w:val="clear"/>
                                  <w:vAlign w:val="center"/>
                                </w:tcPr>
                                <w:p>
                                  <w:pPr>
                                    <w:pStyle w:val="FrameContents"/>
                                    <w:spacing w:before="80" w:after="60"/>
                                    <w:jc w:val="right"/>
                                    <w:rPr/>
                                  </w:pPr>
                                  <w:bookmarkStart w:id="1412" w:name="_Ref488506741"/>
                                  <w:r>
                                    <w:rPr>
                                      <w:color w:val="00000A"/>
                                    </w:rPr>
                                    <w:t xml:space="preserve">Ecuación </w:t>
                                  </w:r>
                                  <w:bookmarkEnd w:id="1412"/>
                                  <w:r>
                                    <w:rPr>
                                      <w:color w:val="00000A"/>
                                    </w:rPr>
                                    <w:fldChar w:fldCharType="begin"/>
                                  </w:r>
                                  <w:r>
                                    <w:instrText> SEQ Ecuación \* ARABIC </w:instrText>
                                  </w:r>
                                  <w:r>
                                    <w:fldChar w:fldCharType="separate"/>
                                  </w:r>
                                  <w:r>
                                    <w:t>35</w:t>
                                  </w:r>
                                  <w:r>
                                    <w:fldChar w:fldCharType="end"/>
                                  </w:r>
                                </w:p>
                              </w:tc>
                            </w:tr>
                          </w:tbl>
                          <w:p>
                            <w:pPr>
                              <w:pStyle w:val="FrameContents"/>
                              <w:spacing w:before="80" w:after="60"/>
                              <w:rPr>
                                <w:color w:val="000000"/>
                              </w:rPr>
                            </w:pPr>
                            <w:r>
                              <w:rPr>
                                <w:color w:val="000000"/>
                              </w:rPr>
                            </w:r>
                          </w:p>
                        </w:txbxContent>
                      </wps:txbx>
                      <wps:bodyPr lIns="0" rIns="0" tIns="0" bIns="0">
                        <a:spAutoFit/>
                      </wps:bodyPr>
                    </wps:wsp>
                  </a:graphicData>
                </a:graphic>
                <wp14:sizeRelH relativeFrom="margin">
                  <wp14:pctWidth>100000</wp14:pctWidth>
                </wp14:sizeRelH>
              </wp:anchor>
            </w:drawing>
          </mc:Choice>
          <mc:Fallback>
            <w:pict>
              <v:rect id="shape_0" ID="Frame4" stroked="f" style="position:absolute;margin-left:-5.4pt;margin-top:0.05pt;width:448.85pt;height:37.8pt;mso-position-horizontal-relative:margin">
                <w10:wrap type="none"/>
                <v:fill o:detectmouseclick="t" on="false"/>
                <v:stroke color="#3465a4" joinstyle="round" endcap="flat"/>
                <v:textbox>
                  <w:txbxContent>
                    <w:tbl>
                      <w:tblPr>
                        <w:tblStyle w:val="Tablaconcuadrcula"/>
                        <w:tblW w:w="5000" w:type="pct"/>
                        <w:jc w:val="left"/>
                        <w:tblInd w:w="108" w:type="dxa"/>
                        <w:tblCellMar>
                          <w:top w:w="0" w:type="dxa"/>
                          <w:left w:w="123" w:type="dxa"/>
                          <w:bottom w:w="0" w:type="dxa"/>
                          <w:right w:w="108" w:type="dxa"/>
                        </w:tblCellMar>
                        <w:tblLook w:val="04a0" w:noVBand="1" w:noHBand="0" w:firstRow="1" w:lastRow="0" w:firstColumn="1" w:lastColumn="0"/>
                      </w:tblPr>
                      <w:tblGrid>
                        <w:gridCol w:w="7255"/>
                        <w:gridCol w:w="1724"/>
                      </w:tblGrid>
                      <w:tr>
                        <w:trPr>
                          <w:trHeight w:val="426" w:hRule="atLeast"/>
                        </w:trPr>
                        <w:tc>
                          <w:tcPr>
                            <w:tcW w:w="7255" w:type="dxa"/>
                            <w:tcBorders>
                              <w:top w:val="nil"/>
                              <w:left w:val="nil"/>
                              <w:bottom w:val="nil"/>
                              <w:right w:val="nil"/>
                              <w:insideH w:val="nil"/>
                              <w:insideV w:val="nil"/>
                            </w:tcBorders>
                            <w:shd w:color="auto" w:fill="auto" w:val="clear"/>
                            <w:vAlign w:val="center"/>
                          </w:tcPr>
                          <w:p>
                            <w:pPr>
                              <w:pStyle w:val="Caption1"/>
                              <w:spacing w:before="0" w:after="60"/>
                              <w:ind w:left="0" w:hanging="0"/>
                              <w:jc w:val="left"/>
                              <w:rPr>
                                <w:color w:val="00000A"/>
                              </w:rPr>
                            </w:pPr>
                            <w:r>
                              <w:rPr>
                                <w:color w:val="00000A"/>
                              </w:rPr>
                            </w:r>
                          </w:p>
                        </w:tc>
                        <w:tc>
                          <w:tcPr>
                            <w:tcW w:w="1724" w:type="dxa"/>
                            <w:tcBorders>
                              <w:top w:val="nil"/>
                              <w:left w:val="nil"/>
                              <w:bottom w:val="nil"/>
                              <w:right w:val="nil"/>
                              <w:insideH w:val="nil"/>
                              <w:insideV w:val="nil"/>
                            </w:tcBorders>
                            <w:shd w:color="auto" w:fill="auto" w:val="clear"/>
                            <w:vAlign w:val="center"/>
                          </w:tcPr>
                          <w:p>
                            <w:pPr>
                              <w:pStyle w:val="FrameContents"/>
                              <w:spacing w:before="80" w:after="60"/>
                              <w:jc w:val="right"/>
                              <w:rPr/>
                            </w:pPr>
                            <w:bookmarkStart w:id="1413" w:name="_Ref488506741"/>
                            <w:r>
                              <w:rPr>
                                <w:color w:val="00000A"/>
                              </w:rPr>
                              <w:t xml:space="preserve">Ecuación </w:t>
                            </w:r>
                            <w:bookmarkEnd w:id="1413"/>
                            <w:r>
                              <w:rPr>
                                <w:color w:val="00000A"/>
                              </w:rPr>
                              <w:fldChar w:fldCharType="begin"/>
                            </w:r>
                            <w:r>
                              <w:instrText> SEQ Ecuación \* ARABIC </w:instrText>
                            </w:r>
                            <w:r>
                              <w:fldChar w:fldCharType="separate"/>
                            </w:r>
                            <w:r>
                              <w:t>35</w:t>
                            </w:r>
                            <w:r>
                              <w:fldChar w:fldCharType="end"/>
                            </w:r>
                          </w:p>
                        </w:tc>
                      </w:tr>
                    </w:tbl>
                    <w:p>
                      <w:pPr>
                        <w:pStyle w:val="FrameContents"/>
                        <w:spacing w:before="80" w:after="60"/>
                        <w:rPr>
                          <w:color w:val="000000"/>
                        </w:rPr>
                      </w:pPr>
                      <w:r>
                        <w:rPr>
                          <w:color w:val="000000"/>
                        </w:rPr>
                      </w:r>
                    </w:p>
                  </w:txbxContent>
                </v:textbox>
              </v:rect>
            </w:pict>
          </mc:Fallback>
        </mc:AlternateContent>
      </w:r>
      <w:r>
        <w:rPr/>
      </w:r>
      <m:oMath xmlns:m="http://schemas.openxmlformats.org/officeDocument/2006/math">
        <m:eqArr>
          <m:e>
            <m:r>
              <w:rPr>
                <w:rFonts w:ascii="Cambria Math" w:hAnsi="Cambria Math"/>
              </w:rPr>
              <m:t xml:space="preserve">α</m:t>
            </m:r>
            <m:r>
              <w:rPr>
                <w:rFonts w:ascii="Cambria Math" w:hAnsi="Cambria Math"/>
              </w:rPr>
              <m:t xml:space="preserve">∗</m:t>
            </m:r>
            <m:d>
              <m:dPr>
                <m:begChr m:val="("/>
                <m:endChr m:val=")"/>
              </m:dPr>
              <m:e>
                <m:r>
                  <w:rPr>
                    <w:rFonts w:ascii="Cambria Math" w:hAnsi="Cambria Math"/>
                  </w:rPr>
                  <m:t xml:space="preserve">Y</m:t>
                </m:r>
              </m:e>
            </m:d>
          </m:e>
          <m:e>
            <m:r>
              <w:rPr>
                <w:rFonts w:ascii="Cambria Math" w:hAnsi="Cambria Math"/>
              </w:rPr>
              <m:t xml:space="preserve">α</m:t>
            </m:r>
            <m:r>
              <w:rPr>
                <w:rFonts w:ascii="Cambria Math" w:hAnsi="Cambria Math"/>
              </w:rPr>
              <m:t xml:space="preserve">∗</m:t>
            </m:r>
            <m:d>
              <m:dPr>
                <m:begChr m:val="("/>
                <m:endChr m:val=")"/>
              </m:dPr>
              <m:e>
                <m:r>
                  <w:rPr>
                    <w:rFonts w:ascii="Cambria Math" w:hAnsi="Cambria Math"/>
                  </w:rPr>
                  <m:t xml:space="preserve">Y</m:t>
                </m:r>
              </m:e>
            </m:d>
          </m:e>
          <m:e/>
          <m:e/>
          <m:e/>
          <m:e/>
          <m:e/>
          <m:e/>
          <m:e>
            <m:eqArr>
              <m:e>
                <m:sSub>
                  <m:e>
                    <m:r>
                      <m:rPr>
                        <m:lit/>
                        <m:nor/>
                      </m:rPr>
                      <w:rPr>
                        <w:rFonts w:ascii="Cambria Math" w:hAnsi="Cambria Math"/>
                      </w:rPr>
                      <m:t xml:space="preserve">Te</m:t>
                    </m:r>
                  </m:e>
                  <m:sub>
                    <m:r>
                      <w:rPr>
                        <w:rFonts w:ascii="Cambria Math" w:hAnsi="Cambria Math"/>
                      </w:rPr>
                      <m:t xml:space="preserve">4</m:t>
                    </m:r>
                  </m:sub>
                </m:sSub>
                <m:r>
                  <w:rPr>
                    <w:rFonts w:ascii="Cambria Math" w:hAnsi="Cambria Math"/>
                  </w:rPr>
                  <m:t xml:space="preserve">=</m:t>
                </m:r>
                <m:nary>
                  <m:naryPr>
                    <m:chr m:val="∑"/>
                    <m:supHide m:val="1"/>
                  </m:naryPr>
                  <m:sub>
                    <m:sSub>
                      <m:e>
                        <m:r>
                          <w:rPr>
                            <w:rFonts w:ascii="Cambria Math" w:hAnsi="Cambria Math"/>
                          </w:rPr>
                          <m:t xml:space="preserve">y</m:t>
                        </m:r>
                      </m:e>
                      <m:sub>
                        <m:r>
                          <w:rPr>
                            <w:rFonts w:ascii="Cambria Math" w:hAnsi="Cambria Math"/>
                          </w:rPr>
                          <m:t xml:space="preserve">i</m:t>
                        </m:r>
                      </m:sub>
                    </m:sSub>
                    <m:r>
                      <w:rPr>
                        <w:rFonts w:ascii="Cambria Math" w:hAnsi="Cambria Math"/>
                      </w:rPr>
                      <m:t xml:space="preserve">∈</m:t>
                    </m:r>
                    <m:sSub>
                      <m:e>
                        <m:r>
                          <m:rPr>
                            <m:lit/>
                            <m:nor/>
                          </m:rPr>
                          <w:rPr>
                            <w:rFonts w:ascii="Cambria Math" w:hAnsi="Cambria Math"/>
                          </w:rPr>
                          <m:t xml:space="preserve">SUMMARY</m:t>
                        </m:r>
                      </m:e>
                      <m:sub>
                        <m:r>
                          <w:rPr>
                            <w:rFonts w:ascii="Cambria Math" w:hAnsi="Cambria Math"/>
                          </w:rPr>
                          <m:t xml:space="preserve">α</m:t>
                        </m:r>
                        <m:r>
                          <w:rPr>
                            <w:rFonts w:ascii="Cambria Math" w:hAnsi="Cambria Math"/>
                          </w:rPr>
                          <m:t xml:space="preserve">∗</m:t>
                        </m:r>
                        <m:d>
                          <m:dPr>
                            <m:begChr m:val="("/>
                            <m:endChr m:val=")"/>
                          </m:dPr>
                          <m:e>
                            <m:r>
                              <w:rPr>
                                <w:rFonts w:ascii="Cambria Math" w:hAnsi="Cambria Math"/>
                              </w:rPr>
                              <m:t xml:space="preserve">Y</m:t>
                            </m:r>
                          </m:e>
                        </m:d>
                      </m:sub>
                    </m:sSub>
                    <m:d>
                      <m:dPr>
                        <m:begChr m:val="("/>
                        <m:endChr m:val=")"/>
                      </m:dPr>
                      <m:e>
                        <m:f>
                          <m:num>
                            <m:d>
                              <m:dPr>
                                <m:begChr m:val="("/>
                                <m:endChr m:val=")"/>
                              </m:dPr>
                              <m:e>
                                <m:r>
                                  <w:rPr>
                                    <w:rFonts w:ascii="Cambria Math" w:hAnsi="Cambria Math"/>
                                  </w:rPr>
                                  <m:t xml:space="preserve">1</m:t>
                                </m:r>
                                <m:r>
                                  <w:rPr>
                                    <w:rFonts w:ascii="Cambria Math" w:hAnsi="Cambria Math"/>
                                  </w:rPr>
                                  <m:t xml:space="preserve">+</m:t>
                                </m:r>
                                <m:sSub>
                                  <m:e>
                                    <m:r>
                                      <w:rPr>
                                        <w:rFonts w:ascii="Cambria Math" w:hAnsi="Cambria Math"/>
                                      </w:rPr>
                                      <m:t xml:space="preserve">μ</m:t>
                                    </m:r>
                                  </m:e>
                                  <m:sub>
                                    <m:r>
                                      <m:rPr>
                                        <m:lit/>
                                        <m:nor/>
                                      </m:rPr>
                                      <w:rPr>
                                        <w:rFonts w:ascii="Cambria Math" w:hAnsi="Cambria Math"/>
                                      </w:rPr>
                                      <m:t xml:space="preserve">SUMMARY</m:t>
                                    </m:r>
                                  </m:sub>
                                </m:sSub>
                                <m:d>
                                  <m:dPr>
                                    <m:begChr m:val="("/>
                                    <m:endChr m:val=")"/>
                                  </m:dPr>
                                  <m:e>
                                    <m:sSub>
                                      <m:e>
                                        <m:r>
                                          <w:rPr>
                                            <w:rFonts w:ascii="Cambria Math" w:hAnsi="Cambria Math"/>
                                          </w:rPr>
                                          <m:t xml:space="preserve">y</m:t>
                                        </m:r>
                                      </m:e>
                                      <m:sub>
                                        <m:r>
                                          <w:rPr>
                                            <w:rFonts w:ascii="Cambria Math" w:hAnsi="Cambria Math"/>
                                          </w:rPr>
                                          <m:t xml:space="preserve">i</m:t>
                                        </m:r>
                                      </m:sub>
                                    </m:sSub>
                                  </m:e>
                                </m:d>
                                <m:r>
                                  <w:rPr>
                                    <w:rFonts w:ascii="Cambria Math" w:hAnsi="Cambria Math"/>
                                  </w:rPr>
                                  <m:t xml:space="preserve">−</m:t>
                                </m:r>
                                <m:sSub>
                                  <m:e>
                                    <m:r>
                                      <w:rPr>
                                        <w:rFonts w:ascii="Cambria Math" w:hAnsi="Cambria Math"/>
                                      </w:rPr>
                                      <m:t xml:space="preserve">τ</m:t>
                                    </m:r>
                                  </m:e>
                                  <m:sub>
                                    <m:r>
                                      <m:rPr>
                                        <m:lit/>
                                        <m:nor/>
                                      </m:rPr>
                                      <w:rPr>
                                        <w:rFonts w:ascii="Cambria Math" w:hAnsi="Cambria Math"/>
                                      </w:rPr>
                                      <m:t xml:space="preserve">SUMMARY</m:t>
                                    </m:r>
                                  </m:sub>
                                </m:sSub>
                                <m:d>
                                  <m:dPr>
                                    <m:begChr m:val="("/>
                                    <m:endChr m:val=")"/>
                                  </m:dPr>
                                  <m:e>
                                    <m:sSub>
                                      <m:e>
                                        <m:r>
                                          <w:rPr>
                                            <w:rFonts w:ascii="Cambria Math" w:hAnsi="Cambria Math"/>
                                          </w:rPr>
                                          <m:t xml:space="preserve">y</m:t>
                                        </m:r>
                                      </m:e>
                                      <m:sub>
                                        <m:r>
                                          <w:rPr>
                                            <w:rFonts w:ascii="Cambria Math" w:hAnsi="Cambria Math"/>
                                          </w:rPr>
                                          <m:t xml:space="preserve">i</m:t>
                                        </m:r>
                                      </m:sub>
                                    </m:sSub>
                                  </m:e>
                                </m:d>
                                <m:r>
                                  <w:rPr>
                                    <w:rFonts w:ascii="Cambria Math" w:hAnsi="Cambria Math"/>
                                  </w:rPr>
                                  <m:t xml:space="preserve">−</m:t>
                                </m:r>
                                <m:sSub>
                                  <m:e>
                                    <m:r>
                                      <w:rPr>
                                        <w:rFonts w:ascii="Cambria Math" w:hAnsi="Cambria Math"/>
                                      </w:rPr>
                                      <m:t xml:space="preserve">σ</m:t>
                                    </m:r>
                                  </m:e>
                                  <m:sub>
                                    <m:r>
                                      <m:rPr>
                                        <m:lit/>
                                        <m:nor/>
                                      </m:rPr>
                                      <w:rPr>
                                        <w:rFonts w:ascii="Cambria Math" w:hAnsi="Cambria Math"/>
                                      </w:rPr>
                                      <m:t xml:space="preserve">SUMMARY</m:t>
                                    </m:r>
                                  </m:sub>
                                </m:sSub>
                                <m:d>
                                  <m:dPr>
                                    <m:begChr m:val="("/>
                                    <m:endChr m:val=")"/>
                                  </m:dPr>
                                  <m:e>
                                    <m:sSub>
                                      <m:e>
                                        <m:r>
                                          <w:rPr>
                                            <w:rFonts w:ascii="Cambria Math" w:hAnsi="Cambria Math"/>
                                          </w:rPr>
                                          <m:t xml:space="preserve">y</m:t>
                                        </m:r>
                                      </m:e>
                                      <m:sub>
                                        <m:r>
                                          <w:rPr>
                                            <w:rFonts w:ascii="Cambria Math" w:hAnsi="Cambria Math"/>
                                          </w:rPr>
                                          <m:t xml:space="preserve">i</m:t>
                                        </m:r>
                                      </m:sub>
                                    </m:sSub>
                                  </m:e>
                                </m:d>
                              </m:e>
                            </m:d>
                          </m:num>
                          <m:den>
                            <m:r>
                              <w:rPr>
                                <w:rFonts w:ascii="Cambria Math" w:hAnsi="Cambria Math"/>
                              </w:rPr>
                              <m:t xml:space="preserve">2</m:t>
                            </m:r>
                          </m:den>
                        </m:f>
                      </m:e>
                    </m:d>
                  </m:sub>
                  <m:sup/>
                  <m:e/>
                </m:nary>
                <m:d>
                  <m:dPr>
                    <m:begChr m:val="|"/>
                    <m:endChr m:val="|"/>
                  </m:dPr>
                  <m:e>
                    <m:sSup>
                      <m:e>
                        <m:r>
                          <m:rPr>
                            <m:lit/>
                            <m:nor/>
                          </m:rPr>
                          <w:rPr>
                            <w:rFonts w:ascii="Cambria Math" w:hAnsi="Cambria Math"/>
                          </w:rPr>
                          <m:t xml:space="preserve">SUMMARY</m:t>
                        </m:r>
                      </m:e>
                      <m:sup/>
                    </m:sSup>
                    <m:d>
                      <m:dPr>
                        <m:begChr m:val="("/>
                        <m:endChr m:val=")"/>
                      </m:dPr>
                      <m:e>
                        <m:r>
                          <w:rPr>
                            <w:rFonts w:ascii="Cambria Math" w:hAnsi="Cambria Math"/>
                          </w:rPr>
                          <m:t xml:space="preserve">Y</m:t>
                        </m:r>
                      </m:e>
                    </m:d>
                  </m:e>
                </m:d>
              </m:e>
              <m:e>
                <m:eqArr>
                  <m:e>
                    <m:sSub>
                      <m:e>
                        <m:r>
                          <m:rPr>
                            <m:lit/>
                            <m:nor/>
                          </m:rPr>
                          <w:rPr>
                            <w:rFonts w:ascii="Cambria Math" w:hAnsi="Cambria Math"/>
                          </w:rPr>
                          <m:t xml:space="preserve">       tal que Te</m:t>
                        </m:r>
                      </m:e>
                      <m:sub>
                        <m:r>
                          <w:rPr>
                            <w:rFonts w:ascii="Cambria Math" w:hAnsi="Cambria Math"/>
                          </w:rPr>
                          <m:t xml:space="preserve">4</m:t>
                        </m:r>
                      </m:sub>
                    </m:sSub>
                    <m:r>
                      <w:rPr>
                        <w:rFonts w:ascii="Cambria Math" w:hAnsi="Cambria Math"/>
                      </w:rPr>
                      <m:t xml:space="preserve">∈</m:t>
                    </m:r>
                    <m:d>
                      <m:dPr>
                        <m:begChr m:val="["/>
                        <m:endChr m:val="]"/>
                      </m:dPr>
                      <m:e>
                        <m:r>
                          <m:rPr>
                            <m:lit/>
                            <m:nor/>
                          </m:rPr>
                          <w:rPr>
                            <w:rFonts w:ascii="Cambria Math" w:hAnsi="Cambria Math"/>
                          </w:rPr>
                          <m:t xml:space="preserve">0,1</m:t>
                        </m:r>
                      </m:e>
                    </m:d>
                    <m:r>
                      <m:rPr>
                        <m:lit/>
                        <m:nor/>
                      </m:rPr>
                      <w:rPr>
                        <w:rFonts w:ascii="Cambria Math" w:hAnsi="Cambria Math"/>
                      </w:rPr>
                      <m:t xml:space="preserve">    </m:t>
                    </m:r>
                  </m:e>
                </m:eqArr>
              </m:e>
            </m:eqArr>
            <m:eqArr>
              <m:e>
                <m:eqArr>
                  <m:e>
                    <m:r>
                      <w:rPr>
                        <w:rFonts w:ascii="Cambria Math" w:hAnsi="Cambria Math"/>
                      </w:rPr>
                      <m:t xml:space="preserve">α</m:t>
                    </m:r>
                    <m:r>
                      <w:rPr>
                        <w:rFonts w:ascii="Cambria Math" w:hAnsi="Cambria Math"/>
                      </w:rPr>
                      <m:t xml:space="preserve">∗</m:t>
                    </m:r>
                    <m:d>
                      <m:dPr>
                        <m:begChr m:val="("/>
                        <m:endChr m:val=")"/>
                      </m:dPr>
                      <m:e>
                        <m:r>
                          <w:rPr>
                            <w:rFonts w:ascii="Cambria Math" w:hAnsi="Cambria Math"/>
                          </w:rPr>
                          <m:t xml:space="preserve">Y</m:t>
                        </m:r>
                      </m:e>
                    </m:d>
                  </m:e>
                  <m:e>
                    <m:sSub>
                      <m:e>
                        <m:r>
                          <m:rPr>
                            <m:lit/>
                            <m:nor/>
                          </m:rPr>
                          <w:rPr>
                            <w:rFonts w:ascii="Cambria Math" w:hAnsi="Cambria Math"/>
                          </w:rPr>
                          <m:t xml:space="preserve">SUMMARY</m:t>
                        </m:r>
                      </m:e>
                      <m:sub/>
                    </m:sSub>
                  </m:e>
                  <m:e>
                    <m:r>
                      <w:rPr>
                        <w:rFonts w:ascii="Cambria Math" w:hAnsi="Cambria Math"/>
                      </w:rPr>
                      <m:t xml:space="preserve">n</m:t>
                    </m:r>
                  </m:e>
                  <m:e>
                    <m:sSub>
                      <m:e>
                        <m:r>
                          <m:rPr>
                            <m:lit/>
                            <m:nor/>
                          </m:rPr>
                          <w:rPr>
                            <w:rFonts w:ascii="Cambria Math" w:hAnsi="Cambria Math"/>
                          </w:rPr>
                          <m:t xml:space="preserve">Te</m:t>
                        </m:r>
                      </m:e>
                      <m:sub>
                        <m:r>
                          <w:rPr>
                            <w:rFonts w:ascii="Cambria Math" w:hAnsi="Cambria Math"/>
                          </w:rPr>
                          <m:t xml:space="preserve">3</m:t>
                        </m:r>
                      </m:sub>
                    </m:sSub>
                    <m:r>
                      <w:rPr>
                        <w:rFonts w:ascii="Cambria Math" w:hAnsi="Cambria Math"/>
                      </w:rPr>
                      <m:t xml:space="preserve">=</m:t>
                    </m:r>
                  </m:e>
                </m:eqArr>
                <m:eqArr>
                  <m:e>
                    <m:eqArr>
                      <m:e>
                        <m:r>
                          <w:rPr>
                            <w:rFonts w:ascii="Cambria Math" w:hAnsi="Cambria Math"/>
                          </w:rPr>
                          <m:t xml:space="preserve">α</m:t>
                        </m:r>
                        <m:r>
                          <w:rPr>
                            <w:rFonts w:ascii="Cambria Math" w:hAnsi="Cambria Math"/>
                          </w:rPr>
                          <m:t xml:space="preserve">∗</m:t>
                        </m:r>
                        <m:d>
                          <m:dPr>
                            <m:begChr m:val="("/>
                            <m:endChr m:val=")"/>
                          </m:dPr>
                          <m:e>
                            <m:r>
                              <w:rPr>
                                <w:rFonts w:ascii="Cambria Math" w:hAnsi="Cambria Math"/>
                              </w:rPr>
                              <m:t xml:space="preserve">Y</m:t>
                            </m:r>
                          </m:e>
                        </m:d>
                      </m:e>
                      <m:e>
                        <m:sSub>
                          <m:e>
                            <m:r>
                              <m:rPr>
                                <m:lit/>
                                <m:nor/>
                              </m:rPr>
                              <w:rPr>
                                <w:rFonts w:ascii="Cambria Math" w:hAnsi="Cambria Math"/>
                              </w:rPr>
                              <m:t xml:space="preserve">SUMMARY</m:t>
                            </m:r>
                          </m:e>
                          <m:sub/>
                        </m:sSub>
                      </m:e>
                      <m:e>
                        <m:sSub>
                          <m:e/>
                          <m:sub>
                            <m:r>
                              <m:rPr>
                                <m:lit/>
                                <m:nor/>
                              </m:rPr>
                              <w:rPr>
                                <w:rFonts w:ascii="Cambria Math" w:hAnsi="Cambria Math"/>
                              </w:rPr>
                              <m:t xml:space="preserve">2d</m:t>
                            </m:r>
                          </m:sub>
                        </m:sSub>
                      </m:e>
                      <m:e>
                        <m:nary>
                          <m:naryPr>
                            <m:chr m:val="∑"/>
                            <m:supHide m:val="1"/>
                          </m:naryPr>
                          <m:sub>
                            <m:sSub>
                              <m:e>
                                <m:r>
                                  <w:rPr>
                                    <w:rFonts w:ascii="Cambria Math" w:hAnsi="Cambria Math"/>
                                  </w:rPr>
                                  <m:t xml:space="preserve">y</m:t>
                                </m:r>
                              </m:e>
                              <m:sub>
                                <m:r>
                                  <w:rPr>
                                    <w:rFonts w:ascii="Cambria Math" w:hAnsi="Cambria Math"/>
                                  </w:rPr>
                                  <m:t xml:space="preserve">i</m:t>
                                </m:r>
                              </m:sub>
                            </m:sSub>
                            <m:r>
                              <w:rPr>
                                <w:rFonts w:ascii="Cambria Math" w:hAnsi="Cambria Math"/>
                              </w:rPr>
                              <m:t xml:space="preserve">∈</m:t>
                            </m:r>
                            <m:sSub>
                              <m:e>
                                <m:r>
                                  <m:rPr>
                                    <m:lit/>
                                    <m:nor/>
                                  </m:rPr>
                                  <w:rPr>
                                    <w:rFonts w:ascii="Cambria Math" w:hAnsi="Cambria Math"/>
                                  </w:rPr>
                                  <m:t xml:space="preserve">SUMMARY</m:t>
                                </m:r>
                              </m:e>
                              <m:sub>
                                <m:r>
                                  <w:rPr>
                                    <w:rFonts w:ascii="Cambria Math" w:hAnsi="Cambria Math"/>
                                  </w:rPr>
                                  <m:t xml:space="preserve">α</m:t>
                                </m:r>
                                <m:r>
                                  <w:rPr>
                                    <w:rFonts w:ascii="Cambria Math" w:hAnsi="Cambria Math"/>
                                  </w:rPr>
                                  <m:t xml:space="preserve">∗</m:t>
                                </m:r>
                                <m:d>
                                  <m:dPr>
                                    <m:begChr m:val="("/>
                                    <m:endChr m:val=")"/>
                                  </m:dPr>
                                  <m:e>
                                    <m:r>
                                      <w:rPr>
                                        <w:rFonts w:ascii="Cambria Math" w:hAnsi="Cambria Math"/>
                                      </w:rPr>
                                      <m:t xml:space="preserve">Y</m:t>
                                    </m:r>
                                  </m:e>
                                </m:d>
                              </m:sub>
                            </m:sSub>
                            <m:sSub>
                              <m:e>
                                <m:r>
                                  <w:rPr>
                                    <w:rFonts w:ascii="Cambria Math" w:hAnsi="Cambria Math"/>
                                  </w:rPr>
                                  <m:t xml:space="preserve">σ</m:t>
                                </m:r>
                              </m:e>
                              <m:sub>
                                <m:r>
                                  <m:rPr>
                                    <m:lit/>
                                    <m:nor/>
                                  </m:rPr>
                                  <w:rPr>
                                    <w:rFonts w:ascii="Cambria Math" w:hAnsi="Cambria Math"/>
                                  </w:rPr>
                                  <m:t xml:space="preserve">SUMMARY</m:t>
                                </m:r>
                              </m:sub>
                            </m:sSub>
                            <m:d>
                              <m:dPr>
                                <m:begChr m:val="("/>
                                <m:endChr m:val=")"/>
                              </m:dPr>
                              <m:e>
                                <m:sSub>
                                  <m:e>
                                    <m:r>
                                      <w:rPr>
                                        <w:rFonts w:ascii="Cambria Math" w:hAnsi="Cambria Math"/>
                                      </w:rPr>
                                      <m:t xml:space="preserve">y</m:t>
                                    </m:r>
                                  </m:e>
                                  <m:sub>
                                    <m:r>
                                      <w:rPr>
                                        <w:rFonts w:ascii="Cambria Math" w:hAnsi="Cambria Math"/>
                                      </w:rPr>
                                      <m:t xml:space="preserve">i</m:t>
                                    </m:r>
                                  </m:sub>
                                </m:sSub>
                              </m:e>
                            </m:d>
                          </m:sub>
                          <m:sup/>
                          <m:e/>
                        </m:nary>
                      </m:e>
                      <m:e>
                        <m:sSub>
                          <m:e>
                            <m:r>
                              <m:rPr>
                                <m:lit/>
                                <m:nor/>
                              </m:rPr>
                              <w:rPr>
                                <w:rFonts w:ascii="Cambria Math" w:hAnsi="Cambria Math"/>
                              </w:rPr>
                              <m:t xml:space="preserve">Te</m:t>
                            </m:r>
                          </m:e>
                          <m:sub>
                            <m:r>
                              <m:rPr>
                                <m:lit/>
                                <m:nor/>
                              </m:rPr>
                              <w:rPr>
                                <w:rFonts w:ascii="Cambria Math" w:hAnsi="Cambria Math"/>
                              </w:rPr>
                              <m:t xml:space="preserve">2d</m:t>
                            </m:r>
                          </m:sub>
                        </m:sSub>
                        <m:r>
                          <w:rPr>
                            <w:rFonts w:ascii="Cambria Math" w:hAnsi="Cambria Math"/>
                          </w:rPr>
                          <m:t xml:space="preserve">=</m:t>
                        </m:r>
                      </m:e>
                    </m:eqArr>
                    <m:eqArr>
                      <m:e>
                        <m:eqArr>
                          <m:e>
                            <m:r>
                              <w:rPr>
                                <w:rFonts w:ascii="Cambria Math" w:hAnsi="Cambria Math"/>
                              </w:rPr>
                              <m:t xml:space="preserve">α</m:t>
                            </m:r>
                            <m:r>
                              <w:rPr>
                                <w:rFonts w:ascii="Cambria Math" w:hAnsi="Cambria Math"/>
                              </w:rPr>
                              <m:t xml:space="preserve">∗</m:t>
                            </m:r>
                            <m:d>
                              <m:dPr>
                                <m:begChr m:val="("/>
                                <m:endChr m:val=")"/>
                              </m:dPr>
                              <m:e>
                                <m:r>
                                  <w:rPr>
                                    <w:rFonts w:ascii="Cambria Math" w:hAnsi="Cambria Math"/>
                                  </w:rPr>
                                  <m:t xml:space="preserve">Y</m:t>
                                </m:r>
                              </m:e>
                            </m:d>
                          </m:e>
                          <m:e>
                            <m:sSub>
                              <m:e>
                                <m:r>
                                  <m:rPr>
                                    <m:lit/>
                                    <m:nor/>
                                  </m:rPr>
                                  <w:rPr>
                                    <w:rFonts w:ascii="Cambria Math" w:hAnsi="Cambria Math"/>
                                  </w:rPr>
                                  <m:t xml:space="preserve">SUMMARY</m:t>
                                </m:r>
                              </m:e>
                              <m:sub/>
                            </m:sSub>
                          </m:e>
                          <m:e>
                            <m:sSub>
                              <m:e/>
                              <m:sub>
                                <m:r>
                                  <m:rPr>
                                    <m:lit/>
                                    <m:nor/>
                                  </m:rPr>
                                  <w:rPr>
                                    <w:rFonts w:ascii="Cambria Math" w:hAnsi="Cambria Math"/>
                                  </w:rPr>
                                  <m:t xml:space="preserve">2c</m:t>
                                </m:r>
                              </m:sub>
                            </m:sSub>
                            <m:d>
                              <m:dPr>
                                <m:begChr m:val="["/>
                                <m:endChr m:val="]"/>
                              </m:dPr>
                              <m:e>
                                <m:r>
                                  <m:rPr>
                                    <m:lit/>
                                    <m:nor/>
                                  </m:rPr>
                                  <w:rPr>
                                    <w:rFonts w:ascii="Cambria Math" w:hAnsi="Cambria Math"/>
                                  </w:rPr>
                                  <m:t xml:space="preserve">0,1</m:t>
                                </m:r>
                              </m:e>
                            </m:d>
                          </m:e>
                          <m:e>
                            <m:nary>
                              <m:naryPr>
                                <m:chr m:val="∑"/>
                                <m:supHide m:val="1"/>
                              </m:naryPr>
                              <m:sub>
                                <m:sSub>
                                  <m:e>
                                    <m:r>
                                      <w:rPr>
                                        <w:rFonts w:ascii="Cambria Math" w:hAnsi="Cambria Math"/>
                                      </w:rPr>
                                      <m:t xml:space="preserve">y</m:t>
                                    </m:r>
                                  </m:e>
                                  <m:sub>
                                    <m:r>
                                      <w:rPr>
                                        <w:rFonts w:ascii="Cambria Math" w:hAnsi="Cambria Math"/>
                                      </w:rPr>
                                      <m:t xml:space="preserve">i</m:t>
                                    </m:r>
                                  </m:sub>
                                </m:sSub>
                                <m:r>
                                  <w:rPr>
                                    <w:rFonts w:ascii="Cambria Math" w:hAnsi="Cambria Math"/>
                                  </w:rPr>
                                  <m:t xml:space="preserve">∈</m:t>
                                </m:r>
                                <m:sSub>
                                  <m:e>
                                    <m:r>
                                      <m:rPr>
                                        <m:lit/>
                                        <m:nor/>
                                      </m:rPr>
                                      <w:rPr>
                                        <w:rFonts w:ascii="Cambria Math" w:hAnsi="Cambria Math"/>
                                      </w:rPr>
                                      <m:t xml:space="preserve">SUMMARY</m:t>
                                    </m:r>
                                  </m:e>
                                  <m:sub>
                                    <m:r>
                                      <w:rPr>
                                        <w:rFonts w:ascii="Cambria Math" w:hAnsi="Cambria Math"/>
                                      </w:rPr>
                                      <m:t xml:space="preserve">α</m:t>
                                    </m:r>
                                    <m:r>
                                      <w:rPr>
                                        <w:rFonts w:ascii="Cambria Math" w:hAnsi="Cambria Math"/>
                                      </w:rPr>
                                      <m:t xml:space="preserve">∗</m:t>
                                    </m:r>
                                    <m:d>
                                      <m:dPr>
                                        <m:begChr m:val="("/>
                                        <m:endChr m:val=")"/>
                                      </m:dPr>
                                      <m:e>
                                        <m:r>
                                          <w:rPr>
                                            <w:rFonts w:ascii="Cambria Math" w:hAnsi="Cambria Math"/>
                                          </w:rPr>
                                          <m:t xml:space="preserve">Y</m:t>
                                        </m:r>
                                      </m:e>
                                    </m:d>
                                  </m:sub>
                                </m:sSub>
                                <m:sSub>
                                  <m:e>
                                    <m:r>
                                      <w:rPr>
                                        <w:rFonts w:ascii="Cambria Math" w:hAnsi="Cambria Math"/>
                                      </w:rPr>
                                      <m:t xml:space="preserve">τ</m:t>
                                    </m:r>
                                  </m:e>
                                  <m:sub>
                                    <m:r>
                                      <m:rPr>
                                        <m:lit/>
                                        <m:nor/>
                                      </m:rPr>
                                      <w:rPr>
                                        <w:rFonts w:ascii="Cambria Math" w:hAnsi="Cambria Math"/>
                                      </w:rPr>
                                      <m:t xml:space="preserve">SUMMARY</m:t>
                                    </m:r>
                                  </m:sub>
                                </m:sSub>
                                <m:d>
                                  <m:dPr>
                                    <m:begChr m:val="("/>
                                    <m:endChr m:val=")"/>
                                  </m:dPr>
                                  <m:e>
                                    <m:sSub>
                                      <m:e>
                                        <m:r>
                                          <w:rPr>
                                            <w:rFonts w:ascii="Cambria Math" w:hAnsi="Cambria Math"/>
                                          </w:rPr>
                                          <m:t xml:space="preserve">y</m:t>
                                        </m:r>
                                      </m:e>
                                      <m:sub>
                                        <m:r>
                                          <w:rPr>
                                            <w:rFonts w:ascii="Cambria Math" w:hAnsi="Cambria Math"/>
                                          </w:rPr>
                                          <m:t xml:space="preserve">i</m:t>
                                        </m:r>
                                      </m:sub>
                                    </m:sSub>
                                  </m:e>
                                </m:d>
                              </m:sub>
                              <m:sup/>
                              <m:e/>
                            </m:nary>
                          </m:e>
                          <m:e>
                            <m:sSub>
                              <m:e>
                                <m:r>
                                  <m:rPr>
                                    <m:lit/>
                                    <m:nor/>
                                  </m:rPr>
                                  <w:rPr>
                                    <w:rFonts w:ascii="Cambria Math" w:hAnsi="Cambria Math"/>
                                  </w:rPr>
                                  <m:t xml:space="preserve">Te</m:t>
                                </m:r>
                              </m:e>
                              <m:sub>
                                <m:r>
                                  <m:rPr>
                                    <m:lit/>
                                    <m:nor/>
                                  </m:rPr>
                                  <w:rPr>
                                    <w:rFonts w:ascii="Cambria Math" w:hAnsi="Cambria Math"/>
                                  </w:rPr>
                                  <m:t xml:space="preserve">2c</m:t>
                                </m:r>
                              </m:sub>
                            </m:sSub>
                            <m:r>
                              <w:rPr>
                                <w:rFonts w:ascii="Cambria Math" w:hAnsi="Cambria Math"/>
                              </w:rPr>
                              <m:t xml:space="preserve">=</m:t>
                            </m:r>
                          </m:e>
                        </m:eqArr>
                        <m:eqArr>
                          <m:e/>
                          <m:e>
                            <m:eqArr>
                              <m:e>
                                <m:sSub>
                                  <m:e>
                                    <m:r>
                                      <m:rPr>
                                        <m:lit/>
                                        <m:nor/>
                                      </m:rPr>
                                      <w:rPr>
                                        <w:rFonts w:ascii="Cambria Math" w:hAnsi="Cambria Math"/>
                                      </w:rPr>
                                      <m:t xml:space="preserve">SUMMARY</m:t>
                                    </m:r>
                                  </m:e>
                                  <m:sub/>
                                </m:sSub>
                              </m:e>
                              <m:e>
                                <m:nary>
                                  <m:naryPr>
                                    <m:chr m:val="∑"/>
                                    <m:supHide m:val="1"/>
                                  </m:naryPr>
                                  <m:sub>
                                    <m:sSub>
                                      <m:e>
                                        <m:r>
                                          <w:rPr>
                                            <w:rFonts w:ascii="Cambria Math" w:hAnsi="Cambria Math"/>
                                          </w:rPr>
                                          <m:t xml:space="preserve">y</m:t>
                                        </m:r>
                                      </m:e>
                                      <m:sub>
                                        <m:r>
                                          <w:rPr>
                                            <w:rFonts w:ascii="Cambria Math" w:hAnsi="Cambria Math"/>
                                          </w:rPr>
                                          <m:t xml:space="preserve">i</m:t>
                                        </m:r>
                                      </m:sub>
                                    </m:sSub>
                                    <m:r>
                                      <w:rPr>
                                        <w:rFonts w:ascii="Cambria Math" w:hAnsi="Cambria Math"/>
                                      </w:rPr>
                                      <m:t xml:space="preserve">∈</m:t>
                                    </m:r>
                                    <m:sSub>
                                      <m:e>
                                        <m:r>
                                          <m:rPr>
                                            <m:lit/>
                                            <m:nor/>
                                          </m:rPr>
                                          <w:rPr>
                                            <w:rFonts w:ascii="Cambria Math" w:hAnsi="Cambria Math"/>
                                          </w:rPr>
                                          <m:t xml:space="preserve">SUMMARY</m:t>
                                        </m:r>
                                      </m:e>
                                      <m:sub>
                                        <m:r>
                                          <w:rPr>
                                            <w:rFonts w:ascii="Cambria Math" w:hAnsi="Cambria Math"/>
                                          </w:rPr>
                                          <m:t xml:space="preserve">α</m:t>
                                        </m:r>
                                        <m:r>
                                          <w:rPr>
                                            <w:rFonts w:ascii="Cambria Math" w:hAnsi="Cambria Math"/>
                                          </w:rPr>
                                          <m:t xml:space="preserve">∗</m:t>
                                        </m:r>
                                        <m:d>
                                          <m:dPr>
                                            <m:begChr m:val="("/>
                                            <m:endChr m:val=")"/>
                                          </m:dPr>
                                          <m:e>
                                            <m:r>
                                              <w:rPr>
                                                <w:rFonts w:ascii="Cambria Math" w:hAnsi="Cambria Math"/>
                                              </w:rPr>
                                              <m:t xml:space="preserve">Y</m:t>
                                            </m:r>
                                          </m:e>
                                        </m:d>
                                      </m:sub>
                                    </m:sSub>
                                    <m:d>
                                      <m:dPr>
                                        <m:begChr m:val="("/>
                                        <m:endChr m:val=")"/>
                                      </m:dPr>
                                      <m:e>
                                        <m:f>
                                          <m:num>
                                            <m:sSub>
                                              <m:e>
                                                <m:r>
                                                  <w:rPr>
                                                    <w:rFonts w:ascii="Cambria Math" w:hAnsi="Cambria Math"/>
                                                  </w:rPr>
                                                  <m:t xml:space="preserve">τ</m:t>
                                                </m:r>
                                              </m:e>
                                              <m:sub>
                                                <m:r>
                                                  <m:rPr>
                                                    <m:lit/>
                                                    <m:nor/>
                                                  </m:rPr>
                                                  <w:rPr>
                                                    <w:rFonts w:ascii="Cambria Math" w:hAnsi="Cambria Math"/>
                                                  </w:rPr>
                                                  <m:t xml:space="preserve">SUMMARY</m:t>
                                                </m:r>
                                              </m:sub>
                                            </m:sSub>
                                            <m:d>
                                              <m:dPr>
                                                <m:begChr m:val="("/>
                                                <m:endChr m:val=")"/>
                                              </m:dPr>
                                              <m:e>
                                                <m:sSub>
                                                  <m:e>
                                                    <m:r>
                                                      <w:rPr>
                                                        <w:rFonts w:ascii="Cambria Math" w:hAnsi="Cambria Math"/>
                                                      </w:rPr>
                                                      <m:t xml:space="preserve">y</m:t>
                                                    </m:r>
                                                  </m:e>
                                                  <m:sub>
                                                    <m:r>
                                                      <w:rPr>
                                                        <w:rFonts w:ascii="Cambria Math" w:hAnsi="Cambria Math"/>
                                                      </w:rPr>
                                                      <m:t xml:space="preserve">i</m:t>
                                                    </m:r>
                                                  </m:sub>
                                                </m:sSub>
                                              </m:e>
                                            </m:d>
                                            <m:r>
                                              <w:rPr>
                                                <w:rFonts w:ascii="Cambria Math" w:hAnsi="Cambria Math"/>
                                              </w:rPr>
                                              <m:t xml:space="preserve">+</m:t>
                                            </m:r>
                                            <m:sSub>
                                              <m:e>
                                                <m:r>
                                                  <w:rPr>
                                                    <w:rFonts w:ascii="Cambria Math" w:hAnsi="Cambria Math"/>
                                                  </w:rPr>
                                                  <m:t xml:space="preserve">σ</m:t>
                                                </m:r>
                                              </m:e>
                                              <m:sub>
                                                <m:r>
                                                  <m:rPr>
                                                    <m:lit/>
                                                    <m:nor/>
                                                  </m:rPr>
                                                  <w:rPr>
                                                    <w:rFonts w:ascii="Cambria Math" w:hAnsi="Cambria Math"/>
                                                  </w:rPr>
                                                  <m:t xml:space="preserve">SUMMARY</m:t>
                                                </m:r>
                                              </m:sub>
                                            </m:sSub>
                                            <m:d>
                                              <m:dPr>
                                                <m:begChr m:val="("/>
                                                <m:endChr m:val=")"/>
                                              </m:dPr>
                                              <m:e>
                                                <m:sSub>
                                                  <m:e>
                                                    <m:r>
                                                      <w:rPr>
                                                        <w:rFonts w:ascii="Cambria Math" w:hAnsi="Cambria Math"/>
                                                      </w:rPr>
                                                      <m:t xml:space="preserve">y</m:t>
                                                    </m:r>
                                                  </m:e>
                                                  <m:sub>
                                                    <m:r>
                                                      <w:rPr>
                                                        <w:rFonts w:ascii="Cambria Math" w:hAnsi="Cambria Math"/>
                                                      </w:rPr>
                                                      <m:t xml:space="preserve">i</m:t>
                                                    </m:r>
                                                  </m:sub>
                                                </m:sSub>
                                              </m:e>
                                            </m:d>
                                          </m:num>
                                          <m:den>
                                            <m:r>
                                              <w:rPr>
                                                <w:rFonts w:ascii="Cambria Math" w:hAnsi="Cambria Math"/>
                                              </w:rPr>
                                              <m:t xml:space="preserve">2</m:t>
                                            </m:r>
                                          </m:den>
                                        </m:f>
                                      </m:e>
                                    </m:d>
                                  </m:sub>
                                  <m:sup/>
                                  <m:e/>
                                </m:nary>
                              </m:e>
                              <m:e>
                                <m:sSub>
                                  <m:e>
                                    <m:r>
                                      <m:rPr>
                                        <m:lit/>
                                        <m:nor/>
                                      </m:rPr>
                                      <w:rPr>
                                        <w:rFonts w:ascii="Cambria Math" w:hAnsi="Cambria Math"/>
                                      </w:rPr>
                                      <m:t xml:space="preserve">Te</m:t>
                                    </m:r>
                                  </m:e>
                                  <m:sub>
                                    <m:r>
                                      <m:rPr>
                                        <m:lit/>
                                        <m:nor/>
                                      </m:rPr>
                                      <w:rPr>
                                        <w:rFonts w:ascii="Cambria Math" w:hAnsi="Cambria Math"/>
                                      </w:rPr>
                                      <m:t xml:space="preserve">2b</m:t>
                                    </m:r>
                                  </m:sub>
                                </m:sSub>
                                <m:r>
                                  <w:rPr>
                                    <w:rFonts w:ascii="Cambria Math" w:hAnsi="Cambria Math"/>
                                  </w:rPr>
                                  <m:t xml:space="preserve">=</m:t>
                                </m:r>
                                <m:eqArr>
                                  <m:e/>
                                </m:eqArr>
                              </m:e>
                            </m:eqArr>
                            <m:eqArr>
                              <m:e/>
                              <m:e>
                                <m:eqArr>
                                  <m:e>
                                    <m:sSub>
                                      <m:e>
                                        <m:r>
                                          <m:rPr>
                                            <m:lit/>
                                            <m:nor/>
                                          </m:rPr>
                                          <w:rPr>
                                            <w:rFonts w:ascii="Cambria Math" w:hAnsi="Cambria Math"/>
                                          </w:rPr>
                                          <m:t xml:space="preserve">SUMMARY</m:t>
                                        </m:r>
                                      </m:e>
                                      <m:sub/>
                                    </m:sSub>
                                  </m:e>
                                  <m:e>
                                    <m:nary>
                                      <m:naryPr>
                                        <m:chr m:val="∑"/>
                                        <m:supHide m:val="1"/>
                                      </m:naryPr>
                                      <m:sub>
                                        <m:sSub>
                                          <m:e>
                                            <m:r>
                                              <w:rPr>
                                                <w:rFonts w:ascii="Cambria Math" w:hAnsi="Cambria Math"/>
                                              </w:rPr>
                                              <m:t xml:space="preserve">y</m:t>
                                            </m:r>
                                          </m:e>
                                          <m:sub>
                                            <m:r>
                                              <w:rPr>
                                                <w:rFonts w:ascii="Cambria Math" w:hAnsi="Cambria Math"/>
                                              </w:rPr>
                                              <m:t xml:space="preserve">i</m:t>
                                            </m:r>
                                          </m:sub>
                                        </m:sSub>
                                        <m:r>
                                          <w:rPr>
                                            <w:rFonts w:ascii="Cambria Math" w:hAnsi="Cambria Math"/>
                                          </w:rPr>
                                          <m:t xml:space="preserve">∈</m:t>
                                        </m:r>
                                        <m:sSub>
                                          <m:e>
                                            <m:r>
                                              <m:rPr>
                                                <m:lit/>
                                                <m:nor/>
                                              </m:rPr>
                                              <w:rPr>
                                                <w:rFonts w:ascii="Cambria Math" w:hAnsi="Cambria Math"/>
                                              </w:rPr>
                                              <m:t xml:space="preserve">SUMMARY</m:t>
                                            </m:r>
                                          </m:e>
                                          <m:sub>
                                            <m:r>
                                              <w:rPr>
                                                <w:rFonts w:ascii="Cambria Math" w:hAnsi="Cambria Math"/>
                                              </w:rPr>
                                              <m:t xml:space="preserve">α</m:t>
                                            </m:r>
                                            <m:r>
                                              <w:rPr>
                                                <w:rFonts w:ascii="Cambria Math" w:hAnsi="Cambria Math"/>
                                              </w:rPr>
                                              <m:t xml:space="preserve">∗</m:t>
                                            </m:r>
                                            <m:d>
                                              <m:dPr>
                                                <m:begChr m:val="("/>
                                                <m:endChr m:val=")"/>
                                              </m:dPr>
                                              <m:e>
                                                <m:r>
                                                  <w:rPr>
                                                    <w:rFonts w:ascii="Cambria Math" w:hAnsi="Cambria Math"/>
                                                  </w:rPr>
                                                  <m:t xml:space="preserve">Y</m:t>
                                                </m:r>
                                              </m:e>
                                            </m:d>
                                          </m:sub>
                                        </m:sSub>
                                        <m:d>
                                          <m:dPr>
                                            <m:begChr m:val="("/>
                                            <m:endChr m:val=")"/>
                                          </m:dPr>
                                          <m:e>
                                            <m:f>
                                              <m:num>
                                                <m:r>
                                                  <w:rPr>
                                                    <w:rFonts w:ascii="Cambria Math" w:hAnsi="Cambria Math"/>
                                                  </w:rPr>
                                                  <m:t xml:space="preserve">1</m:t>
                                                </m:r>
                                                <m:r>
                                                  <w:rPr>
                                                    <w:rFonts w:ascii="Cambria Math" w:hAnsi="Cambria Math"/>
                                                  </w:rPr>
                                                  <m:t xml:space="preserve">−</m:t>
                                                </m:r>
                                                <m:sSub>
                                                  <m:e>
                                                    <m:r>
                                                      <w:rPr>
                                                        <w:rFonts w:ascii="Cambria Math" w:hAnsi="Cambria Math"/>
                                                      </w:rPr>
                                                      <m:t xml:space="preserve">μ</m:t>
                                                    </m:r>
                                                  </m:e>
                                                  <m:sub>
                                                    <m:r>
                                                      <m:rPr>
                                                        <m:lit/>
                                                        <m:nor/>
                                                      </m:rPr>
                                                      <w:rPr>
                                                        <w:rFonts w:ascii="Cambria Math" w:hAnsi="Cambria Math"/>
                                                      </w:rPr>
                                                      <m:t xml:space="preserve">SUMMARY</m:t>
                                                    </m:r>
                                                  </m:sub>
                                                </m:sSub>
                                                <m:d>
                                                  <m:dPr>
                                                    <m:begChr m:val="("/>
                                                    <m:endChr m:val=")"/>
                                                  </m:dPr>
                                                  <m:e>
                                                    <m:sSub>
                                                      <m:e>
                                                        <m:r>
                                                          <w:rPr>
                                                            <w:rFonts w:ascii="Cambria Math" w:hAnsi="Cambria Math"/>
                                                          </w:rPr>
                                                          <m:t xml:space="preserve">y</m:t>
                                                        </m:r>
                                                      </m:e>
                                                      <m:sub>
                                                        <m:r>
                                                          <w:rPr>
                                                            <w:rFonts w:ascii="Cambria Math" w:hAnsi="Cambria Math"/>
                                                          </w:rPr>
                                                          <m:t xml:space="preserve">i</m:t>
                                                        </m:r>
                                                      </m:sub>
                                                    </m:sSub>
                                                  </m:e>
                                                </m:d>
                                                <m:r>
                                                  <w:rPr>
                                                    <w:rFonts w:ascii="Cambria Math" w:hAnsi="Cambria Math"/>
                                                  </w:rPr>
                                                  <m:t xml:space="preserve">+</m:t>
                                                </m:r>
                                                <m:sSub>
                                                  <m:e>
                                                    <m:r>
                                                      <w:rPr>
                                                        <w:rFonts w:ascii="Cambria Math" w:hAnsi="Cambria Math"/>
                                                      </w:rPr>
                                                      <m:t xml:space="preserve">τ</m:t>
                                                    </m:r>
                                                  </m:e>
                                                  <m:sub>
                                                    <m:r>
                                                      <m:rPr>
                                                        <m:lit/>
                                                        <m:nor/>
                                                      </m:rPr>
                                                      <w:rPr>
                                                        <w:rFonts w:ascii="Cambria Math" w:hAnsi="Cambria Math"/>
                                                      </w:rPr>
                                                      <m:t xml:space="preserve">SUMMARY</m:t>
                                                    </m:r>
                                                  </m:sub>
                                                </m:sSub>
                                                <m:d>
                                                  <m:dPr>
                                                    <m:begChr m:val="("/>
                                                    <m:endChr m:val=")"/>
                                                  </m:dPr>
                                                  <m:e>
                                                    <m:sSub>
                                                      <m:e>
                                                        <m:r>
                                                          <w:rPr>
                                                            <w:rFonts w:ascii="Cambria Math" w:hAnsi="Cambria Math"/>
                                                          </w:rPr>
                                                          <m:t xml:space="preserve">y</m:t>
                                                        </m:r>
                                                      </m:e>
                                                      <m:sub>
                                                        <m:r>
                                                          <w:rPr>
                                                            <w:rFonts w:ascii="Cambria Math" w:hAnsi="Cambria Math"/>
                                                          </w:rPr>
                                                          <m:t xml:space="preserve">i</m:t>
                                                        </m:r>
                                                      </m:sub>
                                                    </m:sSub>
                                                  </m:e>
                                                </m:d>
                                                <m:r>
                                                  <w:rPr>
                                                    <w:rFonts w:ascii="Cambria Math" w:hAnsi="Cambria Math"/>
                                                  </w:rPr>
                                                  <m:t xml:space="preserve">+</m:t>
                                                </m:r>
                                                <m:sSub>
                                                  <m:e>
                                                    <m:r>
                                                      <w:rPr>
                                                        <w:rFonts w:ascii="Cambria Math" w:hAnsi="Cambria Math"/>
                                                      </w:rPr>
                                                      <m:t xml:space="preserve">σ</m:t>
                                                    </m:r>
                                                  </m:e>
                                                  <m:sub>
                                                    <m:r>
                                                      <m:rPr>
                                                        <m:lit/>
                                                        <m:nor/>
                                                      </m:rPr>
                                                      <w:rPr>
                                                        <w:rFonts w:ascii="Cambria Math" w:hAnsi="Cambria Math"/>
                                                      </w:rPr>
                                                      <m:t xml:space="preserve">SUMMARY</m:t>
                                                    </m:r>
                                                  </m:sub>
                                                </m:sSub>
                                                <m:d>
                                                  <m:dPr>
                                                    <m:begChr m:val="("/>
                                                    <m:endChr m:val=")"/>
                                                  </m:dPr>
                                                  <m:e>
                                                    <m:sSub>
                                                      <m:e>
                                                        <m:r>
                                                          <w:rPr>
                                                            <w:rFonts w:ascii="Cambria Math" w:hAnsi="Cambria Math"/>
                                                          </w:rPr>
                                                          <m:t xml:space="preserve">y</m:t>
                                                        </m:r>
                                                      </m:e>
                                                      <m:sub>
                                                        <m:r>
                                                          <w:rPr>
                                                            <w:rFonts w:ascii="Cambria Math" w:hAnsi="Cambria Math"/>
                                                          </w:rPr>
                                                          <m:t xml:space="preserve">i</m:t>
                                                        </m:r>
                                                      </m:sub>
                                                    </m:sSub>
                                                  </m:e>
                                                </m:d>
                                              </m:num>
                                              <m:den>
                                                <m:r>
                                                  <w:rPr>
                                                    <w:rFonts w:ascii="Cambria Math" w:hAnsi="Cambria Math"/>
                                                  </w:rPr>
                                                  <m:t xml:space="preserve">3</m:t>
                                                </m:r>
                                              </m:den>
                                            </m:f>
                                          </m:e>
                                        </m:d>
                                      </m:sub>
                                      <m:sup/>
                                      <m:e/>
                                    </m:nary>
                                  </m:e>
                                  <m:e>
                                    <m:sSub>
                                      <m:e>
                                        <m:r>
                                          <m:rPr>
                                            <m:lit/>
                                            <m:nor/>
                                          </m:rPr>
                                          <w:rPr>
                                            <w:rFonts w:ascii="Cambria Math" w:hAnsi="Cambria Math"/>
                                          </w:rPr>
                                          <m:t xml:space="preserve">Te</m:t>
                                        </m:r>
                                      </m:e>
                                      <m:sub>
                                        <m:r>
                                          <m:rPr>
                                            <m:lit/>
                                            <m:nor/>
                                          </m:rPr>
                                          <w:rPr>
                                            <w:rFonts w:ascii="Cambria Math" w:hAnsi="Cambria Math"/>
                                          </w:rPr>
                                          <m:t xml:space="preserve">2a</m:t>
                                        </m:r>
                                      </m:sub>
                                    </m:sSub>
                                    <m:r>
                                      <w:rPr>
                                        <w:rFonts w:ascii="Cambria Math" w:hAnsi="Cambria Math"/>
                                      </w:rPr>
                                      <m:t xml:space="preserve">=</m:t>
                                    </m:r>
                                    <m:eqArr>
                                      <m:e/>
                                    </m:eqArr>
                                  </m:e>
                                </m:eqArr>
                                <m:eqArr>
                                  <m:e>
                                    <m:eqArr>
                                      <m:e>
                                        <m:r>
                                          <w:rPr>
                                            <w:rFonts w:ascii="Cambria Math" w:hAnsi="Cambria Math"/>
                                          </w:rPr>
                                          <m:t xml:space="preserve">α</m:t>
                                        </m:r>
                                        <m:r>
                                          <w:rPr>
                                            <w:rFonts w:ascii="Cambria Math" w:hAnsi="Cambria Math"/>
                                          </w:rPr>
                                          <m:t xml:space="preserve">∗</m:t>
                                        </m:r>
                                        <m:d>
                                          <m:dPr>
                                            <m:begChr m:val="("/>
                                            <m:endChr m:val=")"/>
                                          </m:dPr>
                                          <m:e>
                                            <m:r>
                                              <w:rPr>
                                                <w:rFonts w:ascii="Cambria Math" w:hAnsi="Cambria Math"/>
                                              </w:rPr>
                                              <m:t xml:space="preserve">Y</m:t>
                                            </m:r>
                                          </m:e>
                                        </m:d>
                                      </m:e>
                                      <m:e>
                                        <m:sSub>
                                          <m:e>
                                            <m:r>
                                              <m:rPr>
                                                <m:lit/>
                                                <m:nor/>
                                              </m:rPr>
                                              <w:rPr>
                                                <w:rFonts w:ascii="Cambria Math" w:hAnsi="Cambria Math"/>
                                              </w:rPr>
                                              <m:t xml:space="preserve">SUMMARY</m:t>
                                            </m:r>
                                          </m:e>
                                          <m:sub/>
                                        </m:sSub>
                                      </m:e>
                                      <m:e>
                                        <m:sSub>
                                          <m:e/>
                                          <m:sub>
                                            <m:r>
                                              <m:rPr>
                                                <m:lit/>
                                                <m:nor/>
                                              </m:rPr>
                                              <w:rPr>
                                                <w:rFonts w:ascii="Cambria Math" w:hAnsi="Cambria Math"/>
                                              </w:rPr>
                                              <m:t xml:space="preserve">1b</m:t>
                                            </m:r>
                                          </m:sub>
                                        </m:sSub>
                                      </m:e>
                                      <m:e>
                                        <m:nary>
                                          <m:naryPr>
                                            <m:chr m:val="∑"/>
                                            <m:supHide m:val="1"/>
                                          </m:naryPr>
                                          <m:sub>
                                            <m:sSub>
                                              <m:e>
                                                <m:r>
                                                  <w:rPr>
                                                    <w:rFonts w:ascii="Cambria Math" w:hAnsi="Cambria Math"/>
                                                  </w:rPr>
                                                  <m:t xml:space="preserve">y</m:t>
                                                </m:r>
                                              </m:e>
                                              <m:sub>
                                                <m:r>
                                                  <w:rPr>
                                                    <w:rFonts w:ascii="Cambria Math" w:hAnsi="Cambria Math"/>
                                                  </w:rPr>
                                                  <m:t xml:space="preserve">i</m:t>
                                                </m:r>
                                              </m:sub>
                                            </m:sSub>
                                            <m:r>
                                              <w:rPr>
                                                <w:rFonts w:ascii="Cambria Math" w:hAnsi="Cambria Math"/>
                                              </w:rPr>
                                              <m:t xml:space="preserve">∈</m:t>
                                            </m:r>
                                            <m:sSub>
                                              <m:e>
                                                <m:r>
                                                  <m:rPr>
                                                    <m:lit/>
                                                    <m:nor/>
                                                  </m:rPr>
                                                  <w:rPr>
                                                    <w:rFonts w:ascii="Cambria Math" w:hAnsi="Cambria Math"/>
                                                  </w:rPr>
                                                  <m:t xml:space="preserve">SUMMARY</m:t>
                                                </m:r>
                                              </m:e>
                                              <m:sub>
                                                <m:r>
                                                  <w:rPr>
                                                    <w:rFonts w:ascii="Cambria Math" w:hAnsi="Cambria Math"/>
                                                  </w:rPr>
                                                  <m:t xml:space="preserve">α</m:t>
                                                </m:r>
                                                <m:r>
                                                  <w:rPr>
                                                    <w:rFonts w:ascii="Cambria Math" w:hAnsi="Cambria Math"/>
                                                  </w:rPr>
                                                  <m:t xml:space="preserve">∗</m:t>
                                                </m:r>
                                                <m:d>
                                                  <m:dPr>
                                                    <m:begChr m:val="("/>
                                                    <m:endChr m:val=")"/>
                                                  </m:dPr>
                                                  <m:e>
                                                    <m:r>
                                                      <w:rPr>
                                                        <w:rFonts w:ascii="Cambria Math" w:hAnsi="Cambria Math"/>
                                                      </w:rPr>
                                                      <m:t xml:space="preserve">Y</m:t>
                                                    </m:r>
                                                  </m:e>
                                                </m:d>
                                              </m:sub>
                                            </m:sSub>
                                            <m:sSub>
                                              <m:e>
                                                <m:r>
                                                  <w:rPr>
                                                    <w:rFonts w:ascii="Cambria Math" w:hAnsi="Cambria Math"/>
                                                  </w:rPr>
                                                  <m:t xml:space="preserve">μ</m:t>
                                                </m:r>
                                              </m:e>
                                              <m:sub>
                                                <m:r>
                                                  <m:rPr>
                                                    <m:lit/>
                                                    <m:nor/>
                                                  </m:rPr>
                                                  <w:rPr>
                                                    <w:rFonts w:ascii="Cambria Math" w:hAnsi="Cambria Math"/>
                                                  </w:rPr>
                                                  <m:t xml:space="preserve">SUMMARY</m:t>
                                                </m:r>
                                              </m:sub>
                                            </m:sSub>
                                            <m:d>
                                              <m:dPr>
                                                <m:begChr m:val="("/>
                                                <m:endChr m:val=")"/>
                                              </m:dPr>
                                              <m:e>
                                                <m:sSub>
                                                  <m:e>
                                                    <m:r>
                                                      <w:rPr>
                                                        <w:rFonts w:ascii="Cambria Math" w:hAnsi="Cambria Math"/>
                                                      </w:rPr>
                                                      <m:t xml:space="preserve">y</m:t>
                                                    </m:r>
                                                  </m:e>
                                                  <m:sub>
                                                    <m:r>
                                                      <w:rPr>
                                                        <w:rFonts w:ascii="Cambria Math" w:hAnsi="Cambria Math"/>
                                                      </w:rPr>
                                                      <m:t xml:space="preserve">i</m:t>
                                                    </m:r>
                                                  </m:sub>
                                                </m:sSub>
                                              </m:e>
                                            </m:d>
                                          </m:sub>
                                          <m:sup/>
                                          <m:e/>
                                        </m:nary>
                                      </m:e>
                                      <m:e>
                                        <m:sSub>
                                          <m:e>
                                            <m:r>
                                              <m:rPr>
                                                <m:lit/>
                                                <m:nor/>
                                              </m:rPr>
                                              <w:rPr>
                                                <w:rFonts w:ascii="Cambria Math" w:hAnsi="Cambria Math"/>
                                              </w:rPr>
                                              <m:t xml:space="preserve">Te</m:t>
                                            </m:r>
                                          </m:e>
                                          <m:sub>
                                            <m:r>
                                              <m:rPr>
                                                <m:lit/>
                                                <m:nor/>
                                              </m:rPr>
                                              <w:rPr>
                                                <w:rFonts w:ascii="Cambria Math" w:hAnsi="Cambria Math"/>
                                              </w:rPr>
                                              <m:t xml:space="preserve">1b</m:t>
                                            </m:r>
                                          </m:sub>
                                        </m:sSub>
                                        <m:r>
                                          <w:rPr>
                                            <w:rFonts w:ascii="Cambria Math" w:hAnsi="Cambria Math"/>
                                          </w:rPr>
                                          <m:t xml:space="preserve">=</m:t>
                                        </m:r>
                                      </m:e>
                                    </m:eqArr>
                                    <m:eqArr>
                                      <m:e>
                                        <m:eqArr>
                                          <m:e>
                                            <m:eqArr>
                                              <m:e>
                                                <m:r>
                                                  <w:rPr>
                                                    <w:rFonts w:ascii="Cambria Math" w:hAnsi="Cambria Math"/>
                                                  </w:rPr>
                                                  <m:t xml:space="preserve">α</m:t>
                                                </m:r>
                                                <m:r>
                                                  <w:rPr>
                                                    <w:rFonts w:ascii="Cambria Math" w:hAnsi="Cambria Math"/>
                                                  </w:rPr>
                                                  <m:t xml:space="preserve">∗</m:t>
                                                </m:r>
                                                <m:d>
                                                  <m:dPr>
                                                    <m:begChr m:val="("/>
                                                    <m:endChr m:val=")"/>
                                                  </m:dPr>
                                                  <m:e>
                                                    <m:r>
                                                      <w:rPr>
                                                        <w:rFonts w:ascii="Cambria Math" w:hAnsi="Cambria Math"/>
                                                      </w:rPr>
                                                      <m:t xml:space="preserve">Y</m:t>
                                                    </m:r>
                                                  </m:e>
                                                </m:d>
                                              </m:e>
                                              <m:e>
                                                <m:sSub>
                                                  <m:e>
                                                    <m:r>
                                                      <m:rPr>
                                                        <m:lit/>
                                                        <m:nor/>
                                                      </m:rPr>
                                                      <w:rPr>
                                                        <w:rFonts w:ascii="Cambria Math" w:hAnsi="Cambria Math"/>
                                                      </w:rPr>
                                                      <m:t xml:space="preserve">SUMMARY</m:t>
                                                    </m:r>
                                                  </m:e>
                                                  <m:sub/>
                                                </m:sSub>
                                              </m:e>
                                              <m:e>
                                                <m:sSub>
                                                  <m:e>
                                                    <m:r>
                                                      <m:rPr>
                                                        <m:lit/>
                                                        <m:nor/>
                                                      </m:rPr>
                                                      <w:rPr>
                                                        <w:rFonts w:ascii="Cambria Math" w:hAnsi="Cambria Math"/>
                                                      </w:rPr>
                                                      <m:t xml:space="preserve">  , tal que Te</m:t>
                                                    </m:r>
                                                  </m:e>
                                                  <m:sub>
                                                    <m:r>
                                                      <m:rPr>
                                                        <m:lit/>
                                                        <m:nor/>
                                                      </m:rPr>
                                                      <w:rPr>
                                                        <w:rFonts w:ascii="Cambria Math" w:hAnsi="Cambria Math"/>
                                                      </w:rPr>
                                                      <m:t xml:space="preserve">1a</m:t>
                                                    </m:r>
                                                  </m:sub>
                                                </m:sSub>
                                                <m:d>
                                                  <m:dPr>
                                                    <m:begChr m:val="["/>
                                                    <m:endChr m:val="]"/>
                                                  </m:dPr>
                                                  <m:e>
                                                    <m:r>
                                                      <m:rPr>
                                                        <m:lit/>
                                                        <m:nor/>
                                                      </m:rPr>
                                                      <w:rPr>
                                                        <w:rFonts w:ascii="Cambria Math" w:hAnsi="Cambria Math"/>
                                                      </w:rPr>
                                                      <m:t xml:space="preserve">0,1</m:t>
                                                    </m:r>
                                                  </m:e>
                                                </m:d>
                                              </m:e>
                                              <m:e>
                                                <m:sSub>
                                                  <m:e>
                                                    <m:r>
                                                      <m:rPr>
                                                        <m:lit/>
                                                        <m:nor/>
                                                      </m:rPr>
                                                      <w:rPr>
                                                        <w:rFonts w:ascii="Cambria Math" w:hAnsi="Cambria Math"/>
                                                      </w:rPr>
                                                      <m:t xml:space="preserve">Te</m:t>
                                                    </m:r>
                                                  </m:e>
                                                  <m:sub>
                                                    <m:r>
                                                      <m:rPr>
                                                        <m:lit/>
                                                        <m:nor/>
                                                      </m:rPr>
                                                      <w:rPr>
                                                        <w:rFonts w:ascii="Cambria Math" w:hAnsi="Cambria Math"/>
                                                      </w:rPr>
                                                      <m:t xml:space="preserve">1a</m:t>
                                                    </m:r>
                                                  </m:sub>
                                                </m:sSub>
                                                <m:r>
                                                  <w:rPr>
                                                    <w:rFonts w:ascii="Cambria Math" w:hAnsi="Cambria Math"/>
                                                  </w:rPr>
                                                  <m:t xml:space="preserve">=</m:t>
                                                </m:r>
                                                <m:sSub>
                                                  <m:e>
                                                    <m:r>
                                                      <w:rPr>
                                                        <w:rFonts w:ascii="Cambria Math" w:hAnsi="Cambria Math"/>
                                                      </w:rPr>
                                                      <m:t xml:space="preserve">μ</m:t>
                                                    </m:r>
                                                  </m:e>
                                                  <m:sub>
                                                    <m:r>
                                                      <w:rPr>
                                                        <w:rFonts w:ascii="Cambria Math" w:hAnsi="Cambria Math"/>
                                                      </w:rPr>
                                                      <m:t xml:space="preserve">Q</m:t>
                                                    </m:r>
                                                  </m:sub>
                                                </m:sSub>
                                              </m:e>
                                              <m:e/>
                                            </m:eqArr>
                                          </m:e>
                                        </m:eqArr>
                                        <m:sSub>
                                          <m:e>
                                            <m:r>
                                              <w:rPr>
                                                <w:rFonts w:ascii="Cambria Math" w:hAnsi="Cambria Math"/>
                                              </w:rPr>
                                              <m:t xml:space="preserve">σ</m:t>
                                            </m:r>
                                          </m:e>
                                          <m:sub>
                                            <m:r>
                                              <m:rPr>
                                                <m:lit/>
                                                <m:nor/>
                                              </m:rPr>
                                              <w:rPr>
                                                <w:rFonts w:ascii="Cambria Math" w:hAnsi="Cambria Math"/>
                                              </w:rPr>
                                              <m:t xml:space="preserve">SUMMARY</m:t>
                                            </m:r>
                                          </m:sub>
                                        </m:sSub>
                                        <m:d>
                                          <m:dPr>
                                            <m:begChr m:val="("/>
                                            <m:endChr m:val=")"/>
                                          </m:dPr>
                                          <m:e>
                                            <m:sSub>
                                              <m:e>
                                                <m:r>
                                                  <w:rPr>
                                                    <w:rFonts w:ascii="Cambria Math" w:hAnsi="Cambria Math"/>
                                                  </w:rPr>
                                                  <m:t xml:space="preserve">y</m:t>
                                                </m:r>
                                              </m:e>
                                              <m:sub>
                                                <m:r>
                                                  <w:rPr>
                                                    <w:rFonts w:ascii="Cambria Math" w:hAnsi="Cambria Math"/>
                                                  </w:rPr>
                                                  <m:t xml:space="preserve">i</m:t>
                                                </m:r>
                                              </m:sub>
                                            </m:sSub>
                                          </m:e>
                                        </m:d>
                                        <m:sSub>
                                          <m:e>
                                            <m:r>
                                              <m:rPr>
                                                <m:lit/>
                                                <m:nor/>
                                              </m:rPr>
                                              <w:rPr>
                                                <w:rFonts w:ascii="Cambria Math" w:hAnsi="Cambria Math"/>
                                              </w:rPr>
                                              <m:t xml:space="preserve">=TNorm</m:t>
                                            </m:r>
                                          </m:e>
                                          <m:sub>
                                            <m:m>
                                              <m:mr>
                                                <m:e>
                                                  <m:r>
                                                    <w:rPr>
                                                      <w:rFonts w:ascii="Cambria Math" w:hAnsi="Cambria Math"/>
                                                    </w:rPr>
                                                    <m:t xml:space="preserve">k</m:t>
                                                  </m:r>
                                                  <m:r>
                                                    <w:rPr>
                                                      <w:rFonts w:ascii="Cambria Math" w:hAnsi="Cambria Math"/>
                                                    </w:rPr>
                                                    <m:t xml:space="preserve">∈</m:t>
                                                  </m:r>
                                                  <m:d>
                                                    <m:dPr>
                                                      <m:begChr m:val="{"/>
                                                      <m:endChr m:val="}"/>
                                                    </m:dPr>
                                                    <m:e>
                                                      <m:r>
                                                        <m:rPr>
                                                          <m:lit/>
                                                          <m:nor/>
                                                        </m:rPr>
                                                        <w:rPr>
                                                          <w:rFonts w:ascii="Cambria Math" w:hAnsi="Cambria Math"/>
                                                        </w:rPr>
                                                        <m:t xml:space="preserve">1,2,...,p</m:t>
                                                      </m:r>
                                                    </m:e>
                                                  </m:d>
                                                </m:e>
                                              </m:mr>
                                              <m:mr>
                                                <m:e>
                                                  <m:r>
                                                    <w:rPr>
                                                      <w:rFonts w:ascii="Cambria Math" w:hAnsi="Cambria Math"/>
                                                    </w:rPr>
                                                    <m:t xml:space="preserve">j</m:t>
                                                  </m:r>
                                                  <m:r>
                                                    <w:rPr>
                                                      <w:rFonts w:ascii="Cambria Math" w:hAnsi="Cambria Math"/>
                                                    </w:rPr>
                                                    <m:t xml:space="preserve">∈</m:t>
                                                  </m:r>
                                                  <m:d>
                                                    <m:dPr>
                                                      <m:begChr m:val="{"/>
                                                      <m:endChr m:val="}"/>
                                                    </m:dPr>
                                                    <m:e>
                                                      <m:r>
                                                        <m:rPr>
                                                          <m:lit/>
                                                          <m:nor/>
                                                        </m:rPr>
                                                        <w:rPr>
                                                          <w:rFonts w:ascii="Cambria Math" w:hAnsi="Cambria Math"/>
                                                        </w:rPr>
                                                        <m:t xml:space="preserve">1,2,...,m</m:t>
                                                      </m:r>
                                                    </m:e>
                                                  </m:d>
                                                </m:e>
                                              </m:mr>
                                            </m:m>
                                          </m:sub>
                                        </m:sSub>
                                        <m:d>
                                          <m:dPr>
                                            <m:begChr m:val="("/>
                                            <m:endChr m:val=")"/>
                                          </m:dPr>
                                          <m:e>
                                            <m:sSub>
                                              <m:e>
                                                <m:r>
                                                  <w:rPr>
                                                    <w:rFonts w:ascii="Cambria Math" w:hAnsi="Cambria Math"/>
                                                  </w:rPr>
                                                  <m:t xml:space="preserve">σ</m:t>
                                                </m:r>
                                              </m:e>
                                              <m:sub>
                                                <m:sSub>
                                                  <m:e>
                                                    <m:r>
                                                      <w:rPr>
                                                        <w:rFonts w:ascii="Cambria Math" w:hAnsi="Cambria Math"/>
                                                      </w:rPr>
                                                      <m:t xml:space="preserve">R</m:t>
                                                    </m:r>
                                                  </m:e>
                                                  <m:sub>
                                                    <m:r>
                                                      <w:rPr>
                                                        <w:rFonts w:ascii="Cambria Math" w:hAnsi="Cambria Math"/>
                                                      </w:rPr>
                                                      <m:t xml:space="preserve">k</m:t>
                                                    </m:r>
                                                  </m:sub>
                                                </m:sSub>
                                              </m:sub>
                                            </m:sSub>
                                            <m:d>
                                              <m:dPr>
                                                <m:begChr m:val="("/>
                                                <m:endChr m:val=")"/>
                                              </m:dPr>
                                              <m:e>
                                                <m:sSub>
                                                  <m:e>
                                                    <m:r>
                                                      <w:rPr>
                                                        <w:rFonts w:ascii="Cambria Math" w:hAnsi="Cambria Math"/>
                                                      </w:rPr>
                                                      <m:t xml:space="preserve">y</m:t>
                                                    </m:r>
                                                  </m:e>
                                                  <m:sub>
                                                    <m:r>
                                                      <w:rPr>
                                                        <w:rFonts w:ascii="Cambria Math" w:hAnsi="Cambria Math"/>
                                                      </w:rPr>
                                                      <m:t xml:space="preserve">i</m:t>
                                                    </m:r>
                                                  </m:sub>
                                                </m:sSub>
                                              </m:e>
                                            </m:d>
                                            <m:r>
                                              <m:rPr>
                                                <m:lit/>
                                                <m:nor/>
                                              </m:rPr>
                                              <w:rPr>
                                                <w:rFonts w:ascii="Cambria Math" w:hAnsi="Cambria Math"/>
                                              </w:rPr>
                                              <m:t xml:space="preserve">, </m:t>
                                            </m:r>
                                            <m:sSub>
                                              <m:e>
                                                <m:r>
                                                  <w:rPr>
                                                    <w:rFonts w:ascii="Cambria Math" w:hAnsi="Cambria Math"/>
                                                  </w:rPr>
                                                  <m:t xml:space="preserve">σ</m:t>
                                                </m:r>
                                              </m:e>
                                              <m:sub>
                                                <m:sSub>
                                                  <m:e>
                                                    <m:r>
                                                      <w:rPr>
                                                        <w:rFonts w:ascii="Cambria Math" w:hAnsi="Cambria Math"/>
                                                      </w:rPr>
                                                      <m:t xml:space="preserve">S</m:t>
                                                    </m:r>
                                                  </m:e>
                                                  <m:sub>
                                                    <m:r>
                                                      <w:rPr>
                                                        <w:rFonts w:ascii="Cambria Math" w:hAnsi="Cambria Math"/>
                                                      </w:rPr>
                                                      <m:t xml:space="preserve">j</m:t>
                                                    </m:r>
                                                  </m:sub>
                                                </m:sSub>
                                              </m:sub>
                                            </m:sSub>
                                            <m:d>
                                              <m:dPr>
                                                <m:begChr m:val="("/>
                                                <m:endChr m:val=")"/>
                                              </m:dPr>
                                              <m:e>
                                                <m:sSub>
                                                  <m:e>
                                                    <m:r>
                                                      <w:rPr>
                                                        <w:rFonts w:ascii="Cambria Math" w:hAnsi="Cambria Math"/>
                                                      </w:rPr>
                                                      <m:t xml:space="preserve">y</m:t>
                                                    </m:r>
                                                  </m:e>
                                                  <m:sub>
                                                    <m:r>
                                                      <w:rPr>
                                                        <w:rFonts w:ascii="Cambria Math" w:hAnsi="Cambria Math"/>
                                                      </w:rPr>
                                                      <m:t xml:space="preserve">i</m:t>
                                                    </m:r>
                                                  </m:sub>
                                                </m:sSub>
                                              </m:e>
                                            </m:d>
                                          </m:e>
                                        </m:d>
                                        <m:sSub>
                                          <m:e>
                                            <m:r>
                                              <w:rPr>
                                                <w:rFonts w:ascii="Cambria Math" w:hAnsi="Cambria Math"/>
                                              </w:rPr>
                                              <m:t xml:space="preserve">σ</m:t>
                                            </m:r>
                                          </m:e>
                                          <m:sub>
                                            <m:r>
                                              <m:rPr>
                                                <m:lit/>
                                                <m:nor/>
                                              </m:rPr>
                                              <w:rPr>
                                                <w:rFonts w:ascii="Cambria Math" w:hAnsi="Cambria Math"/>
                                              </w:rPr>
                                              <m:t xml:space="preserve">SUMMARY</m:t>
                                            </m:r>
                                          </m:sub>
                                        </m:sSub>
                                        <m:d>
                                          <m:dPr>
                                            <m:begChr m:val="("/>
                                            <m:endChr m:val=")"/>
                                          </m:dPr>
                                          <m:e>
                                            <m:sSub>
                                              <m:e>
                                                <m:r>
                                                  <w:rPr>
                                                    <w:rFonts w:ascii="Cambria Math" w:hAnsi="Cambria Math"/>
                                                  </w:rPr>
                                                  <m:t xml:space="preserve">y</m:t>
                                                </m:r>
                                              </m:e>
                                              <m:sub>
                                                <m:r>
                                                  <w:rPr>
                                                    <w:rFonts w:ascii="Cambria Math" w:hAnsi="Cambria Math"/>
                                                  </w:rPr>
                                                  <m:t xml:space="preserve">i</m:t>
                                                </m:r>
                                              </m:sub>
                                            </m:sSub>
                                          </m:e>
                                        </m:d>
                                        <m:sSub>
                                          <m:e>
                                            <m:r>
                                              <m:rPr>
                                                <m:lit/>
                                                <m:nor/>
                                              </m:rPr>
                                              <w:rPr>
                                                <w:rFonts w:ascii="Cambria Math" w:hAnsi="Cambria Math"/>
                                              </w:rPr>
                                              <m:t xml:space="preserve">=TNorm</m:t>
                                            </m:r>
                                          </m:e>
                                          <m:sub>
                                            <m:r>
                                              <w:rPr>
                                                <w:rFonts w:ascii="Cambria Math" w:hAnsi="Cambria Math"/>
                                              </w:rPr>
                                              <m:t xml:space="preserve">j</m:t>
                                            </m:r>
                                            <m:r>
                                              <w:rPr>
                                                <w:rFonts w:ascii="Cambria Math" w:hAnsi="Cambria Math"/>
                                              </w:rPr>
                                              <m:t xml:space="preserve">∈</m:t>
                                            </m:r>
                                            <m:d>
                                              <m:dPr>
                                                <m:begChr m:val="{"/>
                                                <m:endChr m:val="}"/>
                                              </m:dPr>
                                              <m:e>
                                                <m:r>
                                                  <m:rPr>
                                                    <m:lit/>
                                                    <m:nor/>
                                                  </m:rPr>
                                                  <w:rPr>
                                                    <w:rFonts w:ascii="Cambria Math" w:hAnsi="Cambria Math"/>
                                                  </w:rPr>
                                                  <m:t xml:space="preserve">1,2,...,m</m:t>
                                                </m:r>
                                              </m:e>
                                            </m:d>
                                          </m:sub>
                                        </m:sSub>
                                        <m:d>
                                          <m:dPr>
                                            <m:begChr m:val="("/>
                                            <m:endChr m:val=")"/>
                                          </m:dPr>
                                          <m:e>
                                            <m:sSub>
                                              <m:e>
                                                <m:r>
                                                  <w:rPr>
                                                    <w:rFonts w:ascii="Cambria Math" w:hAnsi="Cambria Math"/>
                                                  </w:rPr>
                                                  <m:t xml:space="preserve">σ</m:t>
                                                </m:r>
                                              </m:e>
                                              <m:sub>
                                                <m:sSub>
                                                  <m:e>
                                                    <m:r>
                                                      <w:rPr>
                                                        <w:rFonts w:ascii="Cambria Math" w:hAnsi="Cambria Math"/>
                                                      </w:rPr>
                                                      <m:t xml:space="preserve">S</m:t>
                                                    </m:r>
                                                  </m:e>
                                                  <m:sub>
                                                    <m:r>
                                                      <w:rPr>
                                                        <w:rFonts w:ascii="Cambria Math" w:hAnsi="Cambria Math"/>
                                                      </w:rPr>
                                                      <m:t xml:space="preserve">j</m:t>
                                                    </m:r>
                                                  </m:sub>
                                                </m:sSub>
                                              </m:sub>
                                            </m:sSub>
                                            <m:d>
                                              <m:dPr>
                                                <m:begChr m:val="("/>
                                                <m:endChr m:val=")"/>
                                              </m:dPr>
                                              <m:e>
                                                <m:sSub>
                                                  <m:e>
                                                    <m:r>
                                                      <w:rPr>
                                                        <w:rFonts w:ascii="Cambria Math" w:hAnsi="Cambria Math"/>
                                                      </w:rPr>
                                                      <m:t xml:space="preserve">y</m:t>
                                                    </m:r>
                                                  </m:e>
                                                  <m:sub>
                                                    <m:r>
                                                      <w:rPr>
                                                        <w:rFonts w:ascii="Cambria Math" w:hAnsi="Cambria Math"/>
                                                      </w:rPr>
                                                      <m:t xml:space="preserve">i</m:t>
                                                    </m:r>
                                                  </m:sub>
                                                </m:sSub>
                                              </m:e>
                                            </m:d>
                                          </m:e>
                                        </m:d>
                                        <m:eqArr>
                                          <m:e>
                                            <m:m>
                                              <m:mr>
                                                <m:e>
                                                  <m:m>
                                                    <m:mr>
                                                      <m:e>
                                                        <m:r>
                                                          <w:rPr>
                                                            <w:rFonts w:ascii="Cambria Math" w:hAnsi="Cambria Math"/>
                                                          </w:rPr>
                                                          <m:t xml:space="preserve">k</m:t>
                                                        </m:r>
                                                        <m:r>
                                                          <w:rPr>
                                                            <w:rFonts w:ascii="Cambria Math" w:hAnsi="Cambria Math"/>
                                                          </w:rPr>
                                                          <m:t xml:space="preserve">∈</m:t>
                                                        </m:r>
                                                        <m:d>
                                                          <m:dPr>
                                                            <m:begChr m:val="{"/>
                                                            <m:endChr m:val="}"/>
                                                          </m:dPr>
                                                          <m:e>
                                                            <m:r>
                                                              <m:rPr>
                                                                <m:lit/>
                                                                <m:nor/>
                                                              </m:rPr>
                                                              <w:rPr>
                                                                <w:rFonts w:ascii="Cambria Math" w:hAnsi="Cambria Math"/>
                                                              </w:rPr>
                                                              <m:t xml:space="preserve">1,2,...,p</m:t>
                                                            </m:r>
                                                          </m:e>
                                                        </m:d>
                                                      </m:e>
                                                    </m:mr>
                                                    <m:mr>
                                                      <m:e>
                                                        <m:r>
                                                          <w:rPr>
                                                            <w:rFonts w:ascii="Cambria Math" w:hAnsi="Cambria Math"/>
                                                          </w:rPr>
                                                          <m:t xml:space="preserve">j</m:t>
                                                        </m:r>
                                                        <m:r>
                                                          <w:rPr>
                                                            <w:rFonts w:ascii="Cambria Math" w:hAnsi="Cambria Math"/>
                                                          </w:rPr>
                                                          <m:t xml:space="preserve">∈</m:t>
                                                        </m:r>
                                                        <m:d>
                                                          <m:dPr>
                                                            <m:begChr m:val="{"/>
                                                            <m:endChr m:val="}"/>
                                                          </m:dPr>
                                                          <m:e>
                                                            <m:r>
                                                              <m:rPr>
                                                                <m:lit/>
                                                                <m:nor/>
                                                              </m:rPr>
                                                              <w:rPr>
                                                                <w:rFonts w:ascii="Cambria Math" w:hAnsi="Cambria Math"/>
                                                              </w:rPr>
                                                              <m:t xml:space="preserve">1,2,...,m</m:t>
                                                            </m:r>
                                                          </m:e>
                                                        </m:d>
                                                      </m:e>
                                                    </m:mr>
                                                  </m:m>
                                                </m:e>
                                              </m:mr>
                                              <m:mr>
                                                <m:e>
                                                  <m:d>
                                                    <m:dPr>
                                                      <m:begChr m:val="("/>
                                                      <m:endChr m:val=")"/>
                                                    </m:dPr>
                                                    <m:e>
                                                      <m:sSub>
                                                        <m:e>
                                                          <m:r>
                                                            <w:rPr>
                                                              <w:rFonts w:ascii="Cambria Math" w:hAnsi="Cambria Math"/>
                                                            </w:rPr>
                                                            <m:t xml:space="preserve">τ</m:t>
                                                          </m:r>
                                                        </m:e>
                                                        <m:sub>
                                                          <m:sSub>
                                                            <m:e>
                                                              <m:r>
                                                                <w:rPr>
                                                                  <w:rFonts w:ascii="Cambria Math" w:hAnsi="Cambria Math"/>
                                                                </w:rPr>
                                                                <m:t xml:space="preserve">R</m:t>
                                                              </m:r>
                                                            </m:e>
                                                            <m:sub>
                                                              <m:r>
                                                                <w:rPr>
                                                                  <w:rFonts w:ascii="Cambria Math" w:hAnsi="Cambria Math"/>
                                                                </w:rPr>
                                                                <m:t xml:space="preserve">k</m:t>
                                                              </m:r>
                                                            </m:sub>
                                                          </m:sSub>
                                                        </m:sub>
                                                      </m:sSub>
                                                      <m:d>
                                                        <m:dPr>
                                                          <m:begChr m:val="("/>
                                                          <m:endChr m:val=")"/>
                                                        </m:dPr>
                                                        <m:e>
                                                          <m:sSub>
                                                            <m:e>
                                                              <m:r>
                                                                <w:rPr>
                                                                  <w:rFonts w:ascii="Cambria Math" w:hAnsi="Cambria Math"/>
                                                                </w:rPr>
                                                                <m:t xml:space="preserve">y</m:t>
                                                              </m:r>
                                                            </m:e>
                                                            <m:sub>
                                                              <m:r>
                                                                <w:rPr>
                                                                  <w:rFonts w:ascii="Cambria Math" w:hAnsi="Cambria Math"/>
                                                                </w:rPr>
                                                                <m:t xml:space="preserve">i</m:t>
                                                              </m:r>
                                                            </m:sub>
                                                          </m:sSub>
                                                        </m:e>
                                                      </m:d>
                                                      <m:r>
                                                        <m:rPr>
                                                          <m:lit/>
                                                          <m:nor/>
                                                        </m:rPr>
                                                        <w:rPr>
                                                          <w:rFonts w:ascii="Cambria Math" w:hAnsi="Cambria Math"/>
                                                        </w:rPr>
                                                        <m:t xml:space="preserve">, </m:t>
                                                      </m:r>
                                                      <m:sSub>
                                                        <m:e>
                                                          <m:r>
                                                            <w:rPr>
                                                              <w:rFonts w:ascii="Cambria Math" w:hAnsi="Cambria Math"/>
                                                            </w:rPr>
                                                            <m:t xml:space="preserve">τ</m:t>
                                                          </m:r>
                                                        </m:e>
                                                        <m:sub>
                                                          <m:sSub>
                                                            <m:e>
                                                              <m:r>
                                                                <w:rPr>
                                                                  <w:rFonts w:ascii="Cambria Math" w:hAnsi="Cambria Math"/>
                                                                </w:rPr>
                                                                <m:t xml:space="preserve">S</m:t>
                                                              </m:r>
                                                            </m:e>
                                                            <m:sub>
                                                              <m:r>
                                                                <w:rPr>
                                                                  <w:rFonts w:ascii="Cambria Math" w:hAnsi="Cambria Math"/>
                                                                </w:rPr>
                                                                <m:t xml:space="preserve">j</m:t>
                                                              </m:r>
                                                            </m:sub>
                                                          </m:sSub>
                                                        </m:sub>
                                                      </m:sSub>
                                                      <m:d>
                                                        <m:dPr>
                                                          <m:begChr m:val="("/>
                                                          <m:endChr m:val=")"/>
                                                        </m:dPr>
                                                        <m:e>
                                                          <m:sSub>
                                                            <m:e>
                                                              <m:r>
                                                                <w:rPr>
                                                                  <w:rFonts w:ascii="Cambria Math" w:hAnsi="Cambria Math"/>
                                                                </w:rPr>
                                                                <m:t xml:space="preserve">y</m:t>
                                                              </m:r>
                                                            </m:e>
                                                            <m:sub>
                                                              <m:r>
                                                                <w:rPr>
                                                                  <w:rFonts w:ascii="Cambria Math" w:hAnsi="Cambria Math"/>
                                                                </w:rPr>
                                                                <m:t xml:space="preserve">i</m:t>
                                                              </m:r>
                                                            </m:sub>
                                                          </m:sSub>
                                                        </m:e>
                                                      </m:d>
                                                    </m:e>
                                                  </m:d>
                                                </m:e>
                                              </m:mr>
                                            </m:m>
                                          </m:e>
                                          <m:e>
                                            <m:eqArr>
                                              <m:e>
                                                <m:sSub>
                                                  <m:e>
                                                    <m:r>
                                                      <w:rPr>
                                                        <w:rFonts w:ascii="Cambria Math" w:hAnsi="Cambria Math"/>
                                                      </w:rPr>
                                                      <m:t xml:space="preserve">τ</m:t>
                                                    </m:r>
                                                  </m:e>
                                                  <m:sub>
                                                    <m:r>
                                                      <m:rPr>
                                                        <m:lit/>
                                                        <m:nor/>
                                                      </m:rPr>
                                                      <w:rPr>
                                                        <w:rFonts w:ascii="Cambria Math" w:hAnsi="Cambria Math"/>
                                                      </w:rPr>
                                                      <m:t xml:space="preserve">SUMMARY</m:t>
                                                    </m:r>
                                                  </m:sub>
                                                </m:sSub>
                                                <m:d>
                                                  <m:dPr>
                                                    <m:begChr m:val="("/>
                                                    <m:endChr m:val=")"/>
                                                  </m:dPr>
                                                  <m:e>
                                                    <m:sSub>
                                                      <m:e>
                                                        <m:r>
                                                          <w:rPr>
                                                            <w:rFonts w:ascii="Cambria Math" w:hAnsi="Cambria Math"/>
                                                          </w:rPr>
                                                          <m:t xml:space="preserve">y</m:t>
                                                        </m:r>
                                                      </m:e>
                                                      <m:sub>
                                                        <m:r>
                                                          <w:rPr>
                                                            <w:rFonts w:ascii="Cambria Math" w:hAnsi="Cambria Math"/>
                                                          </w:rPr>
                                                          <m:t xml:space="preserve">i</m:t>
                                                        </m:r>
                                                      </m:sub>
                                                    </m:sSub>
                                                  </m:e>
                                                </m:d>
                                                <m:sSub>
                                                  <m:e>
                                                    <m:r>
                                                      <m:rPr>
                                                        <m:lit/>
                                                        <m:nor/>
                                                      </m:rPr>
                                                      <w:rPr>
                                                        <w:rFonts w:ascii="Cambria Math" w:hAnsi="Cambria Math"/>
                                                      </w:rPr>
                                                      <m:t xml:space="preserve">=TNorm</m:t>
                                                    </m:r>
                                                  </m:e>
                                                  <m:sub/>
                                                </m:sSub>
                                              </m:e>
                                            </m:eqArr>
                                          </m:e>
                                        </m:eqArr>
                                        <m:sSub>
                                          <m:e>
                                            <m:r>
                                              <w:rPr>
                                                <w:rFonts w:ascii="Cambria Math" w:hAnsi="Cambria Math"/>
                                              </w:rPr>
                                              <m:t xml:space="preserve">τ</m:t>
                                            </m:r>
                                          </m:e>
                                          <m:sub>
                                            <m:r>
                                              <m:rPr>
                                                <m:lit/>
                                                <m:nor/>
                                              </m:rPr>
                                              <w:rPr>
                                                <w:rFonts w:ascii="Cambria Math" w:hAnsi="Cambria Math"/>
                                              </w:rPr>
                                              <m:t xml:space="preserve">SUMMARY</m:t>
                                            </m:r>
                                          </m:sub>
                                        </m:sSub>
                                        <m:d>
                                          <m:dPr>
                                            <m:begChr m:val="("/>
                                            <m:endChr m:val=")"/>
                                          </m:dPr>
                                          <m:e>
                                            <m:sSub>
                                              <m:e>
                                                <m:r>
                                                  <w:rPr>
                                                    <w:rFonts w:ascii="Cambria Math" w:hAnsi="Cambria Math"/>
                                                  </w:rPr>
                                                  <m:t xml:space="preserve">y</m:t>
                                                </m:r>
                                              </m:e>
                                              <m:sub>
                                                <m:r>
                                                  <w:rPr>
                                                    <w:rFonts w:ascii="Cambria Math" w:hAnsi="Cambria Math"/>
                                                  </w:rPr>
                                                  <m:t xml:space="preserve">i</m:t>
                                                </m:r>
                                              </m:sub>
                                            </m:sSub>
                                          </m:e>
                                        </m:d>
                                        <m:sSub>
                                          <m:e>
                                            <m:r>
                                              <m:rPr>
                                                <m:lit/>
                                                <m:nor/>
                                              </m:rPr>
                                              <w:rPr>
                                                <w:rFonts w:ascii="Cambria Math" w:hAnsi="Cambria Math"/>
                                              </w:rPr>
                                              <m:t xml:space="preserve">=TNorm</m:t>
                                            </m:r>
                                          </m:e>
                                          <m:sub>
                                            <m:r>
                                              <w:rPr>
                                                <w:rFonts w:ascii="Cambria Math" w:hAnsi="Cambria Math"/>
                                              </w:rPr>
                                              <m:t xml:space="preserve">j</m:t>
                                            </m:r>
                                            <m:r>
                                              <w:rPr>
                                                <w:rFonts w:ascii="Cambria Math" w:hAnsi="Cambria Math"/>
                                              </w:rPr>
                                              <m:t xml:space="preserve">∈</m:t>
                                            </m:r>
                                            <m:d>
                                              <m:dPr>
                                                <m:begChr m:val="{"/>
                                                <m:endChr m:val="}"/>
                                              </m:dPr>
                                              <m:e>
                                                <m:r>
                                                  <m:rPr>
                                                    <m:lit/>
                                                    <m:nor/>
                                                  </m:rPr>
                                                  <w:rPr>
                                                    <w:rFonts w:ascii="Cambria Math" w:hAnsi="Cambria Math"/>
                                                  </w:rPr>
                                                  <m:t xml:space="preserve">1,2</m:t>
                                                </m:r>
                                                <m:r>
                                                  <m:rPr>
                                                    <m:lit/>
                                                    <m:nor/>
                                                  </m:rPr>
                                                  <w:rPr>
                                                    <w:rFonts w:ascii="Cambria Math" w:hAnsi="Cambria Math"/>
                                                  </w:rPr>
                                                  <m:t xml:space="preserve">,...,m</m:t>
                                                </m:r>
                                              </m:e>
                                            </m:d>
                                          </m:sub>
                                        </m:sSub>
                                        <m:d>
                                          <m:dPr>
                                            <m:begChr m:val="("/>
                                            <m:endChr m:val=")"/>
                                          </m:dPr>
                                          <m:e>
                                            <m:sSub>
                                              <m:e>
                                                <m:r>
                                                  <w:rPr>
                                                    <w:rFonts w:ascii="Cambria Math" w:hAnsi="Cambria Math"/>
                                                  </w:rPr>
                                                  <m:t xml:space="preserve">τ</m:t>
                                                </m:r>
                                              </m:e>
                                              <m:sub>
                                                <m:sSub>
                                                  <m:e>
                                                    <m:r>
                                                      <w:rPr>
                                                        <w:rFonts w:ascii="Cambria Math" w:hAnsi="Cambria Math"/>
                                                      </w:rPr>
                                                      <m:t xml:space="preserve">S</m:t>
                                                    </m:r>
                                                  </m:e>
                                                  <m:sub>
                                                    <m:r>
                                                      <w:rPr>
                                                        <w:rFonts w:ascii="Cambria Math" w:hAnsi="Cambria Math"/>
                                                      </w:rPr>
                                                      <m:t xml:space="preserve">j</m:t>
                                                    </m:r>
                                                  </m:sub>
                                                </m:sSub>
                                              </m:sub>
                                            </m:sSub>
                                            <m:d>
                                              <m:dPr>
                                                <m:begChr m:val="("/>
                                                <m:endChr m:val=")"/>
                                              </m:dPr>
                                              <m:e>
                                                <m:sSub>
                                                  <m:e>
                                                    <m:r>
                                                      <w:rPr>
                                                        <w:rFonts w:ascii="Cambria Math" w:hAnsi="Cambria Math"/>
                                                      </w:rPr>
                                                      <m:t xml:space="preserve">y</m:t>
                                                    </m:r>
                                                  </m:e>
                                                  <m:sub>
                                                    <m:r>
                                                      <w:rPr>
                                                        <w:rFonts w:ascii="Cambria Math" w:hAnsi="Cambria Math"/>
                                                      </w:rPr>
                                                      <m:t xml:space="preserve">i</m:t>
                                                    </m:r>
                                                  </m:sub>
                                                </m:sSub>
                                              </m:e>
                                            </m:d>
                                          </m:e>
                                        </m:d>
                                        <m:sSup>
                                          <m:e>
                                            <m:r>
                                              <m:rPr>
                                                <m:lit/>
                                                <m:nor/>
                                              </m:rPr>
                                              <w:rPr>
                                                <w:rFonts w:ascii="Cambria Math" w:hAnsi="Cambria Math"/>
                                              </w:rPr>
                                              <m:t xml:space="preserve">SUMMARY</m:t>
                                            </m:r>
                                          </m:e>
                                          <m:sup/>
                                        </m:sSup>
                                        <m:d>
                                          <m:dPr>
                                            <m:begChr m:val="("/>
                                            <m:endChr m:val=")"/>
                                          </m:dPr>
                                          <m:e>
                                            <m:r>
                                              <w:rPr>
                                                <w:rFonts w:ascii="Cambria Math" w:hAnsi="Cambria Math"/>
                                              </w:rPr>
                                              <m:t xml:space="preserve">Y</m:t>
                                            </m:r>
                                          </m:e>
                                        </m:d>
                                        <m:r>
                                          <m:rPr>
                                            <m:lit/>
                                            <m:nor/>
                                          </m:rPr>
                                          <w:rPr>
                                            <w:rFonts w:ascii="Cambria Math" w:hAnsi="Cambria Math"/>
                                          </w:rPr>
                                          <m:t xml:space="preserve"> =</m:t>
                                        </m:r>
                                        <m:d>
                                          <m:dPr>
                                            <m:begChr m:val="{"/>
                                            <m:endChr m:val="}"/>
                                          </m:dPr>
                                          <m:e>
                                            <m:sSub>
                                              <m:e>
                                                <m:r>
                                                  <w:rPr>
                                                    <w:rFonts w:ascii="Cambria Math" w:hAnsi="Cambria Math"/>
                                                  </w:rPr>
                                                  <m:t xml:space="preserve">y</m:t>
                                                </m:r>
                                              </m:e>
                                              <m:sub>
                                                <m:r>
                                                  <w:rPr>
                                                    <w:rFonts w:ascii="Cambria Math" w:hAnsi="Cambria Math"/>
                                                  </w:rPr>
                                                  <m:t xml:space="preserve">i</m:t>
                                                </m:r>
                                              </m:sub>
                                            </m:sSub>
                                            <m:r>
                                              <w:rPr>
                                                <w:rFonts w:ascii="Cambria Math" w:hAnsi="Cambria Math"/>
                                              </w:rPr>
                                              <m:t xml:space="preserve">∈</m:t>
                                            </m:r>
                                            <m:r>
                                              <w:rPr>
                                                <w:rFonts w:ascii="Cambria Math" w:hAnsi="Cambria Math"/>
                                              </w:rPr>
                                              <m:t xml:space="preserve">Y</m:t>
                                            </m:r>
                                            <m:r>
                                              <m:rPr>
                                                <m:lit/>
                                                <m:nor/>
                                              </m:rPr>
                                              <w:rPr>
                                                <w:rFonts w:ascii="Cambria Math" w:hAnsi="Cambria Math"/>
                                              </w:rPr>
                                              <m:t xml:space="preserve">: </m:t>
                                            </m:r>
                                            <m:sSub>
                                              <m:e>
                                                <m:r>
                                                  <w:rPr>
                                                    <w:rFonts w:ascii="Cambria Math" w:hAnsi="Cambria Math"/>
                                                  </w:rPr>
                                                  <m:t xml:space="preserve">μ</m:t>
                                                </m:r>
                                              </m:e>
                                              <m:sub>
                                                <m:r>
                                                  <m:rPr>
                                                    <m:lit/>
                                                    <m:nor/>
                                                  </m:rPr>
                                                  <w:rPr>
                                                    <w:rFonts w:ascii="Cambria Math" w:hAnsi="Cambria Math"/>
                                                  </w:rPr>
                                                  <m:t xml:space="preserve">SUMMARY</m:t>
                                                </m:r>
                                              </m:sub>
                                            </m:sSub>
                                            <m:d>
                                              <m:dPr>
                                                <m:begChr m:val="("/>
                                                <m:endChr m:val=")"/>
                                              </m:dPr>
                                              <m:e>
                                                <m:sSub>
                                                  <m:e>
                                                    <m:r>
                                                      <w:rPr>
                                                        <w:rFonts w:ascii="Cambria Math" w:hAnsi="Cambria Math"/>
                                                      </w:rPr>
                                                      <m:t xml:space="preserve">y</m:t>
                                                    </m:r>
                                                  </m:e>
                                                  <m:sub>
                                                    <m:r>
                                                      <w:rPr>
                                                        <w:rFonts w:ascii="Cambria Math" w:hAnsi="Cambria Math"/>
                                                      </w:rPr>
                                                      <m:t xml:space="preserve">i</m:t>
                                                    </m:r>
                                                  </m:sub>
                                                </m:sSub>
                                              </m:e>
                                            </m:d>
                                            <m:r>
                                              <w:rPr>
                                                <w:rFonts w:ascii="Cambria Math" w:hAnsi="Cambria Math"/>
                                              </w:rPr>
                                              <m:t xml:space="preserve">≥</m:t>
                                            </m:r>
                                            <m:r>
                                              <m:rPr>
                                                <m:lit/>
                                                <m:nor/>
                                              </m:rPr>
                                              <w:rPr>
                                                <w:rFonts w:ascii="Cambria Math" w:hAnsi="Cambria Math"/>
                                              </w:rPr>
                                              <m:t xml:space="preserve"> 0 </m:t>
                                            </m:r>
                                          </m:e>
                                        </m:d>
                                        <m:r>
                                          <m:rPr>
                                            <m:lit/>
                                            <m:nor/>
                                          </m:rPr>
                                          <w:rPr>
                                            <w:rFonts w:ascii="Cambria Math" w:hAnsi="Cambria Math"/>
                                          </w:rPr>
                                          <m:t xml:space="preserve">  </m:t>
                                        </m:r>
                                        <m:sSub>
                                          <m:e>
                                            <m:r>
                                              <w:rPr>
                                                <w:rFonts w:ascii="Cambria Math" w:hAnsi="Cambria Math"/>
                                              </w:rPr>
                                              <m:t xml:space="preserve">μ</m:t>
                                            </m:r>
                                          </m:e>
                                          <m:sub>
                                            <m:r>
                                              <m:rPr>
                                                <m:lit/>
                                                <m:nor/>
                                              </m:rPr>
                                              <w:rPr>
                                                <w:rFonts w:ascii="Cambria Math" w:hAnsi="Cambria Math"/>
                                              </w:rPr>
                                              <m:t xml:space="preserve">SUMMARY</m:t>
                                            </m:r>
                                          </m:sub>
                                        </m:sSub>
                                        <m:d>
                                          <m:dPr>
                                            <m:begChr m:val="("/>
                                            <m:endChr m:val=")"/>
                                          </m:dPr>
                                          <m:e>
                                            <m:sSub>
                                              <m:e>
                                                <m:r>
                                                  <w:rPr>
                                                    <w:rFonts w:ascii="Cambria Math" w:hAnsi="Cambria Math"/>
                                                  </w:rPr>
                                                  <m:t xml:space="preserve">y</m:t>
                                                </m:r>
                                              </m:e>
                                              <m:sub>
                                                <m:r>
                                                  <w:rPr>
                                                    <w:rFonts w:ascii="Cambria Math" w:hAnsi="Cambria Math"/>
                                                  </w:rPr>
                                                  <m:t xml:space="preserve">i</m:t>
                                                </m:r>
                                              </m:sub>
                                            </m:sSub>
                                          </m:e>
                                        </m:d>
                                        <m:sSub>
                                          <m:e>
                                            <m:r>
                                              <m:rPr>
                                                <m:lit/>
                                                <m:nor/>
                                              </m:rPr>
                                              <w:rPr>
                                                <w:rFonts w:ascii="Cambria Math" w:hAnsi="Cambria Math"/>
                                              </w:rPr>
                                              <m:t xml:space="preserve">=TNorm</m:t>
                                            </m:r>
                                          </m:e>
                                          <m:sub>
                                            <m:m>
                                              <m:mr>
                                                <m:e>
                                                  <m:r>
                                                    <w:rPr>
                                                      <w:rFonts w:ascii="Cambria Math" w:hAnsi="Cambria Math"/>
                                                    </w:rPr>
                                                    <m:t xml:space="preserve">k</m:t>
                                                  </m:r>
                                                  <m:r>
                                                    <w:rPr>
                                                      <w:rFonts w:ascii="Cambria Math" w:hAnsi="Cambria Math"/>
                                                    </w:rPr>
                                                    <m:t xml:space="preserve">∈</m:t>
                                                  </m:r>
                                                  <m:d>
                                                    <m:dPr>
                                                      <m:begChr m:val="{"/>
                                                      <m:endChr m:val="}"/>
                                                    </m:dPr>
                                                    <m:e>
                                                      <m:r>
                                                        <m:rPr>
                                                          <m:lit/>
                                                          <m:nor/>
                                                        </m:rPr>
                                                        <w:rPr>
                                                          <w:rFonts w:ascii="Cambria Math" w:hAnsi="Cambria Math"/>
                                                        </w:rPr>
                                                        <m:t xml:space="preserve">1,2,...,p</m:t>
                                                      </m:r>
                                                    </m:e>
                                                  </m:d>
                                                </m:e>
                                              </m:mr>
                                              <m:mr>
                                                <m:e>
                                                  <m:r>
                                                    <w:rPr>
                                                      <w:rFonts w:ascii="Cambria Math" w:hAnsi="Cambria Math"/>
                                                    </w:rPr>
                                                    <m:t xml:space="preserve">j</m:t>
                                                  </m:r>
                                                  <m:r>
                                                    <w:rPr>
                                                      <w:rFonts w:ascii="Cambria Math" w:hAnsi="Cambria Math"/>
                                                    </w:rPr>
                                                    <m:t xml:space="preserve">∈</m:t>
                                                  </m:r>
                                                  <m:d>
                                                    <m:dPr>
                                                      <m:begChr m:val="{"/>
                                                      <m:endChr m:val="}"/>
                                                    </m:dPr>
                                                    <m:e>
                                                      <m:r>
                                                        <m:rPr>
                                                          <m:lit/>
                                                          <m:nor/>
                                                        </m:rPr>
                                                        <w:rPr>
                                                          <w:rFonts w:ascii="Cambria Math" w:hAnsi="Cambria Math"/>
                                                        </w:rPr>
                                                        <m:t xml:space="preserve">1,2,...,m</m:t>
                                                      </m:r>
                                                    </m:e>
                                                  </m:d>
                                                </m:e>
                                              </m:mr>
                                            </m:m>
                                          </m:sub>
                                        </m:sSub>
                                        <m:sSub>
                                          <m:e>
                                            <m:d>
                                              <m:dPr>
                                                <m:begChr m:val="("/>
                                                <m:endChr m:val=")"/>
                                              </m:dPr>
                                              <m:e>
                                                <m:sSub>
                                                  <m:e>
                                                    <m:r>
                                                      <w:rPr>
                                                        <w:rFonts w:ascii="Cambria Math" w:hAnsi="Cambria Math"/>
                                                      </w:rPr>
                                                      <m:t xml:space="preserve">μ</m:t>
                                                    </m:r>
                                                  </m:e>
                                                  <m:sub>
                                                    <m:sSub>
                                                      <m:e>
                                                        <m:r>
                                                          <w:rPr>
                                                            <w:rFonts w:ascii="Cambria Math" w:hAnsi="Cambria Math"/>
                                                          </w:rPr>
                                                          <m:t xml:space="preserve">R</m:t>
                                                        </m:r>
                                                      </m:e>
                                                      <m:sub>
                                                        <m:r>
                                                          <w:rPr>
                                                            <w:rFonts w:ascii="Cambria Math" w:hAnsi="Cambria Math"/>
                                                          </w:rPr>
                                                          <m:t xml:space="preserve">k</m:t>
                                                        </m:r>
                                                      </m:sub>
                                                    </m:sSub>
                                                  </m:sub>
                                                </m:sSub>
                                                <m:d>
                                                  <m:dPr>
                                                    <m:begChr m:val="("/>
                                                    <m:endChr m:val=")"/>
                                                  </m:dPr>
                                                  <m:e>
                                                    <m:sSub>
                                                      <m:e>
                                                        <m:r>
                                                          <w:rPr>
                                                            <w:rFonts w:ascii="Cambria Math" w:hAnsi="Cambria Math"/>
                                                          </w:rPr>
                                                          <m:t xml:space="preserve">y</m:t>
                                                        </m:r>
                                                      </m:e>
                                                      <m:sub>
                                                        <m:r>
                                                          <w:rPr>
                                                            <w:rFonts w:ascii="Cambria Math" w:hAnsi="Cambria Math"/>
                                                          </w:rPr>
                                                          <m:t xml:space="preserve">i</m:t>
                                                        </m:r>
                                                      </m:sub>
                                                    </m:sSub>
                                                  </m:e>
                                                </m:d>
                                                <m:r>
                                                  <m:rPr>
                                                    <m:lit/>
                                                    <m:nor/>
                                                  </m:rPr>
                                                  <w:rPr>
                                                    <w:rFonts w:ascii="Cambria Math" w:hAnsi="Cambria Math"/>
                                                  </w:rPr>
                                                  <m:t xml:space="preserve">, </m:t>
                                                </m:r>
                                                <m:sSub>
                                                  <m:e>
                                                    <m:r>
                                                      <w:rPr>
                                                        <w:rFonts w:ascii="Cambria Math" w:hAnsi="Cambria Math"/>
                                                      </w:rPr>
                                                      <m:t xml:space="preserve">μ</m:t>
                                                    </m:r>
                                                  </m:e>
                                                  <m:sub>
                                                    <m:sSub>
                                                      <m:e>
                                                        <m:r>
                                                          <w:rPr>
                                                            <w:rFonts w:ascii="Cambria Math" w:hAnsi="Cambria Math"/>
                                                          </w:rPr>
                                                          <m:t xml:space="preserve">S</m:t>
                                                        </m:r>
                                                      </m:e>
                                                      <m:sub>
                                                        <m:r>
                                                          <w:rPr>
                                                            <w:rFonts w:ascii="Cambria Math" w:hAnsi="Cambria Math"/>
                                                          </w:rPr>
                                                          <m:t xml:space="preserve">j</m:t>
                                                        </m:r>
                                                      </m:sub>
                                                    </m:sSub>
                                                  </m:sub>
                                                </m:sSub>
                                                <m:d>
                                                  <m:dPr>
                                                    <m:begChr m:val="("/>
                                                    <m:endChr m:val=")"/>
                                                  </m:dPr>
                                                  <m:e>
                                                    <m:sSub>
                                                      <m:e>
                                                        <m:r>
                                                          <w:rPr>
                                                            <w:rFonts w:ascii="Cambria Math" w:hAnsi="Cambria Math"/>
                                                          </w:rPr>
                                                          <m:t xml:space="preserve">y</m:t>
                                                        </m:r>
                                                      </m:e>
                                                      <m:sub>
                                                        <m:r>
                                                          <w:rPr>
                                                            <w:rFonts w:ascii="Cambria Math" w:hAnsi="Cambria Math"/>
                                                          </w:rPr>
                                                          <m:t xml:space="preserve">i</m:t>
                                                        </m:r>
                                                      </m:sub>
                                                    </m:sSub>
                                                  </m:e>
                                                </m:d>
                                              </m:e>
                                            </m:d>
                                          </m:e>
                                          <m:sub>
                                            <m:r>
                                              <w:rPr>
                                                <w:rFonts w:ascii="Cambria Math" w:hAnsi="Cambria Math"/>
                                              </w:rPr>
                                              <m:t xml:space="preserve">i</m:t>
                                            </m:r>
                                          </m:sub>
                                        </m:sSub>
                                        <m:sSub>
                                          <m:e>
                                            <m:r>
                                              <w:rPr>
                                                <w:rFonts w:ascii="Cambria Math" w:hAnsi="Cambria Math"/>
                                              </w:rPr>
                                              <m:t xml:space="preserve">μ</m:t>
                                            </m:r>
                                          </m:e>
                                          <m:sub>
                                            <m:r>
                                              <m:rPr>
                                                <m:lit/>
                                                <m:nor/>
                                              </m:rPr>
                                              <w:rPr>
                                                <w:rFonts w:ascii="Cambria Math" w:hAnsi="Cambria Math"/>
                                              </w:rPr>
                                              <m:t xml:space="preserve">SUMMARY</m:t>
                                            </m:r>
                                          </m:sub>
                                        </m:sSub>
                                        <m:d>
                                          <m:dPr>
                                            <m:begChr m:val="("/>
                                            <m:endChr m:val=")"/>
                                          </m:dPr>
                                          <m:e>
                                            <m:sSub>
                                              <m:e>
                                                <m:r>
                                                  <w:rPr>
                                                    <w:rFonts w:ascii="Cambria Math" w:hAnsi="Cambria Math"/>
                                                  </w:rPr>
                                                  <m:t xml:space="preserve">y</m:t>
                                                </m:r>
                                              </m:e>
                                              <m:sub>
                                                <m:r>
                                                  <w:rPr>
                                                    <w:rFonts w:ascii="Cambria Math" w:hAnsi="Cambria Math"/>
                                                  </w:rPr>
                                                  <m:t xml:space="preserve">i</m:t>
                                                </m:r>
                                              </m:sub>
                                            </m:sSub>
                                          </m:e>
                                        </m:d>
                                        <m:sSub>
                                          <m:e>
                                            <m:r>
                                              <m:rPr>
                                                <m:lit/>
                                                <m:nor/>
                                              </m:rPr>
                                              <w:rPr>
                                                <w:rFonts w:ascii="Cambria Math" w:hAnsi="Cambria Math"/>
                                              </w:rPr>
                                              <m:t xml:space="preserve">=TNorm</m:t>
                                            </m:r>
                                          </m:e>
                                          <m:sub>
                                            <m:r>
                                              <w:rPr>
                                                <w:rFonts w:ascii="Cambria Math" w:hAnsi="Cambria Math"/>
                                              </w:rPr>
                                              <m:t xml:space="preserve">j</m:t>
                                            </m:r>
                                            <m:r>
                                              <w:rPr>
                                                <w:rFonts w:ascii="Cambria Math" w:hAnsi="Cambria Math"/>
                                              </w:rPr>
                                              <m:t xml:space="preserve">∈</m:t>
                                            </m:r>
                                            <m:d>
                                              <m:dPr>
                                                <m:begChr m:val="{"/>
                                                <m:endChr m:val="}"/>
                                              </m:dPr>
                                              <m:e>
                                                <m:r>
                                                  <m:rPr>
                                                    <m:lit/>
                                                    <m:nor/>
                                                  </m:rPr>
                                                  <w:rPr>
                                                    <w:rFonts w:ascii="Cambria Math" w:hAnsi="Cambria Math"/>
                                                  </w:rPr>
                                                  <m:t xml:space="preserve">1,2,...,m</m:t>
                                                </m:r>
                                              </m:e>
                                            </m:d>
                                          </m:sub>
                                        </m:sSub>
                                        <m:sSub>
                                          <m:e>
                                            <m:d>
                                              <m:dPr>
                                                <m:begChr m:val="("/>
                                                <m:endChr m:val=")"/>
                                              </m:dPr>
                                              <m:e>
                                                <m:sSub>
                                                  <m:e>
                                                    <m:r>
                                                      <w:rPr>
                                                        <w:rFonts w:ascii="Cambria Math" w:hAnsi="Cambria Math"/>
                                                      </w:rPr>
                                                      <m:t xml:space="preserve">μ</m:t>
                                                    </m:r>
                                                  </m:e>
                                                  <m:sub>
                                                    <m:sSub>
                                                      <m:e>
                                                        <m:r>
                                                          <w:rPr>
                                                            <w:rFonts w:ascii="Cambria Math" w:hAnsi="Cambria Math"/>
                                                          </w:rPr>
                                                          <m:t xml:space="preserve">S</m:t>
                                                        </m:r>
                                                      </m:e>
                                                      <m:sub>
                                                        <m:r>
                                                          <w:rPr>
                                                            <w:rFonts w:ascii="Cambria Math" w:hAnsi="Cambria Math"/>
                                                          </w:rPr>
                                                          <m:t xml:space="preserve">j</m:t>
                                                        </m:r>
                                                      </m:sub>
                                                    </m:sSub>
                                                  </m:sub>
                                                </m:sSub>
                                                <m:d>
                                                  <m:dPr>
                                                    <m:begChr m:val="("/>
                                                    <m:endChr m:val=")"/>
                                                  </m:dPr>
                                                  <m:e>
                                                    <m:sSub>
                                                      <m:e>
                                                        <m:r>
                                                          <w:rPr>
                                                            <w:rFonts w:ascii="Cambria Math" w:hAnsi="Cambria Math"/>
                                                          </w:rPr>
                                                          <m:t xml:space="preserve">y</m:t>
                                                        </m:r>
                                                      </m:e>
                                                      <m:sub>
                                                        <m:r>
                                                          <w:rPr>
                                                            <w:rFonts w:ascii="Cambria Math" w:hAnsi="Cambria Math"/>
                                                          </w:rPr>
                                                          <m:t xml:space="preserve">i</m:t>
                                                        </m:r>
                                                      </m:sub>
                                                    </m:sSub>
                                                  </m:e>
                                                </m:d>
                                              </m:e>
                                            </m:d>
                                          </m:e>
                                          <m:sub>
                                            <m:r>
                                              <w:rPr>
                                                <w:rFonts w:ascii="Cambria Math" w:hAnsi="Cambria Math"/>
                                              </w:rPr>
                                              <m:t xml:space="preserve">i</m:t>
                                            </m:r>
                                          </m:sub>
                                        </m:sSub>
                                        <m:eqArr>
                                          <m:e>
                                            <m:eqArr>
                                              <m:e>
                                                <m:eqArr>
                                                  <m:e>
                                                    <m:sSub>
                                                      <m:e>
                                                        <m:r>
                                                          <m:rPr>
                                                            <m:lit/>
                                                            <m:nor/>
                                                          </m:rPr>
                                                          <w:rPr>
                                                            <w:rFonts w:ascii="Cambria Math" w:hAnsi="Cambria Math"/>
                                                          </w:rPr>
                                                          <m:t xml:space="preserve">SUMMARY</m:t>
                                                        </m:r>
                                                      </m:e>
                                                      <m:sub>
                                                        <m:r>
                                                          <w:rPr>
                                                            <w:rFonts w:ascii="Cambria Math" w:hAnsi="Cambria Math"/>
                                                          </w:rPr>
                                                          <m:t xml:space="preserve">α</m:t>
                                                        </m:r>
                                                        <m:r>
                                                          <w:rPr>
                                                            <w:rFonts w:ascii="Cambria Math" w:hAnsi="Cambria Math"/>
                                                          </w:rPr>
                                                          <m:t xml:space="preserve">∗</m:t>
                                                        </m:r>
                                                        <m:d>
                                                          <m:dPr>
                                                            <m:begChr m:val="("/>
                                                            <m:endChr m:val=")"/>
                                                          </m:dPr>
                                                          <m:e>
                                                            <m:r>
                                                              <w:rPr>
                                                                <w:rFonts w:ascii="Cambria Math" w:hAnsi="Cambria Math"/>
                                                              </w:rPr>
                                                              <m:t xml:space="preserve">Y</m:t>
                                                            </m:r>
                                                          </m:e>
                                                        </m:d>
                                                        <m:r>
                                                          <w:rPr>
                                                            <w:rFonts w:ascii="Cambria Math" w:hAnsi="Cambria Math"/>
                                                          </w:rPr>
                                                          <m:t xml:space="preserve">=</m:t>
                                                        </m:r>
                                                        <m:d>
                                                          <m:dPr>
                                                            <m:begChr m:val="{"/>
                                                            <m:endChr m:val="}"/>
                                                          </m:dPr>
                                                          <m:e>
                                                            <m:sSub>
                                                              <m:e>
                                                                <m:r>
                                                                  <w:rPr>
                                                                    <w:rFonts w:ascii="Cambria Math" w:hAnsi="Cambria Math"/>
                                                                  </w:rPr>
                                                                  <m:t xml:space="preserve">y</m:t>
                                                                </m:r>
                                                              </m:e>
                                                              <m:sub>
                                                                <m:r>
                                                                  <w:rPr>
                                                                    <w:rFonts w:ascii="Cambria Math" w:hAnsi="Cambria Math"/>
                                                                  </w:rPr>
                                                                  <m:t xml:space="preserve">i</m:t>
                                                                </m:r>
                                                              </m:sub>
                                                            </m:sSub>
                                                            <m:r>
                                                              <w:rPr>
                                                                <w:rFonts w:ascii="Cambria Math" w:hAnsi="Cambria Math"/>
                                                              </w:rPr>
                                                              <m:t xml:space="preserve">∈</m:t>
                                                            </m:r>
                                                            <m:r>
                                                              <w:rPr>
                                                                <w:rFonts w:ascii="Cambria Math" w:hAnsi="Cambria Math"/>
                                                              </w:rPr>
                                                              <m:t xml:space="preserve">Y</m:t>
                                                            </m:r>
                                                            <m:r>
                                                              <m:rPr>
                                                                <m:lit/>
                                                                <m:nor/>
                                                              </m:rPr>
                                                              <w:rPr>
                                                                <w:rFonts w:ascii="Cambria Math" w:hAnsi="Cambria Math"/>
                                                              </w:rPr>
                                                              <m:t xml:space="preserve">: </m:t>
                                                            </m:r>
                                                            <m:sSub>
                                                              <m:e>
                                                                <m:r>
                                                                  <w:rPr>
                                                                    <w:rFonts w:ascii="Cambria Math" w:hAnsi="Cambria Math"/>
                                                                  </w:rPr>
                                                                  <m:t xml:space="preserve">μ</m:t>
                                                                </m:r>
                                                              </m:e>
                                                              <m:sub>
                                                                <m:r>
                                                                  <m:rPr>
                                                                    <m:lit/>
                                                                    <m:nor/>
                                                                  </m:rPr>
                                                                  <w:rPr>
                                                                    <w:rFonts w:ascii="Cambria Math" w:hAnsi="Cambria Math"/>
                                                                  </w:rPr>
                                                                  <m:t xml:space="preserve">SUMMARY</m:t>
                                                                </m:r>
                                                              </m:sub>
                                                            </m:sSub>
                                                            <m:d>
                                                              <m:dPr>
                                                                <m:begChr m:val="("/>
                                                                <m:endChr m:val=")"/>
                                                              </m:dPr>
                                                              <m:e>
                                                                <m:sSub>
                                                                  <m:e>
                                                                    <m:r>
                                                                      <w:rPr>
                                                                        <w:rFonts w:ascii="Cambria Math" w:hAnsi="Cambria Math"/>
                                                                      </w:rPr>
                                                                      <m:t xml:space="preserve">y</m:t>
                                                                    </m:r>
                                                                  </m:e>
                                                                  <m:sub>
                                                                    <m:r>
                                                                      <w:rPr>
                                                                        <w:rFonts w:ascii="Cambria Math" w:hAnsi="Cambria Math"/>
                                                                      </w:rPr>
                                                                      <m:t xml:space="preserve">i</m:t>
                                                                    </m:r>
                                                                  </m:sub>
                                                                </m:sSub>
                                                              </m:e>
                                                            </m:d>
                                                            <m:r>
                                                              <w:rPr>
                                                                <w:rFonts w:ascii="Cambria Math" w:hAnsi="Cambria Math"/>
                                                              </w:rPr>
                                                              <m:t xml:space="preserve">≥</m:t>
                                                            </m:r>
                                                            <m:r>
                                                              <w:rPr>
                                                                <w:rFonts w:ascii="Cambria Math" w:hAnsi="Cambria Math"/>
                                                              </w:rPr>
                                                              <m:t xml:space="preserve">α</m:t>
                                                            </m:r>
                                                          </m:e>
                                                        </m:d>
                                                        <m:r>
                                                          <m:rPr>
                                                            <m:lit/>
                                                            <m:nor/>
                                                          </m:rPr>
                                                          <w:rPr>
                                                            <w:rFonts w:ascii="Cambria Math" w:hAnsi="Cambria Math"/>
                                                          </w:rPr>
                                                          <m:t xml:space="preserve">  </m:t>
                                                        </m:r>
                                                      </m:sub>
                                                    </m:sSub>
                                                  </m:e>
                                                  <m:e/>
                                                </m:eqArr>
                                              </m:e>
                                            </m:eqArr>
                                          </m:e>
                                        </m:eqArr>
                                      </m:e>
                                    </m:eqArr>
                                  </m:e>
                                </m:eqArr>
                              </m:e>
                            </m:eqArr>
                          </m:e>
                        </m:eqArr>
                      </m:e>
                    </m:eqArr>
                  </m:e>
                </m:eqArr>
              </m:e>
            </m:eqArr>
          </m:e>
        </m:eqArr>
      </m:oMath>
      <w:r>
        <w:rPr>
          <w:rFonts w:ascii="Arial" w:hAnsi="Arial"/>
          <w:b/>
          <w:sz w:val="22"/>
          <w:szCs w:val="22"/>
          <w:lang w:val="es-ES"/>
        </w:rPr>
        <w:t xml:space="preserve">Definición </w:t>
      </w:r>
      <w:r>
        <w:rPr>
          <w:rFonts w:ascii="Arial" w:hAnsi="Arial"/>
          <w:b/>
          <w:sz w:val="22"/>
          <w:szCs w:val="22"/>
          <w:lang w:val="es-ES"/>
        </w:rPr>
        <w:fldChar w:fldCharType="begin"/>
      </w:r>
      <w:r>
        <w:instrText> SEQ Definición \* ARABIC </w:instrText>
      </w:r>
      <w:r>
        <w:fldChar w:fldCharType="separate"/>
      </w:r>
      <w:r>
        <w:t>9</w:t>
      </w:r>
      <w:r>
        <w:fldChar w:fldCharType="end"/>
      </w:r>
      <w:r>
        <w:rPr>
          <w:rFonts w:ascii="Arial" w:hAnsi="Arial"/>
          <w:b/>
          <w:sz w:val="22"/>
          <w:szCs w:val="22"/>
          <w:lang w:val="es-ES"/>
        </w:rPr>
        <w:t>:</w:t>
      </w:r>
      <w:r>
        <w:rPr>
          <w:rFonts w:ascii="Arial" w:hAnsi="Arial"/>
          <w:sz w:val="22"/>
          <w:szCs w:val="22"/>
          <w:lang w:val="es-ES"/>
        </w:rPr>
        <w:t xml:space="preserve"> Sea </w:t>
      </w:r>
      <w:r>
        <w:rPr>
          <w:rFonts w:ascii="Arial" w:hAnsi="Arial"/>
          <w:i/>
          <w:sz w:val="22"/>
          <w:szCs w:val="22"/>
          <w:lang w:val="es-ES"/>
        </w:rPr>
        <w:t>SUMMARY</w:t>
      </w:r>
      <w:r>
        <w:rPr>
          <w:rFonts w:ascii="Arial" w:hAnsi="Arial"/>
          <w:sz w:val="22"/>
          <w:szCs w:val="22"/>
          <w:lang w:val="es-ES"/>
        </w:rPr>
        <w:t xml:space="preserve"> un resumen lingüístico en su forma generalizada “</w:t>
      </w:r>
      <w:r>
        <w:rPr>
          <w:rFonts w:ascii="Arial" w:hAnsi="Arial"/>
          <w:i/>
          <w:sz w:val="22"/>
          <w:szCs w:val="22"/>
          <w:lang w:val="es-ES"/>
        </w:rPr>
        <w:t>QRy´s are S”</w:t>
      </w:r>
      <w:r>
        <w:rPr>
          <w:rFonts w:ascii="Arial" w:hAnsi="Arial"/>
          <w:sz w:val="22"/>
          <w:szCs w:val="22"/>
          <w:lang w:val="es-ES"/>
        </w:rPr>
        <w:t xml:space="preserve">, se define como aproximación superior de </w:t>
      </w:r>
      <w:r>
        <w:rPr>
          <w:rFonts w:ascii="Arial" w:hAnsi="Arial"/>
          <w:i/>
          <w:sz w:val="22"/>
          <w:szCs w:val="22"/>
          <w:lang w:val="es-ES"/>
        </w:rPr>
        <w:t>SUMMARY</w:t>
      </w:r>
      <w:r>
        <w:rPr>
          <w:rFonts w:ascii="Arial" w:hAnsi="Arial"/>
          <w:sz w:val="22"/>
          <w:szCs w:val="22"/>
          <w:lang w:val="es-ES"/>
        </w:rPr>
        <w:t xml:space="preserve"> y se denota </w:t>
      </w:r>
      <w:r>
        <w:rPr>
          <w:rFonts w:ascii="Arial" w:hAnsi="Arial"/>
          <w:sz w:val="22"/>
          <w:szCs w:val="22"/>
          <w:lang w:val="es-ES"/>
        </w:rPr>
      </w:r>
      <m:oMath xmlns:m="http://schemas.openxmlformats.org/officeDocument/2006/math">
        <m:r>
          <w:rPr>
            <w:rFonts w:ascii="Cambria Math" w:hAnsi="Cambria Math"/>
          </w:rPr>
          <m:t xml:space="preserve">SUMMAR</m:t>
        </m:r>
        <m:sSup>
          <m:e>
            <m:r>
              <w:rPr>
                <w:rFonts w:ascii="Cambria Math" w:hAnsi="Cambria Math"/>
              </w:rPr>
              <m:t xml:space="preserve">Y</m:t>
            </m:r>
          </m:e>
          <m:sup/>
        </m:sSup>
        <m:d>
          <m:dPr>
            <m:begChr m:val="("/>
            <m:endChr m:val=")"/>
          </m:dPr>
          <m:e>
            <m:r>
              <w:rPr>
                <w:rFonts w:ascii="Cambria Math" w:hAnsi="Cambria Math"/>
              </w:rPr>
              <m:t xml:space="preserve">Y</m:t>
            </m:r>
          </m:e>
        </m:d>
      </m:oMath>
      <w:r>
        <w:rPr>
          <w:rFonts w:ascii="Arial" w:hAnsi="Arial"/>
          <w:sz w:val="22"/>
          <w:szCs w:val="22"/>
          <w:lang w:val="es-ES"/>
        </w:rPr>
        <w:t xml:space="preserve">al conjunto de objetos </w:t>
      </w:r>
      <w:r>
        <w:rPr>
          <w:rFonts w:ascii="Arial" w:hAnsi="Arial"/>
          <w:i/>
          <w:sz w:val="22"/>
          <w:szCs w:val="22"/>
          <w:lang w:val="es-ES"/>
        </w:rPr>
        <w:t>y</w:t>
      </w:r>
      <w:r>
        <w:rPr>
          <w:rFonts w:ascii="Arial" w:hAnsi="Arial"/>
          <w:i/>
          <w:sz w:val="22"/>
          <w:szCs w:val="22"/>
          <w:vertAlign w:val="subscript"/>
          <w:lang w:val="es-ES"/>
        </w:rPr>
        <w:t xml:space="preserve">i </w:t>
      </w:r>
      <w:r>
        <w:rPr>
          <w:rFonts w:eastAsia="Symbol" w:cs="Symbol" w:ascii="Symbol" w:hAnsi="Symbol"/>
          <w:i/>
          <w:sz w:val="22"/>
          <w:szCs w:val="22"/>
          <w:lang w:val="es-ES"/>
        </w:rPr>
        <w:t></w:t>
      </w:r>
      <w:r>
        <w:rPr>
          <w:rFonts w:ascii="Arial" w:hAnsi="Arial"/>
          <w:i/>
          <w:sz w:val="22"/>
          <w:szCs w:val="22"/>
          <w:lang w:val="es-ES"/>
        </w:rPr>
        <w:t xml:space="preserve"> Y, </w:t>
      </w:r>
      <w:r>
        <w:rPr>
          <w:rFonts w:ascii="Arial" w:hAnsi="Arial"/>
          <w:sz w:val="22"/>
          <w:szCs w:val="22"/>
          <w:lang w:val="es-ES"/>
        </w:rPr>
        <w:t>tal que</w:t>
      </w:r>
      <w:r>
        <w:rPr>
          <w:rFonts w:ascii="Arial" w:hAnsi="Arial"/>
          <w:i/>
          <w:sz w:val="22"/>
          <w:szCs w:val="22"/>
          <w:lang w:val="es-ES"/>
        </w:rPr>
        <w:t xml:space="preserve"> Y </w:t>
      </w:r>
      <w:r>
        <w:rPr>
          <w:rFonts w:ascii="Arial" w:hAnsi="Arial"/>
          <w:sz w:val="22"/>
          <w:szCs w:val="22"/>
          <w:lang w:val="es-ES"/>
        </w:rPr>
        <w:t>representa a la</w:t>
      </w:r>
      <w:r>
        <w:rPr>
          <w:rFonts w:ascii="Arial" w:hAnsi="Arial"/>
          <w:i/>
          <w:sz w:val="22"/>
          <w:szCs w:val="22"/>
          <w:lang w:val="es-ES"/>
        </w:rPr>
        <w:t xml:space="preserve"> </w:t>
      </w:r>
      <w:r>
        <w:rPr>
          <w:rFonts w:ascii="Arial" w:hAnsi="Arial"/>
          <w:sz w:val="22"/>
          <w:szCs w:val="22"/>
          <w:lang w:val="es-ES"/>
        </w:rPr>
        <w:t xml:space="preserve">base de datos, cuyo grado de pertenencia al </w:t>
      </w:r>
      <w:r>
        <w:rPr>
          <w:rFonts w:ascii="Arial" w:hAnsi="Arial"/>
          <w:i/>
          <w:sz w:val="22"/>
          <w:szCs w:val="22"/>
          <w:lang w:val="es-ES"/>
        </w:rPr>
        <w:t>SUMMARY</w:t>
      </w:r>
      <w:r>
        <w:rPr>
          <w:rFonts w:ascii="Arial" w:hAnsi="Arial"/>
          <w:sz w:val="22"/>
          <w:szCs w:val="22"/>
          <w:lang w:val="es-ES"/>
        </w:rPr>
        <w:t xml:space="preserve"> es mayor que 0. Ver </w:t>
      </w:r>
      <w:r>
        <w:rPr>
          <w:rFonts w:ascii="Arial" w:hAnsi="Arial"/>
          <w:sz w:val="22"/>
          <w:szCs w:val="22"/>
          <w:lang w:val="es-ES"/>
        </w:rPr>
        <w:fldChar w:fldCharType="begin"/>
      </w:r>
      <w:r>
        <w:instrText> REF _Ref48853248 \h </w:instrText>
      </w:r>
      <w:r>
        <w:fldChar w:fldCharType="separate"/>
      </w:r>
      <w:r>
        <w:t xml:space="preserve">Ecuación </w:t>
      </w:r>
      <w:r>
        <w:fldChar w:fldCharType="end"/>
      </w:r>
      <w:r>
        <w:rPr>
          <w:rFonts w:ascii="Arial" w:hAnsi="Arial"/>
          <w:sz w:val="22"/>
          <w:szCs w:val="22"/>
          <w:lang w:val="es-ES"/>
        </w:rPr>
        <w:t>.</w:t>
      </w:r>
    </w:p>
    <w:tbl>
      <w:tblPr>
        <w:tblStyle w:val="Tablaconcuadrcula"/>
        <w:tblW w:w="5000" w:type="pct"/>
        <w:jc w:val="left"/>
        <w:tblInd w:w="0" w:type="dxa"/>
        <w:tblCellMar>
          <w:top w:w="0" w:type="dxa"/>
          <w:left w:w="123" w:type="dxa"/>
          <w:bottom w:w="0" w:type="dxa"/>
          <w:right w:w="108" w:type="dxa"/>
        </w:tblCellMar>
        <w:tblLook w:val="04a0" w:noVBand="1" w:noHBand="0" w:lastColumn="0" w:firstColumn="1" w:lastRow="0" w:firstRow="1"/>
      </w:tblPr>
      <w:tblGrid>
        <w:gridCol w:w="6595"/>
        <w:gridCol w:w="2383"/>
      </w:tblGrid>
      <w:tr>
        <w:trPr>
          <w:trHeight w:val="725" w:hRule="atLeast"/>
        </w:trPr>
        <w:tc>
          <w:tcPr>
            <w:tcW w:w="6595" w:type="dxa"/>
            <w:tcBorders>
              <w:top w:val="nil"/>
              <w:left w:val="nil"/>
              <w:bottom w:val="nil"/>
              <w:right w:val="nil"/>
              <w:insideH w:val="nil"/>
              <w:insideV w:val="nil"/>
            </w:tcBorders>
            <w:shd w:color="auto" w:fill="auto" w:val="clear"/>
            <w:vAlign w:val="center"/>
          </w:tcPr>
          <w:p>
            <w:pPr>
              <w:pStyle w:val="Caption1"/>
              <w:spacing w:before="0" w:after="60"/>
              <w:ind w:left="0" w:hanging="0"/>
              <w:jc w:val="left"/>
              <w:rPr>
                <w:sz w:val="24"/>
                <w:szCs w:val="24"/>
                <w:lang w:eastAsia="en-US"/>
              </w:rPr>
            </w:pPr>
            <w:r>
              <w:rPr>
                <w:sz w:val="24"/>
                <w:szCs w:val="24"/>
                <w:lang w:eastAsia="en-US"/>
              </w:rPr>
              <w:t xml:space="preserve"> </w:t>
            </w:r>
          </w:p>
        </w:tc>
        <w:tc>
          <w:tcPr>
            <w:tcW w:w="2383" w:type="dxa"/>
            <w:tcBorders>
              <w:top w:val="nil"/>
              <w:left w:val="nil"/>
              <w:bottom w:val="nil"/>
              <w:right w:val="nil"/>
              <w:insideH w:val="nil"/>
              <w:insideV w:val="nil"/>
            </w:tcBorders>
            <w:shd w:color="auto" w:fill="auto" w:val="clear"/>
            <w:vAlign w:val="center"/>
          </w:tcPr>
          <w:p>
            <w:pPr>
              <w:pStyle w:val="Normal"/>
              <w:spacing w:before="80" w:after="60"/>
              <w:jc w:val="right"/>
              <w:rPr/>
            </w:pPr>
            <w:bookmarkStart w:id="1414" w:name="_Ref48853248"/>
            <w:r>
              <w:rPr/>
              <w:t xml:space="preserve">Ecuación </w:t>
            </w:r>
            <w:bookmarkEnd w:id="1414"/>
            <w:r>
              <w:rPr/>
              <w:fldChar w:fldCharType="begin"/>
            </w:r>
            <w:r>
              <w:instrText> SEQ Ecuación \* ARABIC </w:instrText>
            </w:r>
            <w:r>
              <w:fldChar w:fldCharType="separate"/>
            </w:r>
            <w:r>
              <w:t>36</w:t>
            </w:r>
            <w:r>
              <w:fldChar w:fldCharType="end"/>
            </w:r>
          </w:p>
        </w:tc>
      </w:tr>
    </w:tbl>
    <w:p>
      <w:pPr>
        <w:pStyle w:val="Papertext1"/>
        <w:widowControl w:val="false"/>
        <w:spacing w:lineRule="auto" w:line="360" w:before="240" w:after="60"/>
        <w:ind w:hanging="0"/>
        <w:rPr/>
      </w:pPr>
      <w:r>
        <w:rPr>
          <w:rFonts w:ascii="Arial" w:hAnsi="Arial"/>
          <w:sz w:val="22"/>
          <w:szCs w:val="22"/>
          <w:lang w:val="es-ES"/>
        </w:rPr>
        <w:t xml:space="preserve">A partir de estas aproximaciones se define la región límite </w:t>
      </w:r>
      <w:r>
        <w:rPr>
          <w:rFonts w:ascii="Arial" w:hAnsi="Arial"/>
          <w:sz w:val="22"/>
          <w:szCs w:val="22"/>
          <w:lang w:val="es-ES"/>
        </w:rPr>
      </w:r>
      <m:oMath xmlns:m="http://schemas.openxmlformats.org/officeDocument/2006/math">
        <m:r>
          <w:rPr>
            <w:rFonts w:ascii="Cambria Math" w:hAnsi="Cambria Math"/>
          </w:rPr>
          <m:t xml:space="preserve">SUMMAR</m:t>
        </m:r>
        <m:sSub>
          <m:e>
            <m:r>
              <w:rPr>
                <w:rFonts w:ascii="Cambria Math" w:hAnsi="Cambria Math"/>
              </w:rPr>
              <m:t xml:space="preserve">Y</m:t>
            </m:r>
          </m:e>
          <m:sub>
            <m:r>
              <w:rPr>
                <w:rFonts w:ascii="Cambria Math" w:hAnsi="Cambria Math"/>
              </w:rPr>
              <m:t xml:space="preserve">BN</m:t>
            </m:r>
          </m:sub>
        </m:sSub>
      </m:oMath>
      <w:r>
        <w:rPr>
          <w:rFonts w:ascii="Arial" w:hAnsi="Arial"/>
          <w:sz w:val="22"/>
          <w:szCs w:val="22"/>
          <w:lang w:val="es-ES"/>
        </w:rPr>
        <w:t xml:space="preserve"> como muestra la </w:t>
      </w:r>
      <w:r>
        <w:rPr>
          <w:rFonts w:ascii="Arial" w:hAnsi="Arial"/>
          <w:sz w:val="22"/>
          <w:szCs w:val="22"/>
          <w:lang w:val="es-ES"/>
        </w:rPr>
        <w:fldChar w:fldCharType="begin"/>
      </w:r>
      <w:r>
        <w:instrText> REF _Ref48866533 \h </w:instrText>
      </w:r>
      <w:r>
        <w:fldChar w:fldCharType="separate"/>
      </w:r>
      <w:r>
        <w:t xml:space="preserve">Ecuación </w:t>
      </w:r>
      <w:r>
        <w:fldChar w:fldCharType="end"/>
      </w:r>
      <w:r>
        <w:rPr>
          <w:rFonts w:ascii="Arial" w:hAnsi="Arial"/>
          <w:sz w:val="22"/>
          <w:szCs w:val="22"/>
          <w:lang w:val="es-ES"/>
        </w:rPr>
        <w:t>.</w:t>
      </w:r>
    </w:p>
    <w:tbl>
      <w:tblPr>
        <w:tblStyle w:val="Tablaconcuadrcula"/>
        <w:tblW w:w="5000" w:type="pct"/>
        <w:jc w:val="left"/>
        <w:tblInd w:w="0" w:type="dxa"/>
        <w:tblCellMar>
          <w:top w:w="0" w:type="dxa"/>
          <w:left w:w="123" w:type="dxa"/>
          <w:bottom w:w="0" w:type="dxa"/>
          <w:right w:w="108" w:type="dxa"/>
        </w:tblCellMar>
        <w:tblLook w:val="04a0" w:noVBand="1" w:noHBand="0" w:lastColumn="0" w:firstColumn="1" w:lastRow="0" w:firstRow="1"/>
      </w:tblPr>
      <w:tblGrid>
        <w:gridCol w:w="6595"/>
        <w:gridCol w:w="2383"/>
      </w:tblGrid>
      <w:tr>
        <w:trPr>
          <w:trHeight w:val="433" w:hRule="atLeast"/>
        </w:trPr>
        <w:tc>
          <w:tcPr>
            <w:tcW w:w="6595" w:type="dxa"/>
            <w:tcBorders>
              <w:top w:val="nil"/>
              <w:left w:val="nil"/>
              <w:bottom w:val="nil"/>
              <w:right w:val="nil"/>
              <w:insideH w:val="nil"/>
              <w:insideV w:val="nil"/>
            </w:tcBorders>
            <w:shd w:color="auto" w:fill="auto" w:val="clear"/>
            <w:vAlign w:val="center"/>
          </w:tcPr>
          <w:p>
            <w:pPr>
              <w:pStyle w:val="Normal"/>
              <w:widowControl/>
              <w:suppressAutoHyphens w:val="true"/>
              <w:bidi w:val="0"/>
              <w:spacing w:lineRule="auto" w:line="312" w:before="80" w:after="60"/>
              <w:jc w:val="both"/>
              <w:textAlignment w:val="baseline"/>
              <w:rPr>
                <w:lang w:eastAsia="en-US"/>
              </w:rPr>
            </w:pPr>
            <w:r>
              <w:rPr/>
            </w:r>
            <m:oMath xmlns:m="http://schemas.openxmlformats.org/officeDocument/2006/math">
              <m:eqArr>
                <m:e/>
                <m:e>
                  <m:eqArr>
                    <m:e>
                      <m:eqArr>
                        <m:e>
                          <m:r>
                            <w:rPr>
                              <w:rFonts w:ascii="Cambria Math" w:hAnsi="Cambria Math"/>
                            </w:rPr>
                            <m:t xml:space="preserve">α</m:t>
                          </m:r>
                          <m:r>
                            <w:rPr>
                              <w:rFonts w:ascii="Cambria Math" w:hAnsi="Cambria Math"/>
                            </w:rPr>
                            <m:t xml:space="preserve">∗</m:t>
                          </m:r>
                          <m:d>
                            <m:dPr>
                              <m:begChr m:val="("/>
                              <m:endChr m:val=")"/>
                            </m:dPr>
                            <m:e>
                              <m:r>
                                <w:rPr>
                                  <w:rFonts w:ascii="Cambria Math" w:hAnsi="Cambria Math"/>
                                </w:rPr>
                                <m:t xml:space="preserve">Y</m:t>
                              </m:r>
                            </m:e>
                          </m:d>
                        </m:e>
                        <m:e>
                          <m:sSup>
                            <m:e>
                              <m:r>
                                <m:rPr>
                                  <m:lit/>
                                  <m:nor/>
                                </m:rPr>
                                <w:rPr>
                                  <w:rFonts w:ascii="Cambria Math" w:hAnsi="Cambria Math"/>
                                </w:rPr>
                                <m:t xml:space="preserve">SUMMARY</m:t>
                              </m:r>
                            </m:e>
                            <m:sup/>
                          </m:sSup>
                          <m:d>
                            <m:dPr>
                              <m:begChr m:val="("/>
                              <m:endChr m:val=")"/>
                            </m:dPr>
                            <m:e>
                              <m:r>
                                <w:rPr>
                                  <w:rFonts w:ascii="Cambria Math" w:hAnsi="Cambria Math"/>
                                </w:rPr>
                                <m:t xml:space="preserve">Y</m:t>
                              </m:r>
                            </m:e>
                          </m:d>
                          <m:r>
                            <w:rPr>
                              <w:rFonts w:ascii="Cambria Math" w:hAnsi="Cambria Math"/>
                            </w:rPr>
                            <m:t xml:space="preserve">−</m:t>
                          </m:r>
                          <m:sSub>
                            <m:e>
                              <m:r>
                                <m:rPr>
                                  <m:lit/>
                                  <m:nor/>
                                </m:rPr>
                                <w:rPr>
                                  <w:rFonts w:ascii="Cambria Math" w:hAnsi="Cambria Math"/>
                                </w:rPr>
                                <m:t xml:space="preserve">SUMMARY</m:t>
                              </m:r>
                            </m:e>
                            <m:sub/>
                          </m:sSub>
                        </m:e>
                        <m:e>
                          <m:sSub>
                            <m:e>
                              <m:r>
                                <m:rPr>
                                  <m:lit/>
                                  <m:nor/>
                                </m:rPr>
                                <w:rPr>
                                  <w:rFonts w:ascii="Cambria Math" w:hAnsi="Cambria Math"/>
                                </w:rPr>
                                <m:t xml:space="preserve">SUMMARY</m:t>
                              </m:r>
                            </m:e>
                            <m:sub>
                              <m:r>
                                <m:rPr>
                                  <m:lit/>
                                  <m:nor/>
                                </m:rPr>
                                <w:rPr>
                                  <w:rFonts w:ascii="Cambria Math" w:hAnsi="Cambria Math"/>
                                </w:rPr>
                                <m:t xml:space="preserve">BN</m:t>
                              </m:r>
                            </m:sub>
                          </m:sSub>
                          <m:d>
                            <m:dPr>
                              <m:begChr m:val="("/>
                              <m:endChr m:val=")"/>
                            </m:dPr>
                            <m:e>
                              <m:r>
                                <w:rPr>
                                  <w:rFonts w:ascii="Cambria Math" w:hAnsi="Cambria Math"/>
                                </w:rPr>
                                <m:t xml:space="preserve">Y</m:t>
                              </m:r>
                            </m:e>
                          </m:d>
                          <m:r>
                            <w:rPr>
                              <w:rFonts w:ascii="Cambria Math" w:hAnsi="Cambria Math"/>
                            </w:rPr>
                            <m:t xml:space="preserve">=</m:t>
                          </m:r>
                        </m:e>
                      </m:eqArr>
                    </m:e>
                  </m:eqArr>
                </m:e>
              </m:eqArr>
            </m:oMath>
          </w:p>
        </w:tc>
        <w:tc>
          <w:tcPr>
            <w:tcW w:w="2383" w:type="dxa"/>
            <w:tcBorders>
              <w:top w:val="nil"/>
              <w:left w:val="nil"/>
              <w:bottom w:val="nil"/>
              <w:right w:val="nil"/>
              <w:insideH w:val="nil"/>
              <w:insideV w:val="nil"/>
            </w:tcBorders>
            <w:shd w:color="auto" w:fill="auto" w:val="clear"/>
            <w:vAlign w:val="center"/>
          </w:tcPr>
          <w:p>
            <w:pPr>
              <w:pStyle w:val="Normal"/>
              <w:spacing w:before="80" w:after="60"/>
              <w:jc w:val="right"/>
              <w:rPr/>
            </w:pPr>
            <w:bookmarkStart w:id="1415" w:name="_Ref48866533"/>
            <w:r>
              <w:rPr/>
              <w:t xml:space="preserve">Ecuación </w:t>
            </w:r>
            <w:bookmarkEnd w:id="1415"/>
            <w:r>
              <w:rPr/>
              <w:fldChar w:fldCharType="begin"/>
            </w:r>
            <w:r>
              <w:instrText> SEQ Ecuación \* ARABIC </w:instrText>
            </w:r>
            <w:r>
              <w:fldChar w:fldCharType="separate"/>
            </w:r>
            <w:r>
              <w:t>37</w:t>
            </w:r>
            <w:r>
              <w:fldChar w:fldCharType="end"/>
            </w:r>
          </w:p>
        </w:tc>
      </w:tr>
    </w:tbl>
    <w:p>
      <w:pPr>
        <w:pStyle w:val="Papertext1"/>
        <w:spacing w:lineRule="auto" w:line="312" w:before="240" w:after="60"/>
        <w:ind w:hanging="0"/>
        <w:rPr/>
      </w:pPr>
      <w:r>
        <w:rPr>
          <w:rFonts w:ascii="Arial" w:hAnsi="Arial"/>
          <w:sz w:val="22"/>
          <w:szCs w:val="22"/>
          <w:lang w:val="es-ES" w:eastAsia="en-US"/>
        </w:rPr>
        <w:t xml:space="preserve">Estas tres últimas ecuaciones están inspiradas en los conceptos de aproximación inferior y aproximación superior de la Teoría de Conjuntos Aproximados </w:t>
      </w:r>
      <w:r>
        <w:fldChar w:fldCharType="begin"/>
      </w:r>
      <w:r>
        <w:instrText>ADDIN ZOTERO_ITEM CSL_CITATION {"citationID":"RSUTbAQB","properties":{"formattedCitation":"(Bello y Verdegay 2012)","plainCitation":"(Bello y Verdegay 2012)","noteIndex":0},"citationItems":[{"id":"NJclqhNX/FudetImu","uris":["http://zotero.org/users/local/rsuvzjK6/items/78C6ALHR"],"uri":["http://zotero.org/users/local/rsuvzjK6/items/78C6ALHR"],"itemData":{"id":2319,"type":"article-journal","abstract":"Problem-solving in situations of uncertainty is a key issue in achieving effective computational systems. Various techniques have been developed to address uncertainty, including Soft Computing, which has established itself as an area of significant interest. On the other hand, rough sets theory has become an effective means of dealing with uncertainty, particularly when it arises as a result of inconsistencies in the data. The present paper surveys an analysis of the relationship between rough sets and other components of Soft Computing, and of how this hybridization helps improve system performance.","container-title":"Information Sciences, ISSN 0020-0255","DOI":"10.1016/j.ins.2012.04.041","ISSN":"0020-0255","language":"en","page":"1–14","title":"Rough sets in the Soft Computing environment","volume":"212","author":[{"family":"Bello","given":"Rafael"},{"family":"Verdegay","given":"José Luis"}],"issued":{"date-parts":[["2012",12]]}}}],"schema":"https://github.com/citation-style-language/schema/raw/master/csl-citation.json"}</w:instrText>
      </w:r>
      <w:r>
        <w:fldChar w:fldCharType="separate"/>
      </w:r>
      <w:bookmarkStart w:id="1416" w:name="__Fieldmark__11373_2067855929"/>
      <w:r>
        <w:rPr>
          <w:rFonts w:ascii="Arial" w:hAnsi="Arial"/>
          <w:sz w:val="22"/>
          <w:szCs w:val="22"/>
          <w:lang w:val="es-ES" w:eastAsia="en-US"/>
        </w:rPr>
        <w:t>(</w:t>
      </w:r>
      <w:bookmarkStart w:id="1417" w:name="__Fieldmark__9921_498839314"/>
      <w:r>
        <w:rPr>
          <w:rFonts w:ascii="Arial" w:hAnsi="Arial"/>
          <w:sz w:val="22"/>
          <w:szCs w:val="22"/>
          <w:lang w:val="es-ES" w:eastAsia="en-US"/>
        </w:rPr>
        <w:t>B</w:t>
      </w:r>
      <w:bookmarkStart w:id="1418" w:name="__Fieldmark__8873_998588997"/>
      <w:r>
        <w:rPr>
          <w:rFonts w:ascii="Arial" w:hAnsi="Arial"/>
          <w:sz w:val="22"/>
          <w:szCs w:val="22"/>
          <w:lang w:val="es-ES" w:eastAsia="en-US"/>
        </w:rPr>
        <w:t>e</w:t>
      </w:r>
      <w:bookmarkStart w:id="1419" w:name="__Fieldmark__13144_118561941"/>
      <w:r>
        <w:rPr>
          <w:rFonts w:ascii="Arial" w:hAnsi="Arial"/>
          <w:sz w:val="22"/>
          <w:szCs w:val="22"/>
          <w:lang w:val="es-ES" w:eastAsia="en-US"/>
        </w:rPr>
        <w:t>llo y Verdegay 2012)</w:t>
      </w:r>
      <w:r>
        <w:rPr>
          <w:rFonts w:ascii="Arial" w:hAnsi="Arial"/>
          <w:sz w:val="22"/>
          <w:szCs w:val="22"/>
          <w:lang w:val="es-ES" w:eastAsia="en-US"/>
        </w:rPr>
      </w:r>
      <w:r>
        <w:fldChar w:fldCharType="end"/>
      </w:r>
      <w:bookmarkEnd w:id="1416"/>
      <w:bookmarkEnd w:id="1417"/>
      <w:bookmarkEnd w:id="1418"/>
      <w:bookmarkEnd w:id="1419"/>
      <w:r>
        <w:rPr>
          <w:rFonts w:ascii="Arial" w:hAnsi="Arial"/>
          <w:bCs w:val="false"/>
          <w:sz w:val="22"/>
          <w:szCs w:val="22"/>
          <w:lang w:val="es-ES"/>
        </w:rPr>
        <w:t xml:space="preserve">. </w:t>
      </w:r>
      <w:r>
        <w:rPr>
          <w:rFonts w:ascii="Arial" w:hAnsi="Arial"/>
          <w:sz w:val="22"/>
          <w:szCs w:val="22"/>
          <w:lang w:val="es-ES" w:eastAsia="en-US"/>
        </w:rPr>
        <w:t xml:space="preserve">Los objetos que pertenecen a la aproximación inferior </w:t>
      </w:r>
      <w:r>
        <w:rPr>
          <w:rFonts w:ascii="Arial" w:hAnsi="Arial"/>
          <w:sz w:val="22"/>
          <w:szCs w:val="22"/>
          <w:lang w:val="es-ES" w:eastAsia="en-US"/>
        </w:rPr>
      </w:r>
      <m:oMath xmlns:m="http://schemas.openxmlformats.org/officeDocument/2006/math">
        <m:eqArr>
          <m:e/>
          <m:e>
            <m:eqArr>
              <m:e>
                <m:eqArr>
                  <m:e>
                    <m:eqArr>
                      <m:e>
                        <m:sSub>
                          <m:e>
                            <m:r>
                              <m:rPr>
                                <m:lit/>
                                <m:nor/>
                              </m:rPr>
                              <w:rPr>
                                <w:rFonts w:ascii="Cambria Math" w:hAnsi="Cambria Math"/>
                              </w:rPr>
                              <m:t xml:space="preserve">SUMMARY</m:t>
                            </m:r>
                          </m:e>
                          <m:sub>
                            <m:r>
                              <w:rPr>
                                <w:rFonts w:ascii="Cambria Math" w:hAnsi="Cambria Math"/>
                              </w:rPr>
                              <m:t xml:space="preserve">α</m:t>
                            </m:r>
                            <m:r>
                              <w:rPr>
                                <w:rFonts w:ascii="Cambria Math" w:hAnsi="Cambria Math"/>
                              </w:rPr>
                              <m:t xml:space="preserve">∗</m:t>
                            </m:r>
                            <m:d>
                              <m:dPr>
                                <m:begChr m:val="("/>
                                <m:endChr m:val=")"/>
                              </m:dPr>
                              <m:e>
                                <m:r>
                                  <w:rPr>
                                    <w:rFonts w:ascii="Cambria Math" w:hAnsi="Cambria Math"/>
                                  </w:rPr>
                                  <m:t xml:space="preserve">Y</m:t>
                                </m:r>
                              </m:e>
                            </m:d>
                          </m:sub>
                        </m:sSub>
                      </m:e>
                      <m:e/>
                    </m:eqArr>
                  </m:e>
                </m:eqArr>
              </m:e>
            </m:eqArr>
          </m:e>
        </m:eqArr>
      </m:oMath>
      <w:r>
        <w:rPr>
          <w:rFonts w:ascii="Arial" w:hAnsi="Arial"/>
          <w:sz w:val="22"/>
          <w:szCs w:val="22"/>
          <w:lang w:val="es-ES" w:eastAsia="en-US"/>
        </w:rPr>
        <w:t xml:space="preserve"> representan los objetos </w:t>
      </w:r>
      <w:r>
        <w:rPr>
          <w:rFonts w:ascii="Arial" w:hAnsi="Arial"/>
          <w:i/>
          <w:sz w:val="22"/>
          <w:szCs w:val="22"/>
          <w:lang w:val="es-ES"/>
        </w:rPr>
        <w:t>y</w:t>
      </w:r>
      <w:r>
        <w:rPr>
          <w:rFonts w:ascii="Arial" w:hAnsi="Arial"/>
          <w:i/>
          <w:sz w:val="22"/>
          <w:szCs w:val="22"/>
          <w:vertAlign w:val="subscript"/>
          <w:lang w:val="es-ES"/>
        </w:rPr>
        <w:t xml:space="preserve">i </w:t>
      </w:r>
      <w:r>
        <w:rPr>
          <w:rFonts w:eastAsia="Symbol" w:cs="Symbol" w:ascii="Symbol" w:hAnsi="Symbol"/>
          <w:i/>
          <w:sz w:val="22"/>
          <w:szCs w:val="22"/>
          <w:lang w:val="es-ES"/>
        </w:rPr>
        <w:t></w:t>
      </w:r>
      <w:r>
        <w:rPr>
          <w:rFonts w:ascii="Arial" w:hAnsi="Arial"/>
          <w:i/>
          <w:sz w:val="22"/>
          <w:szCs w:val="22"/>
          <w:lang w:val="es-ES"/>
        </w:rPr>
        <w:t xml:space="preserve"> Y</w:t>
      </w:r>
      <w:r>
        <w:rPr>
          <w:rFonts w:ascii="Arial" w:hAnsi="Arial"/>
          <w:sz w:val="22"/>
          <w:szCs w:val="22"/>
          <w:lang w:val="es-ES" w:eastAsia="en-US"/>
        </w:rPr>
        <w:t xml:space="preserve">, donde no existe duda que pertenecen al resumen </w:t>
      </w:r>
      <w:r>
        <w:rPr>
          <w:rFonts w:ascii="Arial" w:hAnsi="Arial"/>
          <w:i/>
          <w:sz w:val="22"/>
          <w:szCs w:val="22"/>
          <w:lang w:val="es-ES"/>
        </w:rPr>
        <w:t>SUMMARY</w:t>
      </w:r>
      <w:r>
        <w:rPr>
          <w:rFonts w:ascii="Arial" w:hAnsi="Arial"/>
          <w:sz w:val="22"/>
          <w:szCs w:val="22"/>
          <w:lang w:val="es-ES" w:eastAsia="en-US"/>
        </w:rPr>
        <w:t xml:space="preserve"> considerando el </w:t>
      </w:r>
      <w:r>
        <w:rPr>
          <w:rFonts w:eastAsia="Symbol" w:cs="Symbol" w:ascii="Symbol" w:hAnsi="Symbol"/>
          <w:i/>
          <w:sz w:val="22"/>
          <w:szCs w:val="22"/>
          <w:lang w:val="es-ES" w:eastAsia="en-US"/>
        </w:rPr>
        <w:t></w:t>
      </w:r>
      <w:r>
        <w:rPr>
          <w:rFonts w:ascii="Arial" w:hAnsi="Arial"/>
          <w:i/>
          <w:sz w:val="22"/>
          <w:szCs w:val="22"/>
          <w:lang w:val="es-ES" w:eastAsia="en-US"/>
        </w:rPr>
        <w:t>-corte;</w:t>
      </w:r>
      <w:r>
        <w:rPr>
          <w:rFonts w:ascii="Arial" w:hAnsi="Arial"/>
          <w:sz w:val="22"/>
          <w:szCs w:val="22"/>
          <w:lang w:val="es-ES" w:eastAsia="en-US"/>
        </w:rPr>
        <w:t xml:space="preserve"> mientras que aquellos que pertenecen a la aproximación superior </w:t>
      </w:r>
      <w:r>
        <w:rPr>
          <w:rFonts w:ascii="Arial" w:hAnsi="Arial"/>
          <w:sz w:val="22"/>
          <w:szCs w:val="22"/>
          <w:lang w:val="es-ES" w:eastAsia="en-US"/>
        </w:rPr>
      </w:r>
      <m:oMath xmlns:m="http://schemas.openxmlformats.org/officeDocument/2006/math">
        <m:sSup>
          <m:e>
            <m:r>
              <w:rPr>
                <w:rFonts w:ascii="Cambria Math" w:hAnsi="Cambria Math"/>
              </w:rPr>
              <m:t xml:space="preserve">SUMMARY</m:t>
            </m:r>
          </m:e>
          <m:sup/>
        </m:sSup>
        <m:d>
          <m:dPr>
            <m:begChr m:val="("/>
            <m:endChr m:val=")"/>
          </m:dPr>
          <m:e>
            <m:r>
              <w:rPr>
                <w:rFonts w:ascii="Cambria Math" w:hAnsi="Cambria Math"/>
              </w:rPr>
              <m:t xml:space="preserve">Y</m:t>
            </m:r>
          </m:e>
        </m:d>
      </m:oMath>
      <w:r>
        <w:rPr>
          <w:rFonts w:ascii="Arial" w:hAnsi="Arial"/>
          <w:sz w:val="22"/>
          <w:szCs w:val="22"/>
          <w:lang w:val="es-ES" w:eastAsia="en-US"/>
        </w:rPr>
        <w:t xml:space="preserve"> son los objetos de </w:t>
      </w:r>
      <w:r>
        <w:rPr>
          <w:rFonts w:ascii="Arial" w:hAnsi="Arial"/>
          <w:i/>
          <w:sz w:val="22"/>
          <w:szCs w:val="22"/>
          <w:lang w:val="es-ES"/>
        </w:rPr>
        <w:t>y</w:t>
      </w:r>
      <w:r>
        <w:rPr>
          <w:rFonts w:ascii="Arial" w:hAnsi="Arial"/>
          <w:i/>
          <w:sz w:val="22"/>
          <w:szCs w:val="22"/>
          <w:vertAlign w:val="subscript"/>
          <w:lang w:val="es-ES"/>
        </w:rPr>
        <w:t xml:space="preserve">i </w:t>
      </w:r>
      <w:r>
        <w:rPr>
          <w:rFonts w:eastAsia="Symbol" w:cs="Symbol" w:ascii="Symbol" w:hAnsi="Symbol"/>
          <w:i/>
          <w:sz w:val="22"/>
          <w:szCs w:val="22"/>
          <w:lang w:val="es-ES"/>
        </w:rPr>
        <w:t></w:t>
      </w:r>
      <w:r>
        <w:rPr>
          <w:rFonts w:ascii="Arial" w:hAnsi="Arial"/>
          <w:i/>
          <w:sz w:val="22"/>
          <w:szCs w:val="22"/>
          <w:lang w:val="es-ES"/>
        </w:rPr>
        <w:t xml:space="preserve"> Y</w:t>
      </w:r>
      <w:r>
        <w:rPr>
          <w:rFonts w:ascii="Arial" w:hAnsi="Arial"/>
          <w:sz w:val="22"/>
          <w:szCs w:val="22"/>
          <w:lang w:val="es-ES" w:eastAsia="en-US"/>
        </w:rPr>
        <w:t xml:space="preserve"> que pertenecen al resumen lingüístico en algún grado mayor que 0, que incluye tanto a los objetos de la aproximación inferior como a los de la </w:t>
      </w:r>
      <w:r>
        <w:rPr>
          <w:rFonts w:ascii="Arial" w:hAnsi="Arial"/>
          <w:sz w:val="22"/>
          <w:szCs w:val="22"/>
          <w:lang w:val="en-US"/>
        </w:rPr>
        <w:t xml:space="preserve">región límite </w:t>
      </w:r>
      <w:r>
        <w:rPr>
          <w:rFonts w:ascii="Arial" w:hAnsi="Arial"/>
          <w:sz w:val="22"/>
          <w:szCs w:val="22"/>
          <w:lang w:val="en-US"/>
        </w:rPr>
      </w:r>
      <m:oMath xmlns:m="http://schemas.openxmlformats.org/officeDocument/2006/math">
        <m:sSub>
          <m:e>
            <m:r>
              <m:rPr>
                <m:lit/>
                <m:nor/>
              </m:rPr>
              <w:rPr>
                <w:rFonts w:ascii="Cambria Math" w:hAnsi="Cambria Math"/>
              </w:rPr>
              <m:t xml:space="preserve">SUMMARY</m:t>
            </m:r>
          </m:e>
          <m:sub>
            <m:r>
              <m:rPr>
                <m:lit/>
                <m:nor/>
              </m:rPr>
              <w:rPr>
                <w:rFonts w:ascii="Cambria Math" w:hAnsi="Cambria Math"/>
              </w:rPr>
              <m:t xml:space="preserve">BN</m:t>
            </m:r>
          </m:sub>
        </m:sSub>
      </m:oMath>
      <w:r>
        <w:rPr>
          <w:rFonts w:ascii="Arial" w:hAnsi="Arial"/>
          <w:sz w:val="22"/>
          <w:szCs w:val="22"/>
          <w:lang w:val="es-ES" w:eastAsia="en-US"/>
        </w:rPr>
        <w:t>. Los objetos que pertenecen a la región límite representan objetos sobre los que se tiene cierta duda del nivel de representatividad de un determinado resumen sobre él.</w:t>
      </w:r>
    </w:p>
    <w:p>
      <w:pPr>
        <w:pStyle w:val="Papertext1"/>
        <w:widowControl w:val="false"/>
        <w:spacing w:lineRule="auto" w:line="360" w:before="240" w:after="60"/>
        <w:ind w:hanging="0"/>
        <w:rPr/>
      </w:pPr>
      <w:r>
        <w:rPr>
          <w:rFonts w:ascii="Arial" w:hAnsi="Arial"/>
          <w:b/>
          <w:sz w:val="22"/>
          <w:szCs w:val="22"/>
          <w:lang w:val="es-ES"/>
        </w:rPr>
        <w:t xml:space="preserve">Definición </w:t>
      </w:r>
      <w:r>
        <w:rPr>
          <w:rFonts w:ascii="Arial" w:hAnsi="Arial"/>
          <w:b/>
          <w:sz w:val="22"/>
          <w:szCs w:val="22"/>
          <w:lang w:val="es-ES"/>
        </w:rPr>
        <w:fldChar w:fldCharType="begin"/>
      </w:r>
      <w:r>
        <w:instrText> SEQ Definición \* ARABIC </w:instrText>
      </w:r>
      <w:r>
        <w:fldChar w:fldCharType="separate"/>
      </w:r>
      <w:r>
        <w:t>10</w:t>
      </w:r>
      <w:r>
        <w:fldChar w:fldCharType="end"/>
      </w:r>
      <w:r>
        <w:rPr>
          <w:rFonts w:ascii="Arial" w:hAnsi="Arial"/>
          <w:b/>
          <w:sz w:val="22"/>
          <w:szCs w:val="22"/>
          <w:lang w:val="es-ES"/>
        </w:rPr>
        <w:t>:</w:t>
      </w:r>
      <w:r>
        <w:rPr>
          <w:rFonts w:ascii="Arial" w:hAnsi="Arial"/>
          <w:sz w:val="22"/>
          <w:szCs w:val="22"/>
          <w:lang w:val="es-ES"/>
        </w:rPr>
        <w:t xml:space="preserve"> Sea </w:t>
      </w:r>
      <w:r>
        <w:rPr>
          <w:rFonts w:ascii="Arial" w:hAnsi="Arial"/>
          <w:i/>
          <w:sz w:val="22"/>
          <w:szCs w:val="22"/>
          <w:lang w:val="es-ES"/>
        </w:rPr>
        <w:t>y</w:t>
      </w:r>
      <w:r>
        <w:rPr>
          <w:rFonts w:ascii="Arial" w:hAnsi="Arial"/>
          <w:i/>
          <w:sz w:val="22"/>
          <w:szCs w:val="22"/>
          <w:vertAlign w:val="subscript"/>
          <w:lang w:val="es-ES"/>
        </w:rPr>
        <w:t xml:space="preserve">i </w:t>
      </w:r>
      <w:r>
        <w:rPr>
          <w:rFonts w:eastAsia="Symbol" w:cs="Symbol" w:ascii="Symbol" w:hAnsi="Symbol"/>
          <w:i/>
          <w:sz w:val="22"/>
          <w:szCs w:val="22"/>
          <w:lang w:val="es-ES"/>
        </w:rPr>
        <w:t></w:t>
      </w:r>
      <w:r>
        <w:rPr>
          <w:rFonts w:ascii="Arial" w:hAnsi="Arial"/>
          <w:i/>
          <w:sz w:val="22"/>
          <w:szCs w:val="22"/>
          <w:lang w:val="es-ES"/>
        </w:rPr>
        <w:t xml:space="preserve"> Y</w:t>
      </w:r>
      <w:r>
        <w:rPr>
          <w:rFonts w:ascii="Arial" w:hAnsi="Arial"/>
          <w:sz w:val="22"/>
          <w:szCs w:val="22"/>
          <w:lang w:val="es-ES"/>
        </w:rPr>
        <w:t xml:space="preserve"> un objeto y </w:t>
      </w:r>
      <w:r>
        <w:rPr>
          <w:rFonts w:ascii="Arial" w:hAnsi="Arial"/>
          <w:i/>
          <w:sz w:val="22"/>
          <w:szCs w:val="22"/>
          <w:lang w:val="es-ES"/>
        </w:rPr>
        <w:t>SUMMARY</w:t>
      </w:r>
      <w:r>
        <w:rPr>
          <w:rFonts w:ascii="Arial" w:hAnsi="Arial"/>
          <w:sz w:val="22"/>
          <w:szCs w:val="22"/>
          <w:lang w:val="es-ES"/>
        </w:rPr>
        <w:t xml:space="preserve"> un resumen lingüístico, se define </w:t>
      </w:r>
      <w:r>
        <w:rPr>
          <w:rFonts w:ascii="Arial" w:hAnsi="Arial"/>
          <w:sz w:val="22"/>
          <w:szCs w:val="22"/>
          <w:lang w:val="es-ES"/>
        </w:rPr>
      </w:r>
      <m:oMath xmlns:m="http://schemas.openxmlformats.org/officeDocument/2006/math">
        <m:sSub>
          <m:e>
            <m:r>
              <w:rPr>
                <w:rFonts w:ascii="Cambria Math" w:hAnsi="Cambria Math"/>
              </w:rPr>
              <m:t xml:space="preserve">τ</m:t>
            </m:r>
          </m:e>
          <m:sub>
            <m:r>
              <m:rPr>
                <m:lit/>
                <m:nor/>
              </m:rPr>
              <w:rPr>
                <w:rFonts w:ascii="Cambria Math" w:hAnsi="Cambria Math"/>
              </w:rPr>
              <m:t xml:space="preserve">SUMMARY</m:t>
            </m:r>
          </m:sub>
        </m:sSub>
        <m:d>
          <m:dPr>
            <m:begChr m:val="("/>
            <m:endChr m:val=")"/>
          </m:dPr>
          <m:e>
            <m:sSub>
              <m:e>
                <m:r>
                  <w:rPr>
                    <w:rFonts w:ascii="Cambria Math" w:hAnsi="Cambria Math"/>
                  </w:rPr>
                  <m:t xml:space="preserve">y</m:t>
                </m:r>
              </m:e>
              <m:sub>
                <m:r>
                  <w:rPr>
                    <w:rFonts w:ascii="Cambria Math" w:hAnsi="Cambria Math"/>
                  </w:rPr>
                  <m:t xml:space="preserve">i</m:t>
                </m:r>
              </m:sub>
            </m:sSub>
          </m:e>
        </m:d>
      </m:oMath>
      <w:r>
        <w:rPr>
          <w:rFonts w:ascii="Arial" w:hAnsi="Arial"/>
          <w:sz w:val="22"/>
          <w:szCs w:val="22"/>
          <w:lang w:val="es-ES"/>
        </w:rPr>
        <w:t xml:space="preserve"> como el grado de indeterminación asociado a la pertenencia del objeto </w:t>
      </w:r>
      <w:r>
        <w:rPr>
          <w:rFonts w:ascii="Arial" w:hAnsi="Arial"/>
          <w:i/>
          <w:sz w:val="22"/>
          <w:szCs w:val="22"/>
          <w:lang w:val="es-ES"/>
        </w:rPr>
        <w:t>y</w:t>
      </w:r>
      <w:r>
        <w:rPr>
          <w:rFonts w:ascii="Arial" w:hAnsi="Arial"/>
          <w:i/>
          <w:sz w:val="22"/>
          <w:szCs w:val="22"/>
          <w:vertAlign w:val="subscript"/>
          <w:lang w:val="es-ES"/>
        </w:rPr>
        <w:t>i</w:t>
      </w:r>
      <w:r>
        <w:rPr>
          <w:rFonts w:ascii="Arial" w:hAnsi="Arial"/>
          <w:sz w:val="22"/>
          <w:szCs w:val="22"/>
          <w:lang w:val="es-ES"/>
        </w:rPr>
        <w:t xml:space="preserve"> al </w:t>
      </w:r>
      <w:r>
        <w:rPr>
          <w:rFonts w:ascii="Arial" w:hAnsi="Arial"/>
          <w:i/>
          <w:sz w:val="22"/>
          <w:szCs w:val="22"/>
          <w:lang w:val="es-ES"/>
        </w:rPr>
        <w:t>SUMMARY</w:t>
      </w:r>
      <w:r>
        <w:rPr>
          <w:rFonts w:ascii="Arial" w:hAnsi="Arial"/>
          <w:sz w:val="22"/>
          <w:szCs w:val="22"/>
          <w:lang w:val="es-ES"/>
        </w:rPr>
        <w:t>. Se calcula para los resúmenes lingüísticos con estructura “</w:t>
      </w:r>
      <w:r>
        <w:rPr>
          <w:rFonts w:ascii="Arial" w:hAnsi="Arial"/>
          <w:i/>
          <w:sz w:val="22"/>
          <w:szCs w:val="22"/>
          <w:lang w:val="es-ES"/>
        </w:rPr>
        <w:t xml:space="preserve">Qy´s are S” </w:t>
      </w:r>
      <w:r>
        <w:rPr>
          <w:rFonts w:ascii="Arial" w:hAnsi="Arial"/>
          <w:sz w:val="22"/>
          <w:szCs w:val="22"/>
          <w:lang w:val="es-ES"/>
        </w:rPr>
        <w:t xml:space="preserve">como muestra la </w:t>
      </w:r>
      <w:r>
        <w:rPr>
          <w:rFonts w:ascii="Arial" w:hAnsi="Arial"/>
          <w:sz w:val="22"/>
          <w:szCs w:val="22"/>
          <w:lang w:val="es-ES"/>
        </w:rPr>
        <w:fldChar w:fldCharType="begin"/>
      </w:r>
      <w:r>
        <w:instrText> REF _Ref70146670 \h </w:instrText>
      </w:r>
      <w:r>
        <w:fldChar w:fldCharType="separate"/>
      </w:r>
      <w:r>
        <w:t xml:space="preserve">Ecuación </w:t>
      </w:r>
      <w:r>
        <w:fldChar w:fldCharType="end"/>
      </w:r>
      <w:r>
        <w:rPr>
          <w:rFonts w:ascii="Arial" w:hAnsi="Arial"/>
          <w:sz w:val="22"/>
          <w:szCs w:val="22"/>
          <w:lang w:val="es-ES"/>
        </w:rPr>
        <w:t>, y para los resúmenes lingüísticos con estructura</w:t>
      </w:r>
      <w:r>
        <w:rPr>
          <w:rFonts w:ascii="Arial" w:hAnsi="Arial"/>
          <w:i/>
          <w:sz w:val="22"/>
          <w:szCs w:val="22"/>
          <w:lang w:val="es-ES"/>
        </w:rPr>
        <w:t xml:space="preserve"> </w:t>
      </w:r>
      <w:r>
        <w:rPr>
          <w:rFonts w:ascii="Arial" w:hAnsi="Arial"/>
          <w:sz w:val="22"/>
          <w:szCs w:val="22"/>
          <w:lang w:val="es-ES"/>
        </w:rPr>
        <w:t>“</w:t>
      </w:r>
      <w:r>
        <w:rPr>
          <w:rFonts w:ascii="Arial" w:hAnsi="Arial"/>
          <w:i/>
          <w:sz w:val="22"/>
          <w:szCs w:val="22"/>
          <w:lang w:val="es-ES"/>
        </w:rPr>
        <w:t xml:space="preserve">QRy´s are S” </w:t>
      </w:r>
      <w:r>
        <w:rPr>
          <w:rFonts w:ascii="Arial" w:hAnsi="Arial"/>
          <w:sz w:val="22"/>
          <w:szCs w:val="22"/>
          <w:lang w:val="es-ES"/>
        </w:rPr>
        <w:t xml:space="preserve">como muestra la </w:t>
      </w:r>
      <w:r>
        <w:rPr>
          <w:rFonts w:ascii="Arial" w:hAnsi="Arial"/>
          <w:sz w:val="22"/>
          <w:szCs w:val="22"/>
          <w:lang w:val="es-ES"/>
        </w:rPr>
        <w:fldChar w:fldCharType="begin"/>
      </w:r>
      <w:r>
        <w:instrText> REF _Ref70146672 \h </w:instrText>
      </w:r>
      <w:r>
        <w:fldChar w:fldCharType="separate"/>
      </w:r>
      <w:r>
        <w:t xml:space="preserve">Ecuación </w:t>
      </w:r>
      <w:r>
        <w:fldChar w:fldCharType="end"/>
      </w:r>
      <w:r>
        <w:rPr>
          <w:rFonts w:ascii="Arial" w:hAnsi="Arial"/>
          <w:sz w:val="22"/>
          <w:szCs w:val="22"/>
          <w:lang w:val="es-ES"/>
        </w:rPr>
        <w:t>.</w:t>
      </w:r>
    </w:p>
    <w:tbl>
      <w:tblPr>
        <w:tblStyle w:val="Tablaconcuadrcula"/>
        <w:tblW w:w="5000" w:type="pct"/>
        <w:jc w:val="left"/>
        <w:tblInd w:w="0" w:type="dxa"/>
        <w:tblCellMar>
          <w:top w:w="0" w:type="dxa"/>
          <w:left w:w="123" w:type="dxa"/>
          <w:bottom w:w="0" w:type="dxa"/>
          <w:right w:w="108" w:type="dxa"/>
        </w:tblCellMar>
        <w:tblLook w:val="04a0" w:noVBand="1" w:noHBand="0" w:lastColumn="0" w:firstColumn="1" w:lastRow="0" w:firstRow="1"/>
      </w:tblPr>
      <w:tblGrid>
        <w:gridCol w:w="6595"/>
        <w:gridCol w:w="2383"/>
      </w:tblGrid>
      <w:tr>
        <w:trPr>
          <w:trHeight w:val="832" w:hRule="atLeast"/>
        </w:trPr>
        <w:tc>
          <w:tcPr>
            <w:tcW w:w="6595" w:type="dxa"/>
            <w:tcBorders>
              <w:top w:val="nil"/>
              <w:left w:val="nil"/>
              <w:bottom w:val="nil"/>
              <w:right w:val="nil"/>
              <w:insideH w:val="nil"/>
              <w:insideV w:val="nil"/>
            </w:tcBorders>
            <w:shd w:color="auto" w:fill="auto" w:val="clear"/>
            <w:vAlign w:val="center"/>
          </w:tcPr>
          <w:p>
            <w:pPr>
              <w:pStyle w:val="Caption1"/>
              <w:spacing w:before="0" w:after="60"/>
              <w:ind w:left="0" w:hanging="0"/>
              <w:jc w:val="left"/>
              <w:rPr>
                <w:sz w:val="24"/>
                <w:szCs w:val="24"/>
                <w:lang w:eastAsia="en-US"/>
              </w:rPr>
            </w:pPr>
            <w:r>
              <w:rPr>
                <w:sz w:val="24"/>
                <w:szCs w:val="24"/>
                <w:lang w:eastAsia="en-US"/>
              </w:rPr>
            </w:r>
          </w:p>
        </w:tc>
        <w:tc>
          <w:tcPr>
            <w:tcW w:w="2383" w:type="dxa"/>
            <w:tcBorders>
              <w:top w:val="nil"/>
              <w:left w:val="nil"/>
              <w:bottom w:val="nil"/>
              <w:right w:val="nil"/>
              <w:insideH w:val="nil"/>
              <w:insideV w:val="nil"/>
            </w:tcBorders>
            <w:shd w:color="auto" w:fill="auto" w:val="clear"/>
            <w:vAlign w:val="center"/>
          </w:tcPr>
          <w:p>
            <w:pPr>
              <w:pStyle w:val="Normal"/>
              <w:spacing w:before="80" w:after="60"/>
              <w:jc w:val="right"/>
              <w:rPr/>
            </w:pPr>
            <w:bookmarkStart w:id="1420" w:name="_Ref70146670"/>
            <w:r>
              <w:rPr/>
              <w:t xml:space="preserve">Ecuación </w:t>
            </w:r>
            <w:bookmarkEnd w:id="1420"/>
            <w:r>
              <w:rPr/>
              <w:fldChar w:fldCharType="begin"/>
            </w:r>
            <w:r>
              <w:instrText> SEQ Ecuación \* ARABIC </w:instrText>
            </w:r>
            <w:r>
              <w:fldChar w:fldCharType="separate"/>
            </w:r>
            <w:r>
              <w:t>38</w:t>
            </w:r>
            <w:r>
              <w:fldChar w:fldCharType="end"/>
            </w:r>
          </w:p>
        </w:tc>
      </w:tr>
      <w:tr>
        <w:trPr>
          <w:trHeight w:val="998" w:hRule="atLeast"/>
        </w:trPr>
        <w:tc>
          <w:tcPr>
            <w:tcW w:w="6595" w:type="dxa"/>
            <w:tcBorders>
              <w:top w:val="nil"/>
              <w:left w:val="nil"/>
              <w:bottom w:val="nil"/>
              <w:right w:val="nil"/>
              <w:insideH w:val="nil"/>
              <w:insideV w:val="nil"/>
            </w:tcBorders>
            <w:shd w:color="auto" w:fill="auto" w:val="clear"/>
            <w:vAlign w:val="center"/>
          </w:tcPr>
          <w:p>
            <w:pPr>
              <w:pStyle w:val="Caption1"/>
              <w:spacing w:before="0" w:after="60"/>
              <w:ind w:left="0" w:hanging="0"/>
              <w:jc w:val="left"/>
              <w:rPr>
                <w:sz w:val="24"/>
                <w:szCs w:val="24"/>
                <w:lang w:val="en-US" w:eastAsia="en-US"/>
              </w:rPr>
            </w:pPr>
            <w:r>
              <w:rPr>
                <w:sz w:val="24"/>
                <w:szCs w:val="24"/>
                <w:lang w:val="en-US" w:eastAsia="en-US"/>
              </w:rPr>
            </w:r>
          </w:p>
        </w:tc>
        <w:tc>
          <w:tcPr>
            <w:tcW w:w="2383" w:type="dxa"/>
            <w:tcBorders>
              <w:top w:val="nil"/>
              <w:left w:val="nil"/>
              <w:bottom w:val="nil"/>
              <w:right w:val="nil"/>
              <w:insideH w:val="nil"/>
              <w:insideV w:val="nil"/>
            </w:tcBorders>
            <w:shd w:color="auto" w:fill="auto" w:val="clear"/>
            <w:vAlign w:val="center"/>
          </w:tcPr>
          <w:p>
            <w:pPr>
              <w:pStyle w:val="Normal"/>
              <w:spacing w:before="80" w:after="60"/>
              <w:jc w:val="right"/>
              <w:rPr/>
            </w:pPr>
            <w:bookmarkStart w:id="1421" w:name="_Ref70146672"/>
            <w:r>
              <w:rPr/>
              <w:t xml:space="preserve">Ecuación </w:t>
            </w:r>
            <w:bookmarkEnd w:id="1421"/>
            <w:r>
              <w:rPr/>
              <w:fldChar w:fldCharType="begin"/>
            </w:r>
            <w:r>
              <w:instrText> SEQ Ecuación \* ARABIC </w:instrText>
            </w:r>
            <w:r>
              <w:fldChar w:fldCharType="separate"/>
            </w:r>
            <w:r>
              <w:t>39</w:t>
            </w:r>
            <w:r>
              <w:fldChar w:fldCharType="end"/>
            </w:r>
          </w:p>
        </w:tc>
      </w:tr>
    </w:tbl>
    <w:p>
      <w:pPr>
        <w:pStyle w:val="Papertext1"/>
        <w:widowControl w:val="false"/>
        <w:spacing w:lineRule="auto" w:line="360" w:before="240" w:after="60"/>
        <w:ind w:hanging="0"/>
        <w:rPr/>
      </w:pPr>
      <w:r>
        <w:rPr>
          <w:rFonts w:ascii="Arial" w:hAnsi="Arial"/>
          <w:b/>
          <w:sz w:val="22"/>
          <w:szCs w:val="22"/>
          <w:lang w:val="es-ES"/>
        </w:rPr>
        <w:t xml:space="preserve">Definición </w:t>
      </w:r>
      <w:r>
        <w:rPr>
          <w:rFonts w:ascii="Arial" w:hAnsi="Arial"/>
          <w:b/>
          <w:sz w:val="22"/>
          <w:szCs w:val="22"/>
          <w:lang w:val="es-ES"/>
        </w:rPr>
        <w:fldChar w:fldCharType="begin"/>
      </w:r>
      <w:r>
        <w:instrText> SEQ Definición \* ARABIC </w:instrText>
      </w:r>
      <w:r>
        <w:fldChar w:fldCharType="separate"/>
      </w:r>
      <w:r>
        <w:t>11</w:t>
      </w:r>
      <w:r>
        <w:fldChar w:fldCharType="end"/>
      </w:r>
      <w:r>
        <w:rPr>
          <w:rFonts w:ascii="Arial" w:hAnsi="Arial"/>
          <w:b/>
          <w:sz w:val="22"/>
          <w:szCs w:val="22"/>
          <w:lang w:val="es-ES"/>
        </w:rPr>
        <w:t>:</w:t>
      </w:r>
      <w:r>
        <w:rPr>
          <w:rFonts w:ascii="Arial" w:hAnsi="Arial"/>
          <w:sz w:val="22"/>
          <w:szCs w:val="22"/>
          <w:lang w:val="es-ES"/>
        </w:rPr>
        <w:t xml:space="preserve"> Sea </w:t>
      </w:r>
      <w:r>
        <w:rPr>
          <w:rFonts w:ascii="Arial" w:hAnsi="Arial"/>
          <w:i/>
          <w:sz w:val="22"/>
          <w:szCs w:val="22"/>
          <w:lang w:val="es-ES"/>
        </w:rPr>
        <w:t>y</w:t>
      </w:r>
      <w:r>
        <w:rPr>
          <w:rFonts w:ascii="Arial" w:hAnsi="Arial"/>
          <w:i/>
          <w:sz w:val="22"/>
          <w:szCs w:val="22"/>
          <w:vertAlign w:val="subscript"/>
          <w:lang w:val="es-ES"/>
        </w:rPr>
        <w:t xml:space="preserve">i </w:t>
      </w:r>
      <w:r>
        <w:rPr>
          <w:rFonts w:eastAsia="Symbol" w:cs="Symbol" w:ascii="Symbol" w:hAnsi="Symbol"/>
          <w:i/>
          <w:sz w:val="22"/>
          <w:szCs w:val="22"/>
          <w:lang w:val="es-ES"/>
        </w:rPr>
        <w:t></w:t>
      </w:r>
      <w:r>
        <w:rPr>
          <w:rFonts w:ascii="Arial" w:hAnsi="Arial"/>
          <w:i/>
          <w:sz w:val="22"/>
          <w:szCs w:val="22"/>
          <w:lang w:val="es-ES"/>
        </w:rPr>
        <w:t xml:space="preserve"> Y</w:t>
      </w:r>
      <w:r>
        <w:rPr>
          <w:rFonts w:ascii="Arial" w:hAnsi="Arial"/>
          <w:sz w:val="22"/>
          <w:szCs w:val="22"/>
          <w:lang w:val="es-ES"/>
        </w:rPr>
        <w:t xml:space="preserve"> un objeto y </w:t>
      </w:r>
      <w:r>
        <w:rPr>
          <w:rFonts w:ascii="Arial" w:hAnsi="Arial"/>
          <w:i/>
          <w:sz w:val="22"/>
          <w:szCs w:val="22"/>
          <w:lang w:val="es-ES"/>
        </w:rPr>
        <w:t>SUMMARY</w:t>
      </w:r>
      <w:r>
        <w:rPr>
          <w:rFonts w:ascii="Arial" w:hAnsi="Arial"/>
          <w:sz w:val="22"/>
          <w:szCs w:val="22"/>
          <w:lang w:val="es-ES"/>
        </w:rPr>
        <w:t xml:space="preserve"> un resumen lingüístico, se define </w:t>
      </w:r>
      <w:r>
        <w:rPr>
          <w:rFonts w:ascii="Arial" w:hAnsi="Arial"/>
          <w:sz w:val="22"/>
          <w:szCs w:val="22"/>
          <w:lang w:val="es-ES"/>
        </w:rPr>
      </w:r>
      <m:oMath xmlns:m="http://schemas.openxmlformats.org/officeDocument/2006/math">
        <m:sSub>
          <m:e>
            <m:r>
              <w:rPr>
                <w:rFonts w:ascii="Cambria Math" w:hAnsi="Cambria Math"/>
              </w:rPr>
              <m:t xml:space="preserve">σ</m:t>
            </m:r>
          </m:e>
          <m:sub>
            <m:r>
              <m:rPr>
                <m:lit/>
                <m:nor/>
              </m:rPr>
              <w:rPr>
                <w:rFonts w:ascii="Cambria Math" w:hAnsi="Cambria Math"/>
              </w:rPr>
              <m:t xml:space="preserve">SUMMARY</m:t>
            </m:r>
          </m:sub>
        </m:sSub>
        <m:d>
          <m:dPr>
            <m:begChr m:val="("/>
            <m:endChr m:val=")"/>
          </m:dPr>
          <m:e>
            <m:sSub>
              <m:e>
                <m:r>
                  <w:rPr>
                    <w:rFonts w:ascii="Cambria Math" w:hAnsi="Cambria Math"/>
                  </w:rPr>
                  <m:t xml:space="preserve">y</m:t>
                </m:r>
              </m:e>
              <m:sub>
                <m:r>
                  <w:rPr>
                    <w:rFonts w:ascii="Cambria Math" w:hAnsi="Cambria Math"/>
                  </w:rPr>
                  <m:t xml:space="preserve">i</m:t>
                </m:r>
              </m:sub>
            </m:sSub>
          </m:e>
        </m:d>
      </m:oMath>
      <w:r>
        <w:rPr>
          <w:rFonts w:ascii="Arial" w:hAnsi="Arial"/>
          <w:sz w:val="22"/>
          <w:szCs w:val="22"/>
          <w:lang w:val="es-ES"/>
        </w:rPr>
        <w:t xml:space="preserve">como el grado de no pertenencia del objeto </w:t>
      </w:r>
      <w:r>
        <w:rPr>
          <w:rFonts w:ascii="Arial" w:hAnsi="Arial"/>
          <w:i/>
          <w:sz w:val="22"/>
          <w:szCs w:val="22"/>
          <w:lang w:val="es-ES"/>
        </w:rPr>
        <w:t>y</w:t>
      </w:r>
      <w:r>
        <w:rPr>
          <w:rFonts w:ascii="Arial" w:hAnsi="Arial"/>
          <w:i/>
          <w:sz w:val="22"/>
          <w:szCs w:val="22"/>
          <w:vertAlign w:val="subscript"/>
          <w:lang w:val="es-ES"/>
        </w:rPr>
        <w:t>i</w:t>
      </w:r>
      <w:r>
        <w:rPr>
          <w:rFonts w:ascii="Arial" w:hAnsi="Arial"/>
          <w:sz w:val="22"/>
          <w:szCs w:val="22"/>
          <w:lang w:val="es-ES"/>
        </w:rPr>
        <w:t xml:space="preserve"> al </w:t>
      </w:r>
      <w:r>
        <w:rPr>
          <w:rFonts w:ascii="Arial" w:hAnsi="Arial"/>
          <w:i/>
          <w:sz w:val="22"/>
          <w:szCs w:val="22"/>
          <w:lang w:val="es-ES"/>
        </w:rPr>
        <w:t>SUMMARY.</w:t>
      </w:r>
      <w:r>
        <w:rPr>
          <w:rFonts w:ascii="Arial" w:hAnsi="Arial"/>
          <w:sz w:val="22"/>
          <w:szCs w:val="22"/>
          <w:lang w:val="es-ES"/>
        </w:rPr>
        <w:t xml:space="preserve"> Se calcula para los resúmenes lingüísticos con estructura “</w:t>
      </w:r>
      <w:r>
        <w:rPr>
          <w:rFonts w:ascii="Arial" w:hAnsi="Arial"/>
          <w:i/>
          <w:sz w:val="22"/>
          <w:szCs w:val="22"/>
          <w:lang w:val="es-ES"/>
        </w:rPr>
        <w:t xml:space="preserve">Qy´s are S” </w:t>
      </w:r>
      <w:r>
        <w:rPr>
          <w:rFonts w:ascii="Arial" w:hAnsi="Arial"/>
          <w:sz w:val="22"/>
          <w:szCs w:val="22"/>
          <w:lang w:val="es-ES"/>
        </w:rPr>
        <w:t xml:space="preserve">como muestra la </w:t>
      </w:r>
      <w:r>
        <w:rPr>
          <w:rFonts w:ascii="Arial" w:hAnsi="Arial"/>
          <w:sz w:val="22"/>
          <w:szCs w:val="22"/>
          <w:lang w:val="es-ES"/>
        </w:rPr>
        <w:fldChar w:fldCharType="begin"/>
      </w:r>
      <w:r>
        <w:instrText> REF _Ref70146895 \h </w:instrText>
      </w:r>
      <w:r>
        <w:fldChar w:fldCharType="separate"/>
      </w:r>
      <w:r>
        <w:t xml:space="preserve">Ecuación </w:t>
      </w:r>
      <w:r>
        <w:fldChar w:fldCharType="end"/>
      </w:r>
      <w:r>
        <w:rPr>
          <w:rFonts w:ascii="Arial" w:hAnsi="Arial"/>
          <w:sz w:val="22"/>
          <w:szCs w:val="22"/>
          <w:lang w:val="es-ES"/>
        </w:rPr>
        <w:t>, y para los resúmenes lingüísticos con estructura “</w:t>
      </w:r>
      <w:r>
        <w:rPr>
          <w:rFonts w:ascii="Arial" w:hAnsi="Arial"/>
          <w:i/>
          <w:sz w:val="22"/>
          <w:szCs w:val="22"/>
          <w:lang w:val="es-ES"/>
        </w:rPr>
        <w:t>QRy´s are S”</w:t>
      </w:r>
      <w:r>
        <w:rPr>
          <w:rFonts w:ascii="Arial" w:hAnsi="Arial"/>
          <w:sz w:val="22"/>
          <w:szCs w:val="22"/>
          <w:lang w:val="es-ES"/>
        </w:rPr>
        <w:t xml:space="preserve"> como muestra la </w:t>
      </w:r>
      <w:r>
        <w:rPr>
          <w:rFonts w:ascii="Arial" w:hAnsi="Arial"/>
          <w:sz w:val="22"/>
          <w:szCs w:val="22"/>
          <w:lang w:val="es-ES"/>
        </w:rPr>
        <w:fldChar w:fldCharType="begin"/>
      </w:r>
      <w:r>
        <w:instrText> REF _Ref70146897 \h </w:instrText>
      </w:r>
      <w:r>
        <w:fldChar w:fldCharType="separate"/>
      </w:r>
      <w:r>
        <w:t xml:space="preserve">Ecuación </w:t>
      </w:r>
      <w:r>
        <w:fldChar w:fldCharType="end"/>
      </w:r>
      <w:r>
        <w:rPr>
          <w:rFonts w:ascii="Arial" w:hAnsi="Arial"/>
          <w:sz w:val="22"/>
          <w:szCs w:val="22"/>
          <w:lang w:val="es-ES"/>
        </w:rPr>
        <w:t>.</w:t>
      </w:r>
    </w:p>
    <w:tbl>
      <w:tblPr>
        <w:tblStyle w:val="Tablaconcuadrcula"/>
        <w:tblW w:w="5000" w:type="pct"/>
        <w:jc w:val="left"/>
        <w:tblInd w:w="0" w:type="dxa"/>
        <w:tblCellMar>
          <w:top w:w="0" w:type="dxa"/>
          <w:left w:w="123" w:type="dxa"/>
          <w:bottom w:w="0" w:type="dxa"/>
          <w:right w:w="108" w:type="dxa"/>
        </w:tblCellMar>
        <w:tblLook w:val="04a0" w:noVBand="1" w:noHBand="0" w:lastColumn="0" w:firstColumn="1" w:lastRow="0" w:firstRow="1"/>
      </w:tblPr>
      <w:tblGrid>
        <w:gridCol w:w="6595"/>
        <w:gridCol w:w="2383"/>
      </w:tblGrid>
      <w:tr>
        <w:trPr>
          <w:trHeight w:val="845" w:hRule="atLeast"/>
        </w:trPr>
        <w:tc>
          <w:tcPr>
            <w:tcW w:w="6595" w:type="dxa"/>
            <w:tcBorders>
              <w:top w:val="nil"/>
              <w:left w:val="nil"/>
              <w:bottom w:val="nil"/>
              <w:right w:val="nil"/>
              <w:insideH w:val="nil"/>
              <w:insideV w:val="nil"/>
            </w:tcBorders>
            <w:shd w:color="auto" w:fill="auto" w:val="clear"/>
            <w:vAlign w:val="center"/>
          </w:tcPr>
          <w:p>
            <w:pPr>
              <w:pStyle w:val="Caption1"/>
              <w:spacing w:before="0" w:after="60"/>
              <w:ind w:left="0" w:hanging="0"/>
              <w:jc w:val="left"/>
              <w:rPr>
                <w:sz w:val="24"/>
                <w:szCs w:val="24"/>
                <w:lang w:eastAsia="en-US"/>
              </w:rPr>
            </w:pPr>
            <w:r>
              <w:rPr>
                <w:sz w:val="24"/>
                <w:szCs w:val="24"/>
                <w:lang w:eastAsia="en-US"/>
              </w:rPr>
            </w:r>
          </w:p>
        </w:tc>
        <w:tc>
          <w:tcPr>
            <w:tcW w:w="2383" w:type="dxa"/>
            <w:tcBorders>
              <w:top w:val="nil"/>
              <w:left w:val="nil"/>
              <w:bottom w:val="nil"/>
              <w:right w:val="nil"/>
              <w:insideH w:val="nil"/>
              <w:insideV w:val="nil"/>
            </w:tcBorders>
            <w:shd w:color="auto" w:fill="auto" w:val="clear"/>
            <w:vAlign w:val="center"/>
          </w:tcPr>
          <w:p>
            <w:pPr>
              <w:pStyle w:val="Normal"/>
              <w:spacing w:before="80" w:after="60"/>
              <w:jc w:val="right"/>
              <w:rPr/>
            </w:pPr>
            <w:bookmarkStart w:id="1422" w:name="_Ref70146895"/>
            <w:r>
              <w:rPr/>
              <w:t xml:space="preserve">Ecuación </w:t>
            </w:r>
            <w:bookmarkEnd w:id="1422"/>
            <w:r>
              <w:rPr/>
              <w:fldChar w:fldCharType="begin"/>
            </w:r>
            <w:r>
              <w:instrText> SEQ Ecuación \* ARABIC </w:instrText>
            </w:r>
            <w:r>
              <w:fldChar w:fldCharType="separate"/>
            </w:r>
            <w:r>
              <w:t>40</w:t>
            </w:r>
            <w:r>
              <w:fldChar w:fldCharType="end"/>
            </w:r>
          </w:p>
        </w:tc>
      </w:tr>
      <w:tr>
        <w:trPr>
          <w:trHeight w:val="984" w:hRule="atLeast"/>
        </w:trPr>
        <w:tc>
          <w:tcPr>
            <w:tcW w:w="6595" w:type="dxa"/>
            <w:tcBorders>
              <w:top w:val="nil"/>
              <w:left w:val="nil"/>
              <w:bottom w:val="nil"/>
              <w:right w:val="nil"/>
              <w:insideH w:val="nil"/>
              <w:insideV w:val="nil"/>
            </w:tcBorders>
            <w:shd w:color="auto" w:fill="auto" w:val="clear"/>
            <w:vAlign w:val="center"/>
          </w:tcPr>
          <w:p>
            <w:pPr>
              <w:pStyle w:val="Caption1"/>
              <w:spacing w:before="0" w:after="60"/>
              <w:ind w:left="0" w:hanging="0"/>
              <w:jc w:val="left"/>
              <w:rPr>
                <w:sz w:val="24"/>
                <w:szCs w:val="24"/>
                <w:lang w:val="en-US" w:eastAsia="en-US"/>
              </w:rPr>
            </w:pPr>
            <w:r>
              <w:rPr>
                <w:sz w:val="24"/>
                <w:szCs w:val="24"/>
                <w:lang w:val="en-US" w:eastAsia="en-US"/>
              </w:rPr>
              <w:t xml:space="preserve"> </w:t>
            </w:r>
          </w:p>
        </w:tc>
        <w:tc>
          <w:tcPr>
            <w:tcW w:w="2383" w:type="dxa"/>
            <w:tcBorders>
              <w:top w:val="nil"/>
              <w:left w:val="nil"/>
              <w:bottom w:val="nil"/>
              <w:right w:val="nil"/>
              <w:insideH w:val="nil"/>
              <w:insideV w:val="nil"/>
            </w:tcBorders>
            <w:shd w:color="auto" w:fill="auto" w:val="clear"/>
            <w:vAlign w:val="center"/>
          </w:tcPr>
          <w:p>
            <w:pPr>
              <w:pStyle w:val="Normal"/>
              <w:spacing w:before="80" w:after="60"/>
              <w:jc w:val="right"/>
              <w:rPr/>
            </w:pPr>
            <w:bookmarkStart w:id="1423" w:name="_Ref70146897"/>
            <w:r>
              <w:rPr/>
              <w:t xml:space="preserve">Ecuación </w:t>
            </w:r>
            <w:bookmarkEnd w:id="1423"/>
            <w:r>
              <w:rPr/>
              <w:fldChar w:fldCharType="begin"/>
            </w:r>
            <w:r>
              <w:instrText> SEQ Ecuación \* ARABIC </w:instrText>
            </w:r>
            <w:r>
              <w:fldChar w:fldCharType="separate"/>
            </w:r>
            <w:r>
              <w:t>41</w:t>
            </w:r>
            <w:r>
              <w:fldChar w:fldCharType="end"/>
            </w:r>
          </w:p>
        </w:tc>
      </w:tr>
    </w:tbl>
    <w:p>
      <w:pPr>
        <w:pStyle w:val="Papertext1"/>
        <w:widowControl w:val="false"/>
        <w:rPr>
          <w:lang w:val="es-ES"/>
        </w:rPr>
      </w:pPr>
      <w:r>
        <w:rPr>
          <w:lang w:val="es-ES"/>
        </w:rPr>
      </w:r>
    </w:p>
    <w:p>
      <w:pPr>
        <w:pStyle w:val="Papertext1"/>
        <w:widowControl w:val="false"/>
        <w:rPr>
          <w:lang w:val="es-ES"/>
        </w:rPr>
      </w:pPr>
      <w:r>
        <w:rPr>
          <w:lang w:val="es-ES"/>
        </w:rPr>
      </w:r>
    </w:p>
    <w:p>
      <w:pPr>
        <w:pStyle w:val="Heading3"/>
        <w:numPr>
          <w:ilvl w:val="2"/>
          <w:numId w:val="80"/>
        </w:numPr>
        <w:rPr/>
      </w:pPr>
      <w:r>
        <w:rPr/>
        <w:t>Extensiones para el cálculo del grado de verdad Te</w:t>
      </w:r>
      <w:r>
        <w:rPr>
          <w:vertAlign w:val="subscript"/>
        </w:rPr>
        <w:t>1a</w:t>
      </w:r>
    </w:p>
    <w:p>
      <w:pPr>
        <w:pStyle w:val="Normal"/>
        <w:rPr/>
      </w:pPr>
      <w:r>
        <w:rPr/>
        <w:t xml:space="preserve">El indicador </w:t>
      </w:r>
      <w:r>
        <w:rPr>
          <w:i/>
        </w:rPr>
        <w:t>Te</w:t>
      </w:r>
      <w:r>
        <w:rPr>
          <w:i/>
          <w:vertAlign w:val="subscript"/>
        </w:rPr>
        <w:t>1a</w:t>
      </w:r>
      <w:r>
        <w:rPr>
          <w:vertAlign w:val="subscript"/>
        </w:rPr>
        <w:t xml:space="preserve"> </w:t>
      </w:r>
      <w:r>
        <w:rPr/>
        <w:t xml:space="preserve">es también una medida de la certeza del resumen, complementa al indicador </w:t>
      </w:r>
      <w:r>
        <w:rPr>
          <w:i/>
        </w:rPr>
        <w:t>T</w:t>
      </w:r>
      <w:r>
        <w:rPr>
          <w:i/>
          <w:vertAlign w:val="subscript"/>
        </w:rPr>
        <w:t>1</w:t>
      </w:r>
      <w:r>
        <w:rPr>
          <w:i/>
        </w:rPr>
        <w:t>,</w:t>
      </w:r>
      <w:r>
        <w:rPr>
          <w:i/>
          <w:vertAlign w:val="subscript"/>
        </w:rPr>
        <w:t xml:space="preserve"> </w:t>
      </w:r>
      <w:r>
        <w:rPr/>
        <w:t xml:space="preserve">no lo reemplaza. Tanto el </w:t>
      </w:r>
      <w:r>
        <w:rPr>
          <w:i/>
        </w:rPr>
        <w:t>T</w:t>
      </w:r>
      <w:r>
        <w:rPr>
          <w:i/>
          <w:vertAlign w:val="subscript"/>
        </w:rPr>
        <w:t>1</w:t>
      </w:r>
      <w:r>
        <w:rPr>
          <w:i/>
        </w:rPr>
        <w:t xml:space="preserve"> </w:t>
      </w:r>
      <w:r>
        <w:rPr/>
        <w:t>como el</w:t>
      </w:r>
      <w:r>
        <w:rPr>
          <w:i/>
        </w:rPr>
        <w:t xml:space="preserve"> Te</w:t>
      </w:r>
      <w:r>
        <w:rPr>
          <w:i/>
          <w:vertAlign w:val="subscript"/>
        </w:rPr>
        <w:t>1a</w:t>
      </w:r>
      <w:r>
        <w:rPr/>
        <w:t xml:space="preserve"> consideran el cuantificador durante el cálculo. La </w:t>
      </w:r>
      <w:r>
        <w:rPr/>
        <w:fldChar w:fldCharType="begin"/>
      </w:r>
      <w:r>
        <w:instrText> REF _Ref48834547 \h </w:instrText>
      </w:r>
      <w:r>
        <w:fldChar w:fldCharType="separate"/>
      </w:r>
      <w:r>
        <w:t xml:space="preserve">Ecuación </w:t>
      </w:r>
      <w:r>
        <w:fldChar w:fldCharType="end"/>
      </w:r>
      <w:r>
        <w:rPr/>
        <w:t xml:space="preserve"> muestra cómo el indicador </w:t>
      </w:r>
      <w:r>
        <w:rPr>
          <w:i/>
        </w:rPr>
        <w:t>Te</w:t>
      </w:r>
      <w:r>
        <w:rPr>
          <w:i/>
          <w:vertAlign w:val="subscript"/>
        </w:rPr>
        <w:t>1a</w:t>
      </w:r>
      <w:r>
        <w:rPr/>
        <w:t xml:space="preserve"> debe ser calculado.</w:t>
      </w:r>
    </w:p>
    <w:p>
      <w:pPr>
        <w:pStyle w:val="Normal"/>
        <w:rPr/>
      </w:pPr>
      <w:r>
        <w:rPr/>
        <w:t xml:space="preserve">La principal diferencia entre el </w:t>
      </w:r>
      <w:r>
        <w:rPr>
          <w:i/>
        </w:rPr>
        <w:t>T</w:t>
      </w:r>
      <w:r>
        <w:rPr>
          <w:i/>
          <w:vertAlign w:val="subscript"/>
        </w:rPr>
        <w:t xml:space="preserve">1 </w:t>
      </w:r>
      <w:r>
        <w:rPr/>
        <w:t>y el</w:t>
      </w:r>
      <w:r>
        <w:rPr>
          <w:i/>
        </w:rPr>
        <w:t xml:space="preserve"> Te</w:t>
      </w:r>
      <w:r>
        <w:rPr>
          <w:i/>
          <w:vertAlign w:val="subscript"/>
        </w:rPr>
        <w:t>1a</w:t>
      </w:r>
      <w:r>
        <w:rPr/>
        <w:t xml:space="preserve"> radica en que, el </w:t>
      </w:r>
      <w:r>
        <w:rPr>
          <w:i/>
        </w:rPr>
        <w:t>T</w:t>
      </w:r>
      <w:r>
        <w:rPr>
          <w:i/>
          <w:vertAlign w:val="subscript"/>
        </w:rPr>
        <w:t>1</w:t>
      </w:r>
      <w:r>
        <w:rPr/>
        <w:t xml:space="preserve"> considera en el numerador a todos los objetos con una pertenencia al resumen mayor que cero; mientras que el </w:t>
      </w:r>
      <w:r>
        <w:rPr>
          <w:i/>
        </w:rPr>
        <w:t>Te</w:t>
      </w:r>
      <w:r>
        <w:rPr>
          <w:i/>
          <w:vertAlign w:val="subscript"/>
        </w:rPr>
        <w:t>1a</w:t>
      </w:r>
      <w:r>
        <w:rPr/>
        <w:t xml:space="preserve"> solo considera en el cálculo del numerado, a aquellos objetos con una pertenencia al resumen mayor que el </w:t>
      </w:r>
      <w:r>
        <w:rPr>
          <w:rFonts w:eastAsia="Symbol" w:cs="Symbol" w:ascii="Symbol" w:hAnsi="Symbol"/>
          <w:i/>
          <w:iCs/>
        </w:rPr>
        <w:t></w:t>
      </w:r>
      <w:r>
        <w:rPr>
          <w:i/>
          <w:iCs/>
        </w:rPr>
        <w:t>-corte</w:t>
      </w:r>
      <w:r>
        <w:rPr/>
        <w:t xml:space="preserve"> establecido. Además, para el caso de los resúmenes con filtros, el </w:t>
      </w:r>
      <w:r>
        <w:rPr>
          <w:i/>
        </w:rPr>
        <w:t>T</w:t>
      </w:r>
      <w:r>
        <w:rPr>
          <w:i/>
          <w:vertAlign w:val="subscript"/>
        </w:rPr>
        <w:t xml:space="preserve">1 </w:t>
      </w:r>
      <w:r>
        <w:rPr/>
        <w:t>ubica en el denominador a la cardinalidad de la base de datos, mientras que el</w:t>
      </w:r>
      <w:r>
        <w:rPr>
          <w:i/>
        </w:rPr>
        <w:t xml:space="preserve"> Te</w:t>
      </w:r>
      <w:r>
        <w:rPr>
          <w:i/>
          <w:vertAlign w:val="subscript"/>
        </w:rPr>
        <w:t>1a</w:t>
      </w:r>
      <w:r>
        <w:rPr/>
        <w:t xml:space="preserve"> contabiliza en el denominador solo aquellos objetos con una pertenencia mayor que cero. De esta forma se persigue proponer un indicador más centrado en la evaluación de la certeza del resumen, que sea capaz de discriminar mejor los resúmenes y objetos con mayor grado de certeza de aquellos que no lo tengan.</w:t>
      </w:r>
    </w:p>
    <w:tbl>
      <w:tblPr>
        <w:tblStyle w:val="Tablaconcuadrcula"/>
        <w:tblW w:w="5000" w:type="pct"/>
        <w:jc w:val="left"/>
        <w:tblInd w:w="0" w:type="dxa"/>
        <w:tblCellMar>
          <w:top w:w="0" w:type="dxa"/>
          <w:left w:w="123" w:type="dxa"/>
          <w:bottom w:w="0" w:type="dxa"/>
          <w:right w:w="108" w:type="dxa"/>
        </w:tblCellMar>
        <w:tblLook w:val="04a0" w:noVBand="1" w:noHBand="0" w:lastColumn="0" w:firstColumn="1" w:lastRow="0" w:firstRow="1"/>
      </w:tblPr>
      <w:tblGrid>
        <w:gridCol w:w="7534"/>
        <w:gridCol w:w="1444"/>
      </w:tblGrid>
      <w:tr>
        <w:trPr>
          <w:trHeight w:val="1280" w:hRule="atLeast"/>
        </w:trPr>
        <w:tc>
          <w:tcPr>
            <w:tcW w:w="7534" w:type="dxa"/>
            <w:tcBorders>
              <w:top w:val="nil"/>
              <w:left w:val="nil"/>
              <w:bottom w:val="nil"/>
              <w:right w:val="nil"/>
              <w:insideH w:val="nil"/>
              <w:insideV w:val="nil"/>
            </w:tcBorders>
            <w:shd w:color="auto" w:fill="auto" w:val="clear"/>
            <w:vAlign w:val="center"/>
          </w:tcPr>
          <w:p>
            <w:pPr>
              <w:pStyle w:val="Normal"/>
              <w:spacing w:before="80" w:after="60"/>
              <w:ind w:left="950" w:hanging="0"/>
              <w:rPr>
                <w:lang w:eastAsia="en-US"/>
              </w:rPr>
            </w:pPr>
            <w:r>
              <w:rPr>
                <w:lang w:eastAsia="en-US"/>
              </w:rPr>
            </w:r>
          </w:p>
        </w:tc>
        <w:tc>
          <w:tcPr>
            <w:tcW w:w="1444" w:type="dxa"/>
            <w:tcBorders>
              <w:top w:val="nil"/>
              <w:left w:val="nil"/>
              <w:bottom w:val="nil"/>
              <w:right w:val="nil"/>
              <w:insideH w:val="nil"/>
              <w:insideV w:val="nil"/>
            </w:tcBorders>
            <w:shd w:color="auto" w:fill="auto" w:val="clear"/>
            <w:vAlign w:val="center"/>
          </w:tcPr>
          <w:p>
            <w:pPr>
              <w:pStyle w:val="Normal"/>
              <w:spacing w:before="80" w:after="60"/>
              <w:jc w:val="right"/>
              <w:rPr/>
            </w:pPr>
            <w:bookmarkStart w:id="1424" w:name="_Ref48834547"/>
            <w:r>
              <w:rPr/>
              <w:t xml:space="preserve">Ecuación </w:t>
            </w:r>
            <w:bookmarkEnd w:id="1424"/>
            <w:r>
              <w:rPr/>
              <w:fldChar w:fldCharType="begin"/>
            </w:r>
            <w:r>
              <w:instrText> SEQ Ecuación \* ARABIC </w:instrText>
            </w:r>
            <w:r>
              <w:fldChar w:fldCharType="separate"/>
            </w:r>
            <w:r>
              <w:t>42</w:t>
            </w:r>
            <w:r>
              <w:fldChar w:fldCharType="end"/>
            </w:r>
          </w:p>
        </w:tc>
      </w:tr>
    </w:tbl>
    <w:p>
      <w:pPr>
        <w:pStyle w:val="Papertext1"/>
        <w:widowControl w:val="false"/>
        <w:spacing w:lineRule="auto" w:line="312"/>
        <w:ind w:hanging="0"/>
        <w:rPr/>
      </w:pPr>
      <w:r>
        <w:rPr/>
      </w:r>
      <m:oMath xmlns:m="http://schemas.openxmlformats.org/officeDocument/2006/math">
        <m:sSub>
          <m:e>
            <m:r>
              <w:rPr>
                <w:rFonts w:ascii="Cambria Math" w:hAnsi="Cambria Math"/>
              </w:rPr>
              <m:t xml:space="preserve">μ</m:t>
            </m:r>
          </m:e>
          <m:sub>
            <m:r>
              <w:rPr>
                <w:rFonts w:ascii="Cambria Math" w:hAnsi="Cambria Math"/>
              </w:rPr>
              <m:t xml:space="preserve">Q</m:t>
            </m:r>
          </m:sub>
        </m:sSub>
      </m:oMath>
      <w:r>
        <w:rPr>
          <w:rFonts w:ascii="Arial" w:hAnsi="Arial"/>
          <w:sz w:val="22"/>
          <w:szCs w:val="22"/>
          <w:lang w:val="es-ES"/>
        </w:rPr>
        <w:t xml:space="preserve">es el conjunto borroso que representa al cuantificador del resumen. Forma parte de la variable lingüística de los cuantificadores definida en el capítulo anterior, ver </w:t>
      </w:r>
      <w:r>
        <w:rPr>
          <w:rFonts w:ascii="Arial" w:hAnsi="Arial"/>
          <w:sz w:val="22"/>
          <w:szCs w:val="22"/>
          <w:lang w:val="es-ES"/>
        </w:rPr>
        <w:fldChar w:fldCharType="begin"/>
      </w:r>
      <w:r>
        <w:instrText> REF _Ref68944344 \h </w:instrText>
      </w:r>
      <w:r>
        <w:fldChar w:fldCharType="separate"/>
      </w:r>
      <w:r>
        <w:t xml:space="preserve">Ecuación </w:t>
      </w:r>
      <w:r>
        <w:fldChar w:fldCharType="end"/>
      </w:r>
      <w:r>
        <w:rPr>
          <w:rFonts w:ascii="Arial" w:hAnsi="Arial"/>
          <w:sz w:val="22"/>
          <w:szCs w:val="22"/>
          <w:lang w:val="es-ES"/>
        </w:rPr>
        <w:t>.</w:t>
      </w:r>
    </w:p>
    <w:p>
      <w:pPr>
        <w:pStyle w:val="Papertext1"/>
        <w:widowControl w:val="false"/>
        <w:spacing w:lineRule="auto" w:line="312"/>
        <w:ind w:hanging="0"/>
        <w:rPr/>
      </w:pPr>
      <w:r>
        <w:rPr>
          <w:rFonts w:ascii="Arial" w:hAnsi="Arial"/>
          <w:sz w:val="22"/>
          <w:szCs w:val="22"/>
          <w:lang w:val="es-ES"/>
        </w:rPr>
        <w:t xml:space="preserve">Por otra parte, se propone la extensión </w:t>
      </w:r>
      <w:r>
        <w:rPr>
          <w:rFonts w:ascii="Arial" w:hAnsi="Arial"/>
          <w:i/>
          <w:sz w:val="22"/>
          <w:szCs w:val="22"/>
          <w:lang w:val="es-ES"/>
        </w:rPr>
        <w:t>Te</w:t>
      </w:r>
      <w:r>
        <w:rPr>
          <w:rFonts w:ascii="Arial" w:hAnsi="Arial"/>
          <w:i/>
          <w:sz w:val="22"/>
          <w:szCs w:val="22"/>
          <w:vertAlign w:val="subscript"/>
          <w:lang w:val="es-ES"/>
        </w:rPr>
        <w:t>1b</w:t>
      </w:r>
      <w:r>
        <w:rPr>
          <w:rFonts w:ascii="Arial" w:hAnsi="Arial"/>
          <w:sz w:val="22"/>
          <w:szCs w:val="22"/>
          <w:lang w:val="es-ES"/>
        </w:rPr>
        <w:t xml:space="preserve"> complementando los valores de </w:t>
      </w:r>
      <w:r>
        <w:rPr>
          <w:rFonts w:ascii="Arial" w:hAnsi="Arial"/>
          <w:i/>
          <w:sz w:val="22"/>
          <w:szCs w:val="22"/>
          <w:lang w:val="es-ES"/>
        </w:rPr>
        <w:t>T</w:t>
      </w:r>
      <w:r>
        <w:rPr>
          <w:rFonts w:ascii="Arial" w:hAnsi="Arial"/>
          <w:sz w:val="22"/>
          <w:szCs w:val="22"/>
          <w:vertAlign w:val="subscript"/>
          <w:lang w:val="es-ES"/>
        </w:rPr>
        <w:t>1</w:t>
      </w:r>
      <w:r>
        <w:rPr>
          <w:rFonts w:ascii="Arial" w:hAnsi="Arial"/>
          <w:sz w:val="22"/>
          <w:szCs w:val="22"/>
          <w:lang w:val="es-ES"/>
        </w:rPr>
        <w:t xml:space="preserve"> y </w:t>
      </w:r>
      <w:r>
        <w:rPr>
          <w:rFonts w:ascii="Arial" w:hAnsi="Arial"/>
          <w:i/>
          <w:sz w:val="22"/>
          <w:szCs w:val="22"/>
          <w:lang w:val="es-ES"/>
        </w:rPr>
        <w:t>Te</w:t>
      </w:r>
      <w:r>
        <w:rPr>
          <w:rFonts w:ascii="Arial" w:hAnsi="Arial"/>
          <w:i/>
          <w:sz w:val="22"/>
          <w:szCs w:val="22"/>
          <w:vertAlign w:val="subscript"/>
          <w:lang w:val="es-ES"/>
        </w:rPr>
        <w:t>1a</w:t>
      </w:r>
      <w:r>
        <w:rPr>
          <w:rFonts w:ascii="Arial" w:hAnsi="Arial"/>
          <w:sz w:val="22"/>
          <w:szCs w:val="22"/>
          <w:lang w:val="es-ES"/>
        </w:rPr>
        <w:t xml:space="preserve">. Se calcula a partir de la media de los valores de certeza de objetos cuya pertenencia al resumen supere el </w:t>
      </w:r>
      <w:r>
        <w:rPr>
          <w:rFonts w:eastAsia="Symbol" w:cs="Symbol" w:ascii="Symbol" w:hAnsi="Symbol"/>
          <w:i/>
          <w:iCs/>
          <w:sz w:val="22"/>
          <w:szCs w:val="22"/>
        </w:rPr>
        <w:t></w:t>
      </w:r>
      <w:r>
        <w:rPr>
          <w:rFonts w:ascii="Arial" w:hAnsi="Arial"/>
          <w:i/>
          <w:iCs/>
          <w:sz w:val="22"/>
          <w:szCs w:val="22"/>
          <w:lang w:val="es-ES"/>
        </w:rPr>
        <w:t>-corte</w:t>
      </w:r>
      <w:r>
        <w:rPr>
          <w:rFonts w:ascii="Arial" w:hAnsi="Arial"/>
          <w:sz w:val="22"/>
          <w:szCs w:val="22"/>
          <w:lang w:val="es-ES"/>
        </w:rPr>
        <w:t xml:space="preserve">, ver </w:t>
      </w:r>
      <w:r>
        <w:rPr>
          <w:rFonts w:ascii="Arial" w:hAnsi="Arial"/>
          <w:sz w:val="22"/>
          <w:szCs w:val="22"/>
          <w:lang w:val="es-ES"/>
        </w:rPr>
        <w:fldChar w:fldCharType="begin"/>
      </w:r>
      <w:r>
        <w:instrText> REF _Ref70254993 \h </w:instrText>
      </w:r>
      <w:r>
        <w:fldChar w:fldCharType="separate"/>
      </w:r>
      <w:r>
        <w:t xml:space="preserve">Ecuación </w:t>
      </w:r>
      <w:r>
        <w:fldChar w:fldCharType="end"/>
      </w:r>
      <w:r>
        <w:rPr>
          <w:rFonts w:ascii="Arial" w:hAnsi="Arial"/>
          <w:sz w:val="22"/>
          <w:szCs w:val="22"/>
          <w:lang w:val="es-ES"/>
        </w:rPr>
        <w:t xml:space="preserve">. Este indicador tiene como principal diferencia con el </w:t>
      </w:r>
      <w:r>
        <w:rPr>
          <w:rFonts w:ascii="Arial" w:hAnsi="Arial"/>
          <w:i/>
          <w:sz w:val="22"/>
          <w:szCs w:val="22"/>
          <w:lang w:val="es-ES"/>
        </w:rPr>
        <w:t>T</w:t>
      </w:r>
      <w:r>
        <w:rPr>
          <w:rFonts w:ascii="Arial" w:hAnsi="Arial"/>
          <w:sz w:val="22"/>
          <w:szCs w:val="22"/>
          <w:vertAlign w:val="subscript"/>
          <w:lang w:val="es-ES"/>
        </w:rPr>
        <w:t>1</w:t>
      </w:r>
      <w:r>
        <w:rPr>
          <w:rFonts w:ascii="Arial" w:hAnsi="Arial"/>
          <w:sz w:val="22"/>
          <w:szCs w:val="22"/>
          <w:lang w:val="es-ES"/>
        </w:rPr>
        <w:t xml:space="preserve"> y </w:t>
      </w:r>
      <w:r>
        <w:rPr>
          <w:rFonts w:ascii="Arial" w:hAnsi="Arial"/>
          <w:i/>
          <w:sz w:val="22"/>
          <w:szCs w:val="22"/>
          <w:lang w:val="es-ES"/>
        </w:rPr>
        <w:t>Te</w:t>
      </w:r>
      <w:r>
        <w:rPr>
          <w:rFonts w:ascii="Arial" w:hAnsi="Arial"/>
          <w:i/>
          <w:sz w:val="22"/>
          <w:szCs w:val="22"/>
          <w:vertAlign w:val="subscript"/>
          <w:lang w:val="es-ES"/>
        </w:rPr>
        <w:t>1a</w:t>
      </w:r>
      <w:r>
        <w:rPr>
          <w:rFonts w:ascii="Arial" w:hAnsi="Arial"/>
          <w:sz w:val="22"/>
          <w:szCs w:val="22"/>
          <w:lang w:val="es-ES"/>
        </w:rPr>
        <w:t>, que solo incluye la evaluación de pertenencia de filtros y sumarizadores sin considerar al cuantificador. De esta forma se trata de separar mejor, a resúmenes con alta frecuencia de aparición conjunta de filtros y sumarizadores, de aquellos que representan a muchos objetos pero con baja evaluación de pertenencia a sus respectivos filtros y sumarizadores.</w:t>
      </w:r>
    </w:p>
    <w:tbl>
      <w:tblPr>
        <w:tblStyle w:val="Tablaconcuadrcula"/>
        <w:tblW w:w="5000" w:type="pct"/>
        <w:jc w:val="left"/>
        <w:tblInd w:w="0" w:type="dxa"/>
        <w:tblCellMar>
          <w:top w:w="0" w:type="dxa"/>
          <w:left w:w="123" w:type="dxa"/>
          <w:bottom w:w="0" w:type="dxa"/>
          <w:right w:w="108" w:type="dxa"/>
        </w:tblCellMar>
        <w:tblLook w:val="04a0" w:noVBand="1" w:noHBand="0" w:lastColumn="0" w:firstColumn="1" w:lastRow="0" w:firstRow="1"/>
      </w:tblPr>
      <w:tblGrid>
        <w:gridCol w:w="7395"/>
        <w:gridCol w:w="1583"/>
      </w:tblGrid>
      <w:tr>
        <w:trPr>
          <w:trHeight w:val="1280" w:hRule="atLeast"/>
        </w:trPr>
        <w:tc>
          <w:tcPr>
            <w:tcW w:w="7395" w:type="dxa"/>
            <w:tcBorders>
              <w:top w:val="nil"/>
              <w:left w:val="nil"/>
              <w:bottom w:val="nil"/>
              <w:right w:val="nil"/>
              <w:insideH w:val="nil"/>
              <w:insideV w:val="nil"/>
            </w:tcBorders>
            <w:shd w:color="auto" w:fill="auto" w:val="clear"/>
            <w:vAlign w:val="center"/>
          </w:tcPr>
          <w:p>
            <w:pPr>
              <w:pStyle w:val="Caption1"/>
              <w:spacing w:before="0" w:after="60"/>
              <w:ind w:left="0" w:hanging="0"/>
              <w:jc w:val="left"/>
              <w:rPr>
                <w:sz w:val="24"/>
                <w:szCs w:val="24"/>
              </w:rPr>
            </w:pPr>
            <w:r>
              <w:rPr>
                <w:sz w:val="24"/>
                <w:szCs w:val="24"/>
              </w:rPr>
            </w:r>
          </w:p>
        </w:tc>
        <w:tc>
          <w:tcPr>
            <w:tcW w:w="1583" w:type="dxa"/>
            <w:tcBorders>
              <w:top w:val="nil"/>
              <w:left w:val="nil"/>
              <w:bottom w:val="nil"/>
              <w:right w:val="nil"/>
              <w:insideH w:val="nil"/>
              <w:insideV w:val="nil"/>
            </w:tcBorders>
            <w:shd w:color="auto" w:fill="auto" w:val="clear"/>
            <w:vAlign w:val="center"/>
          </w:tcPr>
          <w:p>
            <w:pPr>
              <w:pStyle w:val="Normal"/>
              <w:spacing w:before="80" w:after="60"/>
              <w:jc w:val="right"/>
              <w:rPr/>
            </w:pPr>
            <w:bookmarkStart w:id="1425" w:name="_Ref70254993"/>
            <w:r>
              <w:rPr/>
              <w:t xml:space="preserve">Ecuación </w:t>
            </w:r>
            <w:bookmarkEnd w:id="1425"/>
            <w:r>
              <w:rPr/>
              <w:fldChar w:fldCharType="begin"/>
            </w:r>
            <w:r>
              <w:instrText> SEQ Ecuación \* ARABIC </w:instrText>
            </w:r>
            <w:r>
              <w:fldChar w:fldCharType="separate"/>
            </w:r>
            <w:r>
              <w:t>43</w:t>
            </w:r>
            <w:r>
              <w:fldChar w:fldCharType="end"/>
            </w:r>
          </w:p>
        </w:tc>
      </w:tr>
    </w:tbl>
    <w:p>
      <w:pPr>
        <w:pStyle w:val="Papertext1"/>
        <w:widowControl w:val="false"/>
        <w:spacing w:lineRule="auto" w:line="312"/>
        <w:ind w:hanging="0"/>
        <w:rPr>
          <w:rFonts w:ascii="Arial" w:hAnsi="Arial"/>
          <w:sz w:val="22"/>
          <w:szCs w:val="22"/>
          <w:lang w:val="es-ES"/>
        </w:rPr>
      </w:pPr>
      <w:r>
        <w:rPr>
          <w:rFonts w:ascii="Arial" w:hAnsi="Arial"/>
          <w:sz w:val="22"/>
          <w:szCs w:val="22"/>
          <w:lang w:val="es-ES"/>
        </w:rPr>
      </w:r>
    </w:p>
    <w:p>
      <w:pPr>
        <w:pStyle w:val="Heading3"/>
        <w:numPr>
          <w:ilvl w:val="2"/>
          <w:numId w:val="80"/>
        </w:numPr>
        <w:rPr/>
      </w:pPr>
      <w:r>
        <w:rPr/>
        <w:t>Extensiones al grado de imprecisión Te</w:t>
      </w:r>
      <w:r>
        <w:rPr>
          <w:vertAlign w:val="subscript"/>
        </w:rPr>
        <w:t>2</w:t>
      </w:r>
    </w:p>
    <w:p>
      <w:pPr>
        <w:pStyle w:val="Papertext1"/>
        <w:widowControl w:val="false"/>
        <w:spacing w:lineRule="auto" w:line="312"/>
        <w:ind w:hanging="0"/>
        <w:rPr>
          <w:rFonts w:ascii="Arial" w:hAnsi="Arial"/>
          <w:sz w:val="22"/>
          <w:szCs w:val="22"/>
          <w:lang w:val="es-ES"/>
        </w:rPr>
      </w:pPr>
      <w:r>
        <w:rPr>
          <w:rFonts w:ascii="Arial" w:hAnsi="Arial"/>
          <w:sz w:val="22"/>
          <w:szCs w:val="22"/>
          <w:lang w:val="en-US"/>
        </w:rPr>
        <w:t xml:space="preserve">Se proponen </w:t>
      </w:r>
      <w:r>
        <w:rPr>
          <w:rFonts w:ascii="Arial" w:hAnsi="Arial"/>
          <w:sz w:val="22"/>
          <w:szCs w:val="22"/>
          <w:lang w:val="es-ES"/>
        </w:rPr>
        <w:t xml:space="preserve">las extensiones </w:t>
      </w:r>
      <w:r>
        <w:rPr>
          <w:rFonts w:ascii="Arial" w:hAnsi="Arial"/>
          <w:i/>
          <w:sz w:val="22"/>
          <w:szCs w:val="22"/>
          <w:lang w:val="es-ES"/>
        </w:rPr>
        <w:t>Te</w:t>
      </w:r>
      <w:r>
        <w:rPr>
          <w:rFonts w:ascii="Arial" w:hAnsi="Arial"/>
          <w:i/>
          <w:sz w:val="22"/>
          <w:szCs w:val="22"/>
          <w:vertAlign w:val="subscript"/>
          <w:lang w:val="es-ES"/>
        </w:rPr>
        <w:t>2a</w:t>
      </w:r>
      <w:r>
        <w:rPr>
          <w:rFonts w:ascii="Arial" w:hAnsi="Arial"/>
          <w:sz w:val="22"/>
          <w:szCs w:val="22"/>
          <w:lang w:val="es-ES"/>
        </w:rPr>
        <w:t xml:space="preserve">, </w:t>
      </w:r>
      <w:r>
        <w:rPr>
          <w:rFonts w:ascii="Arial" w:hAnsi="Arial"/>
          <w:i/>
          <w:sz w:val="22"/>
          <w:szCs w:val="22"/>
          <w:lang w:val="es-ES"/>
        </w:rPr>
        <w:t>Te</w:t>
      </w:r>
      <w:r>
        <w:rPr>
          <w:rFonts w:ascii="Arial" w:hAnsi="Arial"/>
          <w:i/>
          <w:sz w:val="22"/>
          <w:szCs w:val="22"/>
          <w:vertAlign w:val="subscript"/>
          <w:lang w:val="es-ES"/>
        </w:rPr>
        <w:t>2b</w:t>
      </w:r>
      <w:r>
        <w:rPr>
          <w:rFonts w:ascii="Arial" w:hAnsi="Arial"/>
          <w:i/>
          <w:sz w:val="22"/>
          <w:szCs w:val="22"/>
          <w:lang w:val="es-ES"/>
        </w:rPr>
        <w:t>, Te</w:t>
      </w:r>
      <w:r>
        <w:rPr>
          <w:rFonts w:ascii="Arial" w:hAnsi="Arial"/>
          <w:i/>
          <w:sz w:val="22"/>
          <w:szCs w:val="22"/>
          <w:vertAlign w:val="subscript"/>
          <w:lang w:val="es-ES"/>
        </w:rPr>
        <w:t>2c</w:t>
      </w:r>
      <w:r>
        <w:rPr>
          <w:rFonts w:ascii="Arial" w:hAnsi="Arial"/>
          <w:i/>
          <w:sz w:val="22"/>
          <w:szCs w:val="22"/>
          <w:lang w:val="es-ES"/>
        </w:rPr>
        <w:t xml:space="preserve"> </w:t>
      </w:r>
      <w:r>
        <w:rPr>
          <w:rFonts w:ascii="Arial" w:hAnsi="Arial"/>
          <w:sz w:val="22"/>
          <w:szCs w:val="22"/>
          <w:lang w:val="es-ES"/>
        </w:rPr>
        <w:t xml:space="preserve">y </w:t>
      </w:r>
      <w:r>
        <w:rPr>
          <w:rFonts w:ascii="Arial" w:hAnsi="Arial"/>
          <w:i/>
          <w:sz w:val="22"/>
          <w:szCs w:val="22"/>
          <w:lang w:val="es-ES"/>
        </w:rPr>
        <w:t>Te</w:t>
      </w:r>
      <w:r>
        <w:rPr>
          <w:rFonts w:ascii="Arial" w:hAnsi="Arial"/>
          <w:i/>
          <w:sz w:val="22"/>
          <w:szCs w:val="22"/>
          <w:vertAlign w:val="subscript"/>
          <w:lang w:val="es-ES"/>
        </w:rPr>
        <w:t>2d</w:t>
      </w:r>
      <w:r>
        <w:rPr>
          <w:rFonts w:ascii="Arial" w:hAnsi="Arial"/>
          <w:sz w:val="22"/>
          <w:szCs w:val="22"/>
          <w:lang w:val="es-ES"/>
        </w:rPr>
        <w:t xml:space="preserve"> que complementan al </w:t>
      </w:r>
      <w:r>
        <w:rPr>
          <w:rFonts w:ascii="Arial" w:hAnsi="Arial"/>
          <w:i/>
          <w:sz w:val="22"/>
          <w:szCs w:val="22"/>
          <w:lang w:val="es-ES"/>
        </w:rPr>
        <w:t>T</w:t>
      </w:r>
      <w:r>
        <w:rPr>
          <w:rFonts w:ascii="Arial" w:hAnsi="Arial"/>
          <w:sz w:val="22"/>
          <w:szCs w:val="22"/>
          <w:vertAlign w:val="subscript"/>
          <w:lang w:val="es-ES"/>
        </w:rPr>
        <w:t>2</w:t>
      </w:r>
      <w:r>
        <w:rPr>
          <w:rFonts w:ascii="Arial" w:hAnsi="Arial"/>
          <w:sz w:val="22"/>
          <w:szCs w:val="22"/>
          <w:lang w:val="es-ES"/>
        </w:rPr>
        <w:t>,</w:t>
      </w:r>
      <w:r>
        <w:rPr>
          <w:rFonts w:ascii="Arial" w:hAnsi="Arial"/>
          <w:sz w:val="22"/>
          <w:szCs w:val="22"/>
          <w:vertAlign w:val="subscript"/>
          <w:lang w:val="es-ES"/>
        </w:rPr>
        <w:t xml:space="preserve"> </w:t>
      </w:r>
      <w:r>
        <w:rPr>
          <w:rFonts w:ascii="Arial" w:hAnsi="Arial"/>
          <w:sz w:val="22"/>
          <w:szCs w:val="22"/>
          <w:lang w:val="es-ES"/>
        </w:rPr>
        <w:t xml:space="preserve">no lo reemplazan. El principal aporte de estos indicadores es la incorporación de elementos de la teoría neutrosófica. A diferencia del </w:t>
      </w:r>
      <w:r>
        <w:rPr>
          <w:rFonts w:ascii="Arial" w:hAnsi="Arial"/>
          <w:i/>
          <w:sz w:val="22"/>
          <w:szCs w:val="22"/>
          <w:lang w:val="es-ES"/>
        </w:rPr>
        <w:t>T</w:t>
      </w:r>
      <w:r>
        <w:rPr>
          <w:rFonts w:ascii="Arial" w:hAnsi="Arial"/>
          <w:sz w:val="22"/>
          <w:szCs w:val="22"/>
          <w:vertAlign w:val="subscript"/>
          <w:lang w:val="es-ES"/>
        </w:rPr>
        <w:t>2</w:t>
      </w:r>
      <w:r>
        <w:rPr>
          <w:rFonts w:ascii="Arial" w:hAnsi="Arial"/>
          <w:i/>
          <w:sz w:val="22"/>
          <w:szCs w:val="22"/>
          <w:lang w:val="es-ES"/>
        </w:rPr>
        <w:t xml:space="preserve">, </w:t>
      </w:r>
      <w:r>
        <w:rPr>
          <w:rFonts w:ascii="Arial" w:hAnsi="Arial"/>
          <w:sz w:val="22"/>
          <w:szCs w:val="22"/>
          <w:lang w:val="es-ES"/>
        </w:rPr>
        <w:t>en el cálculo de estas extensiones se emplean los objetos de la base de datos.</w:t>
      </w:r>
    </w:p>
    <w:p>
      <w:pPr>
        <w:pStyle w:val="Papertext1"/>
        <w:widowControl w:val="false"/>
        <w:spacing w:lineRule="auto" w:line="312"/>
        <w:ind w:hanging="0"/>
        <w:rPr>
          <w:rFonts w:ascii="Arial" w:hAnsi="Arial"/>
          <w:sz w:val="22"/>
          <w:szCs w:val="22"/>
          <w:lang w:val="es-ES"/>
        </w:rPr>
      </w:pPr>
      <w:r>
        <w:rPr>
          <w:rFonts w:ascii="Arial" w:hAnsi="Arial"/>
          <w:sz w:val="22"/>
          <w:szCs w:val="22"/>
          <w:lang w:val="es-ES"/>
        </w:rPr>
        <w:t>Se proponen estas extensiones con el objetivo de calcular con mayor precisión las medidas de certidumbre, indeterminación y no pertenencia, considerando tanto un enfoque integrado de estas medidas como su influencia de forma independiente. De esta forma se facilita el cálculo de la calidad de los resúmenes, en escenarios con presencia de fenómenos de neutralidad e indeterminación en la toma de decisiones.</w:t>
      </w:r>
    </w:p>
    <w:p>
      <w:pPr>
        <w:pStyle w:val="Papertext1"/>
        <w:widowControl w:val="false"/>
        <w:spacing w:lineRule="auto" w:line="312"/>
        <w:ind w:hanging="0"/>
        <w:rPr/>
      </w:pPr>
      <w:r>
        <w:rPr>
          <w:rFonts w:ascii="Arial" w:hAnsi="Arial"/>
          <w:sz w:val="22"/>
          <w:szCs w:val="22"/>
          <w:lang w:val="es-ES"/>
        </w:rPr>
        <w:t xml:space="preserve">En el caso del </w:t>
      </w:r>
      <w:r>
        <w:rPr>
          <w:rFonts w:ascii="Arial" w:hAnsi="Arial"/>
          <w:i/>
          <w:sz w:val="22"/>
          <w:szCs w:val="22"/>
          <w:lang w:val="es-ES"/>
        </w:rPr>
        <w:t>Te</w:t>
      </w:r>
      <w:r>
        <w:rPr>
          <w:rFonts w:ascii="Arial" w:hAnsi="Arial"/>
          <w:i/>
          <w:sz w:val="22"/>
          <w:szCs w:val="22"/>
          <w:vertAlign w:val="subscript"/>
          <w:lang w:val="es-ES"/>
        </w:rPr>
        <w:t>2a</w:t>
      </w:r>
      <w:r>
        <w:rPr>
          <w:rFonts w:ascii="Arial" w:hAnsi="Arial"/>
          <w:sz w:val="22"/>
          <w:szCs w:val="22"/>
          <w:lang w:val="es-ES"/>
        </w:rPr>
        <w:t xml:space="preserve"> se calcula la incertidumbre considerando los grados de pertenencia, no pertenencia e indeterminación de cada objeto cuya pertenencia al resumen es mayor que el </w:t>
      </w:r>
      <w:r>
        <w:rPr>
          <w:rFonts w:eastAsia="Symbol" w:cs="Symbol" w:ascii="Symbol" w:hAnsi="Symbol"/>
          <w:i/>
          <w:iCs/>
          <w:sz w:val="22"/>
          <w:szCs w:val="22"/>
          <w:lang w:val="es-ES"/>
        </w:rPr>
        <w:t></w:t>
      </w:r>
      <w:r>
        <w:rPr>
          <w:rFonts w:ascii="Arial" w:hAnsi="Arial"/>
          <w:i/>
          <w:iCs/>
          <w:sz w:val="22"/>
          <w:szCs w:val="22"/>
          <w:lang w:val="es-ES"/>
        </w:rPr>
        <w:t>-corte</w:t>
      </w:r>
      <w:r>
        <w:rPr>
          <w:rFonts w:ascii="Arial" w:hAnsi="Arial"/>
          <w:sz w:val="22"/>
          <w:szCs w:val="22"/>
          <w:lang w:val="es-ES"/>
        </w:rPr>
        <w:t xml:space="preserve"> establecido, como se muestra en la </w:t>
      </w:r>
      <w:r>
        <w:rPr>
          <w:rFonts w:ascii="Arial" w:hAnsi="Arial"/>
          <w:sz w:val="22"/>
          <w:szCs w:val="22"/>
          <w:lang w:val="es-ES"/>
        </w:rPr>
        <w:fldChar w:fldCharType="begin"/>
      </w:r>
      <w:r>
        <w:instrText> REF _Ref49953057 \h </w:instrText>
      </w:r>
      <w:r>
        <w:fldChar w:fldCharType="separate"/>
      </w:r>
      <w:r>
        <w:t xml:space="preserve">Ecuación </w:t>
      </w:r>
      <w:r>
        <w:fldChar w:fldCharType="end"/>
      </w:r>
      <w:r>
        <w:rPr>
          <w:rFonts w:ascii="Arial" w:hAnsi="Arial"/>
          <w:sz w:val="22"/>
          <w:szCs w:val="22"/>
          <w:lang w:val="es-ES"/>
        </w:rPr>
        <w:t>.</w:t>
      </w:r>
    </w:p>
    <w:tbl>
      <w:tblPr>
        <w:tblStyle w:val="Tablaconcuadrcula"/>
        <w:tblW w:w="5000" w:type="pct"/>
        <w:jc w:val="left"/>
        <w:tblInd w:w="0" w:type="dxa"/>
        <w:tblCellMar>
          <w:top w:w="0" w:type="dxa"/>
          <w:left w:w="123" w:type="dxa"/>
          <w:bottom w:w="0" w:type="dxa"/>
          <w:right w:w="108" w:type="dxa"/>
        </w:tblCellMar>
        <w:tblLook w:val="04a0" w:noVBand="1" w:noHBand="0" w:lastColumn="0" w:firstColumn="1" w:lastRow="0" w:firstRow="1"/>
      </w:tblPr>
      <w:tblGrid>
        <w:gridCol w:w="7395"/>
        <w:gridCol w:w="1583"/>
      </w:tblGrid>
      <w:tr>
        <w:trPr>
          <w:trHeight w:val="1985" w:hRule="atLeast"/>
        </w:trPr>
        <w:tc>
          <w:tcPr>
            <w:tcW w:w="7395" w:type="dxa"/>
            <w:tcBorders>
              <w:top w:val="nil"/>
              <w:left w:val="nil"/>
              <w:bottom w:val="nil"/>
              <w:right w:val="nil"/>
              <w:insideH w:val="nil"/>
              <w:insideV w:val="nil"/>
            </w:tcBorders>
            <w:shd w:color="auto" w:fill="auto" w:val="clear"/>
            <w:vAlign w:val="center"/>
          </w:tcPr>
          <w:p>
            <w:pPr>
              <w:pStyle w:val="Caption1"/>
              <w:spacing w:before="0" w:after="60"/>
              <w:ind w:left="0" w:hanging="0"/>
              <w:jc w:val="left"/>
              <w:rPr>
                <w:sz w:val="24"/>
                <w:szCs w:val="24"/>
              </w:rPr>
            </w:pPr>
            <w:r>
              <w:rPr>
                <w:sz w:val="24"/>
                <w:szCs w:val="24"/>
              </w:rPr>
            </w:r>
          </w:p>
        </w:tc>
        <w:tc>
          <w:tcPr>
            <w:tcW w:w="1583" w:type="dxa"/>
            <w:tcBorders>
              <w:top w:val="nil"/>
              <w:left w:val="nil"/>
              <w:bottom w:val="nil"/>
              <w:right w:val="nil"/>
              <w:insideH w:val="nil"/>
              <w:insideV w:val="nil"/>
            </w:tcBorders>
            <w:shd w:color="auto" w:fill="auto" w:val="clear"/>
            <w:vAlign w:val="center"/>
          </w:tcPr>
          <w:p>
            <w:pPr>
              <w:pStyle w:val="Normal"/>
              <w:spacing w:before="80" w:after="60"/>
              <w:jc w:val="right"/>
              <w:rPr/>
            </w:pPr>
            <w:bookmarkStart w:id="1426" w:name="_Ref49953057"/>
            <w:r>
              <w:rPr/>
              <w:t xml:space="preserve">Ecuación </w:t>
            </w:r>
            <w:bookmarkEnd w:id="1426"/>
            <w:r>
              <w:rPr/>
              <w:fldChar w:fldCharType="begin"/>
            </w:r>
            <w:r>
              <w:instrText> SEQ Ecuación \* ARABIC </w:instrText>
            </w:r>
            <w:r>
              <w:fldChar w:fldCharType="separate"/>
            </w:r>
            <w:r>
              <w:t>44</w:t>
            </w:r>
            <w:r>
              <w:fldChar w:fldCharType="end"/>
            </w:r>
          </w:p>
        </w:tc>
      </w:tr>
    </w:tbl>
    <w:p>
      <w:pPr>
        <w:pStyle w:val="Papertext1"/>
        <w:widowControl w:val="false"/>
        <w:spacing w:lineRule="auto" w:line="312"/>
        <w:ind w:hanging="0"/>
        <w:rPr/>
      </w:pPr>
      <w:r>
        <w:rPr>
          <w:rFonts w:ascii="Arial" w:hAnsi="Arial"/>
          <w:sz w:val="22"/>
          <w:szCs w:val="22"/>
          <w:lang w:val="es-ES"/>
        </w:rPr>
        <w:t xml:space="preserve">El indicador </w:t>
      </w:r>
      <w:r>
        <w:rPr>
          <w:rFonts w:ascii="Arial" w:hAnsi="Arial"/>
          <w:i/>
          <w:sz w:val="22"/>
          <w:szCs w:val="22"/>
          <w:lang w:val="es-ES"/>
        </w:rPr>
        <w:t>Te</w:t>
      </w:r>
      <w:r>
        <w:rPr>
          <w:rFonts w:ascii="Arial" w:hAnsi="Arial"/>
          <w:i/>
          <w:sz w:val="22"/>
          <w:szCs w:val="22"/>
          <w:vertAlign w:val="subscript"/>
          <w:lang w:val="es-ES"/>
        </w:rPr>
        <w:t>2b</w:t>
      </w:r>
      <w:r>
        <w:rPr>
          <w:rFonts w:ascii="Arial" w:hAnsi="Arial"/>
          <w:sz w:val="22"/>
          <w:szCs w:val="22"/>
          <w:lang w:val="es-ES"/>
        </w:rPr>
        <w:t xml:space="preserve">, calcula la incertidumbre, pero solo considerando los grados de no pertenencia e indeterminación de los objetos cuya pertenencia al resumen es mayor que el </w:t>
      </w:r>
      <w:r>
        <w:rPr>
          <w:rFonts w:eastAsia="Symbol" w:cs="Symbol" w:ascii="Symbol" w:hAnsi="Symbol"/>
          <w:i/>
          <w:iCs/>
          <w:sz w:val="22"/>
          <w:szCs w:val="22"/>
          <w:lang w:val="es-ES"/>
        </w:rPr>
        <w:t></w:t>
      </w:r>
      <w:r>
        <w:rPr>
          <w:rFonts w:ascii="Arial" w:hAnsi="Arial"/>
          <w:i/>
          <w:iCs/>
          <w:sz w:val="22"/>
          <w:szCs w:val="22"/>
          <w:lang w:val="es-ES"/>
        </w:rPr>
        <w:t>-corte</w:t>
      </w:r>
      <w:r>
        <w:rPr>
          <w:rFonts w:ascii="Arial" w:hAnsi="Arial"/>
          <w:sz w:val="22"/>
          <w:szCs w:val="22"/>
          <w:lang w:val="es-ES"/>
        </w:rPr>
        <w:t xml:space="preserve"> establecido, </w:t>
      </w:r>
      <w:r>
        <w:rPr>
          <w:rFonts w:ascii="Arial" w:hAnsi="Arial"/>
          <w:sz w:val="22"/>
          <w:szCs w:val="22"/>
          <w:lang w:val="es-ES"/>
        </w:rPr>
        <w:fldChar w:fldCharType="begin"/>
      </w:r>
      <w:r>
        <w:instrText> REF _Ref49953875 \h </w:instrText>
      </w:r>
      <w:r>
        <w:fldChar w:fldCharType="separate"/>
      </w:r>
      <w:r>
        <w:t xml:space="preserve">Ecuación </w:t>
      </w:r>
      <w:r>
        <w:fldChar w:fldCharType="end"/>
      </w:r>
      <w:r>
        <w:rPr>
          <w:rFonts w:ascii="Arial" w:hAnsi="Arial"/>
          <w:sz w:val="24"/>
          <w:lang w:val="es-ES"/>
        </w:rPr>
        <w:t>.</w:t>
      </w:r>
    </w:p>
    <w:tbl>
      <w:tblPr>
        <w:tblStyle w:val="Tablaconcuadrcula"/>
        <w:tblW w:w="5000" w:type="pct"/>
        <w:jc w:val="left"/>
        <w:tblInd w:w="0" w:type="dxa"/>
        <w:tblCellMar>
          <w:top w:w="0" w:type="dxa"/>
          <w:left w:w="123" w:type="dxa"/>
          <w:bottom w:w="0" w:type="dxa"/>
          <w:right w:w="108" w:type="dxa"/>
        </w:tblCellMar>
        <w:tblLook w:val="04a0" w:noVBand="1" w:noHBand="0" w:lastColumn="0" w:firstColumn="1" w:lastRow="0" w:firstRow="1"/>
      </w:tblPr>
      <w:tblGrid>
        <w:gridCol w:w="7395"/>
        <w:gridCol w:w="1583"/>
      </w:tblGrid>
      <w:tr>
        <w:trPr>
          <w:trHeight w:val="1442" w:hRule="atLeast"/>
        </w:trPr>
        <w:tc>
          <w:tcPr>
            <w:tcW w:w="7395" w:type="dxa"/>
            <w:tcBorders>
              <w:top w:val="nil"/>
              <w:left w:val="nil"/>
              <w:bottom w:val="nil"/>
              <w:right w:val="nil"/>
              <w:insideH w:val="nil"/>
              <w:insideV w:val="nil"/>
            </w:tcBorders>
            <w:shd w:color="auto" w:fill="auto" w:val="clear"/>
            <w:vAlign w:val="center"/>
          </w:tcPr>
          <w:p>
            <w:pPr>
              <w:pStyle w:val="Caption1"/>
              <w:ind w:left="0" w:hanging="0"/>
              <w:jc w:val="left"/>
              <w:rPr>
                <w:sz w:val="24"/>
                <w:szCs w:val="24"/>
              </w:rPr>
            </w:pPr>
            <w:r>
              <w:rPr>
                <w:sz w:val="24"/>
                <w:szCs w:val="24"/>
              </w:rPr>
            </w:r>
          </w:p>
          <w:p>
            <w:pPr>
              <w:pStyle w:val="Normal"/>
              <w:rPr/>
            </w:pPr>
            <w:r>
              <w:rPr/>
            </w:r>
          </w:p>
          <w:p>
            <w:pPr>
              <w:pStyle w:val="Normal"/>
              <w:widowControl/>
              <w:suppressAutoHyphens w:val="true"/>
              <w:bidi w:val="0"/>
              <w:spacing w:lineRule="auto" w:line="312" w:before="80" w:after="60"/>
              <w:jc w:val="both"/>
              <w:textAlignment w:val="baseline"/>
              <w:rPr/>
            </w:pPr>
            <w:r>
              <w:rPr/>
            </w:r>
          </w:p>
        </w:tc>
        <w:tc>
          <w:tcPr>
            <w:tcW w:w="1583" w:type="dxa"/>
            <w:tcBorders>
              <w:top w:val="nil"/>
              <w:left w:val="nil"/>
              <w:bottom w:val="nil"/>
              <w:right w:val="nil"/>
              <w:insideH w:val="nil"/>
              <w:insideV w:val="nil"/>
            </w:tcBorders>
            <w:shd w:color="auto" w:fill="auto" w:val="clear"/>
            <w:vAlign w:val="center"/>
          </w:tcPr>
          <w:p>
            <w:pPr>
              <w:pStyle w:val="Normal"/>
              <w:spacing w:before="80" w:after="60"/>
              <w:jc w:val="right"/>
              <w:rPr/>
            </w:pPr>
            <w:bookmarkStart w:id="1427" w:name="_Ref49953875"/>
            <w:r>
              <w:rPr/>
              <w:t xml:space="preserve">Ecuación </w:t>
            </w:r>
            <w:bookmarkEnd w:id="1427"/>
            <w:r>
              <w:rPr/>
              <w:fldChar w:fldCharType="begin"/>
            </w:r>
            <w:r>
              <w:instrText> SEQ Ecuación \* ARABIC </w:instrText>
            </w:r>
            <w:r>
              <w:fldChar w:fldCharType="separate"/>
            </w:r>
            <w:r>
              <w:t>45</w:t>
            </w:r>
            <w:r>
              <w:fldChar w:fldCharType="end"/>
            </w:r>
          </w:p>
        </w:tc>
      </w:tr>
    </w:tbl>
    <w:p>
      <w:pPr>
        <w:pStyle w:val="Papertext1"/>
        <w:widowControl w:val="false"/>
        <w:spacing w:lineRule="auto" w:line="360"/>
        <w:ind w:hanging="0"/>
        <w:rPr>
          <w:rFonts w:ascii="Arial" w:hAnsi="Arial"/>
          <w:sz w:val="24"/>
          <w:lang w:val="es-ES"/>
        </w:rPr>
      </w:pPr>
      <w:r>
        <w:rPr>
          <w:rFonts w:ascii="Arial" w:hAnsi="Arial"/>
          <w:sz w:val="24"/>
          <w:lang w:val="es-ES"/>
        </w:rPr>
      </w:r>
    </w:p>
    <w:p>
      <w:pPr>
        <w:pStyle w:val="Papertext1"/>
        <w:widowControl w:val="false"/>
        <w:spacing w:lineRule="auto" w:line="312"/>
        <w:ind w:hanging="0"/>
        <w:rPr/>
      </w:pPr>
      <w:r>
        <w:rPr>
          <w:rFonts w:ascii="Arial" w:hAnsi="Arial"/>
          <w:sz w:val="22"/>
          <w:szCs w:val="22"/>
          <w:lang w:val="es-ES"/>
        </w:rPr>
        <w:t xml:space="preserve">El indicador </w:t>
      </w:r>
      <w:r>
        <w:rPr>
          <w:rFonts w:ascii="Arial" w:hAnsi="Arial"/>
          <w:i/>
          <w:sz w:val="22"/>
          <w:szCs w:val="22"/>
          <w:lang w:val="es-ES"/>
        </w:rPr>
        <w:t>Te</w:t>
      </w:r>
      <w:r>
        <w:rPr>
          <w:rFonts w:ascii="Arial" w:hAnsi="Arial"/>
          <w:i/>
          <w:sz w:val="22"/>
          <w:szCs w:val="22"/>
          <w:vertAlign w:val="subscript"/>
          <w:lang w:val="es-ES"/>
        </w:rPr>
        <w:t>2c</w:t>
      </w:r>
      <w:r>
        <w:rPr>
          <w:rFonts w:ascii="Arial" w:hAnsi="Arial"/>
          <w:sz w:val="22"/>
          <w:szCs w:val="22"/>
          <w:lang w:val="es-ES"/>
        </w:rPr>
        <w:t xml:space="preserve">, constituye la media de la indeterminación de los objetos cuya pertenencia al resumen es mayor que el </w:t>
      </w:r>
      <w:r>
        <w:rPr>
          <w:rFonts w:eastAsia="Symbol" w:cs="Symbol" w:ascii="Symbol" w:hAnsi="Symbol"/>
          <w:i/>
          <w:iCs/>
          <w:sz w:val="22"/>
          <w:szCs w:val="22"/>
          <w:lang w:val="es-ES"/>
        </w:rPr>
        <w:t></w:t>
      </w:r>
      <w:r>
        <w:rPr>
          <w:rFonts w:ascii="Arial" w:hAnsi="Arial"/>
          <w:i/>
          <w:iCs/>
          <w:sz w:val="22"/>
          <w:szCs w:val="22"/>
          <w:lang w:val="es-ES"/>
        </w:rPr>
        <w:t>-corte</w:t>
      </w:r>
      <w:r>
        <w:rPr>
          <w:rFonts w:ascii="Arial" w:hAnsi="Arial"/>
          <w:sz w:val="22"/>
          <w:szCs w:val="22"/>
          <w:lang w:val="es-ES"/>
        </w:rPr>
        <w:t xml:space="preserve"> establecido, ver </w:t>
      </w:r>
      <w:r>
        <w:rPr>
          <w:rFonts w:ascii="Arial" w:hAnsi="Arial"/>
          <w:sz w:val="22"/>
          <w:szCs w:val="22"/>
          <w:lang w:val="es-ES"/>
        </w:rPr>
        <w:fldChar w:fldCharType="begin"/>
      </w:r>
      <w:r>
        <w:instrText> REF _Ref49954042 \h </w:instrText>
      </w:r>
      <w:r>
        <w:fldChar w:fldCharType="separate"/>
      </w:r>
      <w:r>
        <w:t xml:space="preserve">Ecuación </w:t>
      </w:r>
      <w:r>
        <w:fldChar w:fldCharType="end"/>
      </w:r>
      <w:r>
        <w:rPr>
          <w:rFonts w:ascii="Arial" w:hAnsi="Arial"/>
          <w:sz w:val="22"/>
          <w:szCs w:val="22"/>
          <w:lang w:val="es-ES"/>
        </w:rPr>
        <w:t>.</w:t>
      </w:r>
    </w:p>
    <w:tbl>
      <w:tblPr>
        <w:tblStyle w:val="Tablaconcuadrcula"/>
        <w:tblW w:w="5000" w:type="pct"/>
        <w:jc w:val="left"/>
        <w:tblInd w:w="0" w:type="dxa"/>
        <w:tblCellMar>
          <w:top w:w="0" w:type="dxa"/>
          <w:left w:w="123" w:type="dxa"/>
          <w:bottom w:w="0" w:type="dxa"/>
          <w:right w:w="108" w:type="dxa"/>
        </w:tblCellMar>
        <w:tblLook w:val="04a0" w:noVBand="1" w:noHBand="0" w:lastColumn="0" w:firstColumn="1" w:lastRow="0" w:firstRow="1"/>
      </w:tblPr>
      <w:tblGrid>
        <w:gridCol w:w="7395"/>
        <w:gridCol w:w="1583"/>
      </w:tblGrid>
      <w:tr>
        <w:trPr>
          <w:trHeight w:val="1248" w:hRule="atLeast"/>
        </w:trPr>
        <w:tc>
          <w:tcPr>
            <w:tcW w:w="7395" w:type="dxa"/>
            <w:tcBorders>
              <w:top w:val="nil"/>
              <w:left w:val="nil"/>
              <w:bottom w:val="nil"/>
              <w:right w:val="nil"/>
              <w:insideH w:val="nil"/>
              <w:insideV w:val="nil"/>
            </w:tcBorders>
            <w:shd w:color="auto" w:fill="auto" w:val="clear"/>
            <w:vAlign w:val="center"/>
          </w:tcPr>
          <w:p>
            <w:pPr>
              <w:pStyle w:val="Caption1"/>
              <w:spacing w:before="0" w:after="60"/>
              <w:ind w:left="0" w:hanging="0"/>
              <w:jc w:val="left"/>
              <w:rPr>
                <w:sz w:val="24"/>
                <w:szCs w:val="24"/>
              </w:rPr>
            </w:pPr>
            <w:r>
              <w:rPr>
                <w:sz w:val="24"/>
                <w:szCs w:val="24"/>
              </w:rPr>
            </w:r>
          </w:p>
        </w:tc>
        <w:tc>
          <w:tcPr>
            <w:tcW w:w="1583" w:type="dxa"/>
            <w:tcBorders>
              <w:top w:val="nil"/>
              <w:left w:val="nil"/>
              <w:bottom w:val="nil"/>
              <w:right w:val="nil"/>
              <w:insideH w:val="nil"/>
              <w:insideV w:val="nil"/>
            </w:tcBorders>
            <w:shd w:color="auto" w:fill="auto" w:val="clear"/>
            <w:vAlign w:val="center"/>
          </w:tcPr>
          <w:p>
            <w:pPr>
              <w:pStyle w:val="Normal"/>
              <w:spacing w:before="80" w:after="60"/>
              <w:jc w:val="right"/>
              <w:rPr/>
            </w:pPr>
            <w:bookmarkStart w:id="1428" w:name="_Ref49954042"/>
            <w:r>
              <w:rPr/>
              <w:t xml:space="preserve">Ecuación </w:t>
            </w:r>
            <w:bookmarkEnd w:id="1428"/>
            <w:r>
              <w:rPr/>
              <w:fldChar w:fldCharType="begin"/>
            </w:r>
            <w:r>
              <w:instrText> SEQ Ecuación \* ARABIC </w:instrText>
            </w:r>
            <w:r>
              <w:fldChar w:fldCharType="separate"/>
            </w:r>
            <w:r>
              <w:t>46</w:t>
            </w:r>
            <w:r>
              <w:fldChar w:fldCharType="end"/>
            </w:r>
          </w:p>
        </w:tc>
      </w:tr>
    </w:tbl>
    <w:p>
      <w:pPr>
        <w:pStyle w:val="Papertext1"/>
        <w:widowControl w:val="false"/>
        <w:spacing w:lineRule="auto" w:line="312"/>
        <w:ind w:hanging="0"/>
        <w:rPr/>
      </w:pPr>
      <w:r>
        <w:rPr>
          <w:rFonts w:ascii="Arial" w:hAnsi="Arial"/>
          <w:sz w:val="22"/>
          <w:szCs w:val="22"/>
          <w:lang w:val="es-ES"/>
        </w:rPr>
        <w:t xml:space="preserve">El indicador </w:t>
      </w:r>
      <w:r>
        <w:rPr>
          <w:rFonts w:ascii="Arial" w:hAnsi="Arial"/>
          <w:i/>
          <w:sz w:val="22"/>
          <w:szCs w:val="22"/>
          <w:lang w:val="es-ES"/>
        </w:rPr>
        <w:t>Te</w:t>
      </w:r>
      <w:r>
        <w:rPr>
          <w:rFonts w:ascii="Arial" w:hAnsi="Arial"/>
          <w:i/>
          <w:sz w:val="22"/>
          <w:szCs w:val="22"/>
          <w:vertAlign w:val="subscript"/>
          <w:lang w:val="es-ES"/>
        </w:rPr>
        <w:t>2d</w:t>
      </w:r>
      <w:r>
        <w:rPr>
          <w:rFonts w:ascii="Arial" w:hAnsi="Arial"/>
          <w:sz w:val="22"/>
          <w:szCs w:val="22"/>
          <w:lang w:val="es-ES"/>
        </w:rPr>
        <w:t xml:space="preserve">, constituye la media de la no pertenencia al resumen de los objetos que superan el </w:t>
      </w:r>
      <w:r>
        <w:rPr>
          <w:rFonts w:eastAsia="Symbol" w:cs="Symbol" w:ascii="Symbol" w:hAnsi="Symbol"/>
          <w:i/>
          <w:sz w:val="22"/>
          <w:szCs w:val="22"/>
          <w:lang w:val="es-ES"/>
        </w:rPr>
        <w:t></w:t>
      </w:r>
      <w:r>
        <w:rPr>
          <w:rFonts w:ascii="Arial" w:hAnsi="Arial"/>
          <w:i/>
          <w:sz w:val="22"/>
          <w:szCs w:val="22"/>
          <w:lang w:val="es-ES"/>
        </w:rPr>
        <w:t xml:space="preserve">-corte </w:t>
      </w:r>
      <w:r>
        <w:rPr>
          <w:rFonts w:ascii="Arial" w:hAnsi="Arial"/>
          <w:sz w:val="22"/>
          <w:szCs w:val="22"/>
          <w:lang w:val="es-ES"/>
        </w:rPr>
        <w:t>(</w:t>
      </w:r>
      <w:r>
        <w:rPr>
          <w:rFonts w:ascii="Arial" w:hAnsi="Arial"/>
          <w:sz w:val="22"/>
          <w:szCs w:val="22"/>
          <w:lang w:val="es-ES"/>
        </w:rPr>
        <w:fldChar w:fldCharType="begin"/>
      </w:r>
      <w:r>
        <w:instrText> REF _Ref49953062 \h </w:instrText>
      </w:r>
      <w:r>
        <w:fldChar w:fldCharType="separate"/>
      </w:r>
      <w:r>
        <w:t xml:space="preserve">Ecuación </w:t>
      </w:r>
      <w:r>
        <w:fldChar w:fldCharType="end"/>
      </w:r>
      <w:r>
        <w:rPr>
          <w:rFonts w:ascii="Arial" w:hAnsi="Arial"/>
          <w:sz w:val="22"/>
          <w:szCs w:val="22"/>
          <w:lang w:val="es-ES"/>
        </w:rPr>
        <w:t>).</w:t>
      </w:r>
    </w:p>
    <w:tbl>
      <w:tblPr>
        <w:tblStyle w:val="Tablaconcuadrcula"/>
        <w:tblW w:w="5000" w:type="pct"/>
        <w:jc w:val="left"/>
        <w:tblInd w:w="0" w:type="dxa"/>
        <w:tblCellMar>
          <w:top w:w="0" w:type="dxa"/>
          <w:left w:w="123" w:type="dxa"/>
          <w:bottom w:w="0" w:type="dxa"/>
          <w:right w:w="108" w:type="dxa"/>
        </w:tblCellMar>
        <w:tblLook w:val="04a0" w:noVBand="1" w:noHBand="0" w:lastColumn="0" w:firstColumn="1" w:lastRow="0" w:firstRow="1"/>
      </w:tblPr>
      <w:tblGrid>
        <w:gridCol w:w="7395"/>
        <w:gridCol w:w="1583"/>
      </w:tblGrid>
      <w:tr>
        <w:trPr>
          <w:trHeight w:val="1291" w:hRule="atLeast"/>
        </w:trPr>
        <w:tc>
          <w:tcPr>
            <w:tcW w:w="7395" w:type="dxa"/>
            <w:tcBorders>
              <w:top w:val="nil"/>
              <w:left w:val="nil"/>
              <w:bottom w:val="nil"/>
              <w:right w:val="nil"/>
              <w:insideH w:val="nil"/>
              <w:insideV w:val="nil"/>
            </w:tcBorders>
            <w:shd w:color="auto" w:fill="auto" w:val="clear"/>
            <w:vAlign w:val="center"/>
          </w:tcPr>
          <w:p>
            <w:pPr>
              <w:pStyle w:val="Caption1"/>
              <w:spacing w:before="0" w:after="60"/>
              <w:ind w:left="0" w:hanging="0"/>
              <w:jc w:val="left"/>
              <w:rPr>
                <w:sz w:val="24"/>
                <w:szCs w:val="24"/>
              </w:rPr>
            </w:pPr>
            <w:r>
              <w:rPr>
                <w:sz w:val="24"/>
                <w:szCs w:val="24"/>
              </w:rPr>
            </w:r>
          </w:p>
        </w:tc>
        <w:tc>
          <w:tcPr>
            <w:tcW w:w="1583" w:type="dxa"/>
            <w:tcBorders>
              <w:top w:val="nil"/>
              <w:left w:val="nil"/>
              <w:bottom w:val="nil"/>
              <w:right w:val="nil"/>
              <w:insideH w:val="nil"/>
              <w:insideV w:val="nil"/>
            </w:tcBorders>
            <w:shd w:color="auto" w:fill="auto" w:val="clear"/>
            <w:vAlign w:val="center"/>
          </w:tcPr>
          <w:p>
            <w:pPr>
              <w:pStyle w:val="Normal"/>
              <w:spacing w:before="80" w:after="60"/>
              <w:jc w:val="right"/>
              <w:rPr/>
            </w:pPr>
            <w:bookmarkStart w:id="1429" w:name="_Ref49953062"/>
            <w:r>
              <w:rPr/>
              <w:t xml:space="preserve">Ecuación </w:t>
            </w:r>
            <w:bookmarkEnd w:id="1429"/>
            <w:r>
              <w:rPr/>
              <w:fldChar w:fldCharType="begin"/>
            </w:r>
            <w:r>
              <w:instrText> SEQ Ecuación \* ARABIC </w:instrText>
            </w:r>
            <w:r>
              <w:fldChar w:fldCharType="separate"/>
            </w:r>
            <w:r>
              <w:t>47</w:t>
            </w:r>
            <w:r>
              <w:fldChar w:fldCharType="end"/>
            </w:r>
          </w:p>
        </w:tc>
      </w:tr>
    </w:tbl>
    <w:p>
      <w:pPr>
        <w:pStyle w:val="Heading3"/>
        <w:numPr>
          <w:ilvl w:val="2"/>
          <w:numId w:val="80"/>
        </w:numPr>
        <w:rPr/>
      </w:pPr>
      <w:bookmarkStart w:id="1430" w:name="_Ref84577706"/>
      <w:r>
        <w:rPr/>
        <w:t>Extensión al cálculo del grado de cobertura Te</w:t>
      </w:r>
      <w:bookmarkEnd w:id="1430"/>
      <w:r>
        <w:rPr>
          <w:vertAlign w:val="subscript"/>
        </w:rPr>
        <w:t>3.</w:t>
      </w:r>
    </w:p>
    <w:p>
      <w:pPr>
        <w:pStyle w:val="Normal"/>
        <w:rPr/>
      </w:pPr>
      <w:r>
        <w:rPr/>
        <w:t xml:space="preserve">Se propone el indicador </w:t>
      </w:r>
      <w:r>
        <w:rPr>
          <w:i/>
        </w:rPr>
        <w:t>Te</w:t>
      </w:r>
      <w:r>
        <w:rPr>
          <w:i/>
          <w:vertAlign w:val="subscript"/>
        </w:rPr>
        <w:t>3</w:t>
      </w:r>
      <w:r>
        <w:rPr/>
        <w:t xml:space="preserve"> como extensión, puede reemplazar al indicador tradicional </w:t>
      </w:r>
      <w:r>
        <w:rPr>
          <w:i/>
        </w:rPr>
        <w:t>T</w:t>
      </w:r>
      <w:r>
        <w:rPr>
          <w:vertAlign w:val="subscript"/>
        </w:rPr>
        <w:t>3</w:t>
      </w:r>
      <w:r>
        <w:rPr/>
        <w:t xml:space="preserve">. Se construye con el objetivo de determinar de una forma más estricta, el grado de cobertura de un resumen lingüístico. El </w:t>
      </w:r>
      <w:r>
        <w:rPr>
          <w:i/>
        </w:rPr>
        <w:t>T</w:t>
      </w:r>
      <w:r>
        <w:rPr>
          <w:i/>
          <w:vertAlign w:val="subscript"/>
        </w:rPr>
        <w:t>3</w:t>
      </w:r>
      <w:r>
        <w:rPr>
          <w:i/>
        </w:rPr>
        <w:t xml:space="preserve"> </w:t>
      </w:r>
      <w:r>
        <w:rPr/>
        <w:t xml:space="preserve">tradicional considera en el cálculo de la cobertura a todos los objetos con pertenencia mayor que cero, mientras que esta extensión da una evaluación mayor a aquellos resúmenes que garanticen la cobertura de mayor cantidad de objetos, pero estimulando a aquellos que logran además, altos valores de pertenencia. La </w:t>
      </w:r>
      <w:r>
        <w:rPr/>
        <w:fldChar w:fldCharType="begin"/>
      </w:r>
      <w:r>
        <w:instrText> REF _Ref70263456 \h </w:instrText>
      </w:r>
      <w:r>
        <w:fldChar w:fldCharType="separate"/>
      </w:r>
      <w:r>
        <w:t xml:space="preserve">Ecuación </w:t>
      </w:r>
      <w:r>
        <w:fldChar w:fldCharType="end"/>
      </w:r>
      <w:r>
        <w:rPr/>
        <w:t xml:space="preserve"> resume la forma de cálculo de este indicador.</w:t>
      </w:r>
    </w:p>
    <w:tbl>
      <w:tblPr>
        <w:tblStyle w:val="Tablaconcuadrcula"/>
        <w:tblW w:w="5000" w:type="pct"/>
        <w:jc w:val="left"/>
        <w:tblInd w:w="0" w:type="dxa"/>
        <w:tblCellMar>
          <w:top w:w="0" w:type="dxa"/>
          <w:left w:w="123" w:type="dxa"/>
          <w:bottom w:w="0" w:type="dxa"/>
          <w:right w:w="108" w:type="dxa"/>
        </w:tblCellMar>
        <w:tblLook w:val="04a0" w:noVBand="1" w:noHBand="0" w:lastColumn="0" w:firstColumn="1" w:lastRow="0" w:firstRow="1"/>
      </w:tblPr>
      <w:tblGrid>
        <w:gridCol w:w="7395"/>
        <w:gridCol w:w="1583"/>
      </w:tblGrid>
      <w:tr>
        <w:trPr>
          <w:trHeight w:val="922" w:hRule="atLeast"/>
        </w:trPr>
        <w:tc>
          <w:tcPr>
            <w:tcW w:w="7395" w:type="dxa"/>
            <w:tcBorders>
              <w:top w:val="nil"/>
              <w:left w:val="nil"/>
              <w:bottom w:val="nil"/>
              <w:right w:val="nil"/>
              <w:insideH w:val="nil"/>
              <w:insideV w:val="nil"/>
            </w:tcBorders>
            <w:shd w:color="auto" w:fill="auto" w:val="clear"/>
            <w:vAlign w:val="center"/>
          </w:tcPr>
          <w:p>
            <w:pPr>
              <w:pStyle w:val="Caption1"/>
              <w:spacing w:before="80" w:after="0"/>
              <w:ind w:left="0" w:hanging="0"/>
              <w:jc w:val="left"/>
              <w:rPr>
                <w:sz w:val="24"/>
                <w:szCs w:val="24"/>
              </w:rPr>
            </w:pPr>
            <w:r>
              <w:rPr>
                <w:sz w:val="24"/>
                <w:szCs w:val="24"/>
              </w:rPr>
            </w:r>
          </w:p>
        </w:tc>
        <w:tc>
          <w:tcPr>
            <w:tcW w:w="1583" w:type="dxa"/>
            <w:tcBorders>
              <w:top w:val="nil"/>
              <w:left w:val="nil"/>
              <w:bottom w:val="nil"/>
              <w:right w:val="nil"/>
              <w:insideH w:val="nil"/>
              <w:insideV w:val="nil"/>
            </w:tcBorders>
            <w:shd w:color="auto" w:fill="auto" w:val="clear"/>
            <w:vAlign w:val="center"/>
          </w:tcPr>
          <w:p>
            <w:pPr>
              <w:pStyle w:val="Normal"/>
              <w:spacing w:before="0" w:after="0"/>
              <w:jc w:val="right"/>
              <w:rPr/>
            </w:pPr>
            <w:bookmarkStart w:id="1431" w:name="_Ref70263456"/>
            <w:r>
              <w:rPr/>
              <w:t xml:space="preserve">Ecuación </w:t>
            </w:r>
            <w:bookmarkEnd w:id="1431"/>
            <w:r>
              <w:rPr/>
              <w:fldChar w:fldCharType="begin"/>
            </w:r>
            <w:r>
              <w:instrText> SEQ Ecuación \* ARABIC </w:instrText>
            </w:r>
            <w:r>
              <w:fldChar w:fldCharType="separate"/>
            </w:r>
            <w:r>
              <w:t>48</w:t>
            </w:r>
            <w:r>
              <w:fldChar w:fldCharType="end"/>
            </w:r>
          </w:p>
        </w:tc>
      </w:tr>
    </w:tbl>
    <w:p>
      <w:pPr>
        <w:pStyle w:val="Heading3"/>
        <w:numPr>
          <w:ilvl w:val="2"/>
          <w:numId w:val="80"/>
        </w:numPr>
        <w:rPr/>
      </w:pPr>
      <w:r>
        <w:rPr/>
        <w:t>Extensión al cálculo del grado de adecuación Te</w:t>
      </w:r>
      <w:r>
        <w:rPr>
          <w:vertAlign w:val="subscript"/>
        </w:rPr>
        <w:t>4</w:t>
      </w:r>
    </w:p>
    <w:p>
      <w:pPr>
        <w:pStyle w:val="Normal"/>
        <w:rPr/>
      </w:pPr>
      <w:r>
        <w:rPr/>
        <w:t xml:space="preserve">La extensión </w:t>
      </w:r>
      <w:r>
        <w:rPr>
          <w:i/>
        </w:rPr>
        <w:t>Te</w:t>
      </w:r>
      <w:r>
        <w:rPr>
          <w:i/>
          <w:vertAlign w:val="subscript"/>
        </w:rPr>
        <w:t>4</w:t>
      </w:r>
      <w:r>
        <w:rPr>
          <w:vertAlign w:val="subscript"/>
        </w:rPr>
        <w:t xml:space="preserve"> </w:t>
      </w:r>
      <w:r>
        <w:rPr/>
        <w:t xml:space="preserve">se propone como complemento al </w:t>
      </w:r>
      <w:r>
        <w:rPr>
          <w:i/>
        </w:rPr>
        <w:t>T</w:t>
      </w:r>
      <w:r>
        <w:rPr>
          <w:i/>
          <w:vertAlign w:val="subscript"/>
        </w:rPr>
        <w:t>4</w:t>
      </w:r>
      <w:r>
        <w:rPr/>
        <w:t xml:space="preserve"> tradicional, no como reemplazo. Se propone esta extensión para medir la adecuación en escenarios de toma de decisiones con presencia de fenómenos como la indeterminación o la neutralidad. En este sentido, este indicador incorpora elementos de la teoría neutrosófica y calcula la adecuación a partir de combinar los grados de certeza, indeterminación y no pertenencia de los objetos al resumen. </w:t>
      </w:r>
    </w:p>
    <w:p>
      <w:pPr>
        <w:pStyle w:val="Normal"/>
        <w:rPr/>
      </w:pPr>
      <w:r>
        <w:rPr/>
        <w:t xml:space="preserve">Es una extensión que promueve la identificación de relaciones peculiares entre variables, relaciones que no están presentes en la mayoría de los objetos de la base de datos pero que en los objetos donde aparecen, son fuertes. Establece una relación inversamente proporcional entre el grado de pertenencia de los objetos al resumen y la cantidad de objetos que pertenecen a la aproximación superior. El </w:t>
      </w:r>
      <w:r>
        <w:rPr>
          <w:i/>
        </w:rPr>
        <w:t>Te</w:t>
      </w:r>
      <w:r>
        <w:rPr>
          <w:i/>
          <w:vertAlign w:val="subscript"/>
        </w:rPr>
        <w:t>4</w:t>
      </w:r>
      <w:r>
        <w:rPr/>
        <w:t xml:space="preserve">, asigna mayor valor a aquellos resúmenes que representen objetos con pertenencia mayor que el </w:t>
      </w:r>
      <w:r>
        <w:rPr>
          <w:rFonts w:eastAsia="Symbol" w:cs="Symbol" w:ascii="Symbol" w:hAnsi="Symbol"/>
          <w:i/>
          <w:iCs/>
        </w:rPr>
        <w:t></w:t>
      </w:r>
      <w:r>
        <w:rPr>
          <w:i/>
          <w:iCs/>
        </w:rPr>
        <w:t>-corte</w:t>
      </w:r>
      <w:r>
        <w:rPr/>
        <w:t xml:space="preserve"> y no a resúmenes que representen a muchos objetos en el intervalo </w:t>
      </w:r>
      <w:r>
        <w:rPr>
          <w:lang w:eastAsia="ja-JP"/>
        </w:rPr>
        <w:t>[</w:t>
      </w:r>
      <w:r>
        <w:rPr/>
        <w:t xml:space="preserve">0, </w:t>
      </w:r>
      <w:r>
        <w:rPr>
          <w:rFonts w:eastAsia="Symbol" w:cs="Symbol" w:ascii="Symbol" w:hAnsi="Symbol"/>
          <w:i/>
          <w:iCs/>
        </w:rPr>
        <w:t></w:t>
      </w:r>
      <w:r>
        <w:rPr>
          <w:i/>
          <w:iCs/>
        </w:rPr>
        <w:t>-corte</w:t>
      </w:r>
      <w:r>
        <w:rPr/>
        <w:t xml:space="preserve">]; es decir, no a resúmenes con muchos objetos en la aproximación superior. Otro elemento que diferencia esta extensión del </w:t>
      </w:r>
      <w:r>
        <w:rPr>
          <w:i/>
        </w:rPr>
        <w:t>T</w:t>
      </w:r>
      <w:r>
        <w:rPr>
          <w:vertAlign w:val="subscript"/>
        </w:rPr>
        <w:t>4</w:t>
      </w:r>
      <w:r>
        <w:rPr/>
        <w:t xml:space="preserve"> tradicional, es que en el grado de pertenencia se incluyen también el grado de no pertenencia y la indeterminación, ver </w:t>
      </w:r>
      <w:r>
        <w:rPr/>
        <w:fldChar w:fldCharType="begin"/>
      </w:r>
      <w:r>
        <w:instrText> REF _Ref70271659 \h </w:instrText>
      </w:r>
      <w:r>
        <w:fldChar w:fldCharType="separate"/>
      </w:r>
      <w:r>
        <w:t xml:space="preserve">Ecuación </w:t>
      </w:r>
      <w:r>
        <w:fldChar w:fldCharType="end"/>
      </w:r>
      <w:r>
        <w:rPr/>
        <w:t>.</w:t>
      </w:r>
    </w:p>
    <w:tbl>
      <w:tblPr>
        <w:tblStyle w:val="Tablaconcuadrcula"/>
        <w:tblW w:w="5000" w:type="pct"/>
        <w:jc w:val="left"/>
        <w:tblInd w:w="0" w:type="dxa"/>
        <w:tblCellMar>
          <w:top w:w="0" w:type="dxa"/>
          <w:left w:w="123" w:type="dxa"/>
          <w:bottom w:w="0" w:type="dxa"/>
          <w:right w:w="108" w:type="dxa"/>
        </w:tblCellMar>
        <w:tblLook w:val="04a0" w:noVBand="1" w:noHBand="0" w:lastColumn="0" w:firstColumn="1" w:lastRow="0" w:firstRow="1"/>
      </w:tblPr>
      <w:tblGrid>
        <w:gridCol w:w="7395"/>
        <w:gridCol w:w="1583"/>
      </w:tblGrid>
      <w:tr>
        <w:trPr>
          <w:trHeight w:val="1723" w:hRule="atLeast"/>
        </w:trPr>
        <w:tc>
          <w:tcPr>
            <w:tcW w:w="7395" w:type="dxa"/>
            <w:tcBorders>
              <w:top w:val="nil"/>
              <w:left w:val="nil"/>
              <w:bottom w:val="nil"/>
              <w:right w:val="nil"/>
              <w:insideH w:val="nil"/>
              <w:insideV w:val="nil"/>
            </w:tcBorders>
            <w:shd w:color="auto" w:fill="auto" w:val="clear"/>
            <w:vAlign w:val="center"/>
          </w:tcPr>
          <w:p>
            <w:pPr>
              <w:pStyle w:val="Caption1"/>
              <w:spacing w:before="0" w:after="60"/>
              <w:ind w:left="0" w:hanging="0"/>
              <w:jc w:val="left"/>
              <w:rPr>
                <w:sz w:val="24"/>
                <w:szCs w:val="24"/>
              </w:rPr>
            </w:pPr>
            <w:r>
              <w:rPr>
                <w:sz w:val="24"/>
                <w:szCs w:val="24"/>
              </w:rPr>
            </w:r>
          </w:p>
        </w:tc>
        <w:tc>
          <w:tcPr>
            <w:tcW w:w="1583" w:type="dxa"/>
            <w:tcBorders>
              <w:top w:val="nil"/>
              <w:left w:val="nil"/>
              <w:bottom w:val="nil"/>
              <w:right w:val="nil"/>
              <w:insideH w:val="nil"/>
              <w:insideV w:val="nil"/>
            </w:tcBorders>
            <w:shd w:color="auto" w:fill="auto" w:val="clear"/>
            <w:vAlign w:val="center"/>
          </w:tcPr>
          <w:p>
            <w:pPr>
              <w:pStyle w:val="Normal"/>
              <w:spacing w:before="80" w:after="60"/>
              <w:jc w:val="right"/>
              <w:rPr/>
            </w:pPr>
            <w:bookmarkStart w:id="1432" w:name="_Ref70271659"/>
            <w:r>
              <w:rPr/>
              <w:t xml:space="preserve">Ecuación </w:t>
            </w:r>
            <w:bookmarkEnd w:id="1432"/>
            <w:r>
              <w:rPr/>
              <w:fldChar w:fldCharType="begin"/>
            </w:r>
            <w:r>
              <w:instrText> SEQ Ecuación \* ARABIC </w:instrText>
            </w:r>
            <w:r>
              <w:fldChar w:fldCharType="separate"/>
            </w:r>
            <w:r>
              <w:t>49</w:t>
            </w:r>
            <w:r>
              <w:fldChar w:fldCharType="end"/>
            </w:r>
          </w:p>
        </w:tc>
      </w:tr>
    </w:tbl>
    <w:p>
      <w:pPr>
        <w:pStyle w:val="Heading3"/>
        <w:numPr>
          <w:ilvl w:val="2"/>
          <w:numId w:val="80"/>
        </w:numPr>
        <w:rPr/>
      </w:pPr>
      <w:r>
        <w:rPr/>
        <w:t>Extensión a la evaluación de la longitud de los resúmenes Te</w:t>
      </w:r>
      <w:r>
        <w:rPr>
          <w:vertAlign w:val="subscript"/>
        </w:rPr>
        <w:t>5</w:t>
      </w:r>
    </w:p>
    <w:p>
      <w:pPr>
        <w:pStyle w:val="Normal"/>
        <w:rPr/>
      </w:pPr>
      <w:r>
        <w:rPr/>
        <w:t xml:space="preserve">El </w:t>
      </w:r>
      <w:r>
        <w:rPr>
          <w:i/>
        </w:rPr>
        <w:t>Te</w:t>
      </w:r>
      <w:r>
        <w:rPr>
          <w:i/>
          <w:vertAlign w:val="subscript"/>
        </w:rPr>
        <w:t>5</w:t>
      </w:r>
      <w:r>
        <w:rPr>
          <w:i/>
        </w:rPr>
        <w:t xml:space="preserve"> </w:t>
      </w:r>
      <w:r>
        <w:rPr/>
        <w:t xml:space="preserve">se propone como una extensión que reemplaza al indicador </w:t>
      </w:r>
      <w:r>
        <w:rPr>
          <w:i/>
        </w:rPr>
        <w:t>T</w:t>
      </w:r>
      <w:r>
        <w:rPr>
          <w:vertAlign w:val="subscript"/>
        </w:rPr>
        <w:t>5</w:t>
      </w:r>
      <w:r>
        <w:rPr/>
        <w:t xml:space="preserve"> tradicional. La principal diferencia entre estos indicadores es la función matemática sobre la que soportan su cálculo. Se propone este indicador con el objetivo de lograr una mayor suavidad en los valores de evaluación ante el aumento del tamaño de los resúmenes, mejorando los saltos bruscos que se experimentan en el </w:t>
      </w:r>
      <w:r>
        <w:rPr>
          <w:i/>
        </w:rPr>
        <w:t>T</w:t>
      </w:r>
      <w:r>
        <w:rPr>
          <w:vertAlign w:val="subscript"/>
        </w:rPr>
        <w:t>5</w:t>
      </w:r>
      <w:r>
        <w:rPr/>
        <w:t xml:space="preserve"> tradicional. El </w:t>
      </w:r>
      <w:r>
        <w:rPr>
          <w:i/>
        </w:rPr>
        <w:t>Te</w:t>
      </w:r>
      <w:r>
        <w:rPr>
          <w:i/>
          <w:vertAlign w:val="subscript"/>
        </w:rPr>
        <w:t>5</w:t>
      </w:r>
      <w:r>
        <w:rPr>
          <w:i/>
        </w:rPr>
        <w:t xml:space="preserve"> </w:t>
      </w:r>
      <w:r>
        <w:rPr/>
        <w:t xml:space="preserve">está basado en la curva de Gauss, </w:t>
      </w:r>
      <w:r>
        <w:rPr/>
        <w:fldChar w:fldCharType="begin"/>
      </w:r>
      <w:r>
        <w:instrText> REF _Ref70271687 \h </w:instrText>
      </w:r>
      <w:r>
        <w:fldChar w:fldCharType="separate"/>
      </w:r>
      <w:r>
        <w:t xml:space="preserve">Ecuación </w:t>
      </w:r>
      <w:r>
        <w:fldChar w:fldCharType="end"/>
      </w:r>
      <w:r>
        <w:rPr/>
        <w:t xml:space="preserve">, y asigna mayor valor a los resúmenes que tienen longitud entre dos y tres, por eso el parámetro </w:t>
      </w:r>
      <w:r>
        <w:rPr>
          <w:i/>
        </w:rPr>
        <w:t xml:space="preserve">b </w:t>
      </w:r>
      <w:r>
        <w:rPr>
          <w:i/>
          <w:lang w:eastAsia="ja-JP"/>
        </w:rPr>
        <w:t>=</w:t>
      </w:r>
      <w:r>
        <w:rPr>
          <w:i/>
        </w:rPr>
        <w:t xml:space="preserve"> 2.5, </w:t>
      </w:r>
      <w:r>
        <w:rPr/>
        <w:t>mientras que</w:t>
      </w:r>
      <w:r>
        <w:rPr>
          <w:i/>
        </w:rPr>
        <w:t xml:space="preserve"> </w:t>
      </w:r>
      <w:r>
        <w:rPr/>
        <w:t xml:space="preserve">el valor </w:t>
      </w:r>
      <w:r>
        <w:rPr>
          <w:i/>
        </w:rPr>
        <w:t xml:space="preserve">k </w:t>
      </w:r>
      <w:r>
        <w:rPr>
          <w:i/>
          <w:lang w:eastAsia="ja-JP"/>
        </w:rPr>
        <w:t xml:space="preserve">= 0.125. </w:t>
      </w:r>
      <w:r>
        <w:rPr>
          <w:iCs/>
          <w:lang w:eastAsia="ja-JP"/>
        </w:rPr>
        <w:t>Estos dos valores</w:t>
      </w:r>
      <w:r>
        <w:rPr>
          <w:i/>
          <w:lang w:eastAsia="ja-JP"/>
        </w:rPr>
        <w:t xml:space="preserve"> </w:t>
      </w:r>
      <w:r>
        <w:rPr/>
        <w:t>se establecieron a partir de prueba y error hasta lograr la suavidad deseada.</w:t>
      </w:r>
    </w:p>
    <w:tbl>
      <w:tblPr>
        <w:tblStyle w:val="Tablaconcuadrcula"/>
        <w:tblW w:w="5000" w:type="pct"/>
        <w:jc w:val="left"/>
        <w:tblInd w:w="0" w:type="dxa"/>
        <w:tblCellMar>
          <w:top w:w="0" w:type="dxa"/>
          <w:left w:w="123" w:type="dxa"/>
          <w:bottom w:w="0" w:type="dxa"/>
          <w:right w:w="108" w:type="dxa"/>
        </w:tblCellMar>
        <w:tblLook w:val="04a0" w:noVBand="1" w:noHBand="0" w:lastColumn="0" w:firstColumn="1" w:lastRow="0" w:firstRow="1"/>
      </w:tblPr>
      <w:tblGrid>
        <w:gridCol w:w="7395"/>
        <w:gridCol w:w="1583"/>
      </w:tblGrid>
      <w:tr>
        <w:trPr>
          <w:trHeight w:val="779" w:hRule="atLeast"/>
        </w:trPr>
        <w:tc>
          <w:tcPr>
            <w:tcW w:w="7395" w:type="dxa"/>
            <w:tcBorders>
              <w:top w:val="nil"/>
              <w:left w:val="nil"/>
              <w:bottom w:val="nil"/>
              <w:right w:val="nil"/>
              <w:insideH w:val="nil"/>
              <w:insideV w:val="nil"/>
            </w:tcBorders>
            <w:shd w:color="auto" w:fill="auto" w:val="clear"/>
            <w:vAlign w:val="center"/>
          </w:tcPr>
          <w:p>
            <w:pPr>
              <w:pStyle w:val="Caption1"/>
              <w:spacing w:before="0" w:after="60"/>
              <w:ind w:left="0" w:hanging="0"/>
              <w:jc w:val="left"/>
              <w:rPr>
                <w:rFonts w:cs="Arial"/>
                <w:sz w:val="24"/>
                <w:szCs w:val="24"/>
              </w:rPr>
            </w:pPr>
            <w:r>
              <w:rPr/>
            </w:r>
            <m:oMath xmlns:m="http://schemas.openxmlformats.org/officeDocument/2006/math">
              <m:r>
                <m:rPr>
                  <m:lit/>
                  <m:nor/>
                </m:rPr>
                <w:rPr>
                  <w:rFonts w:ascii="Cambria Math" w:hAnsi="Cambria Math"/>
                </w:rPr>
                <m:t xml:space="preserve">T</m:t>
              </m:r>
              <m:sSub>
                <m:e>
                  <m:r>
                    <m:rPr>
                      <m:lit/>
                      <m:nor/>
                    </m:rPr>
                    <w:rPr>
                      <w:rFonts w:ascii="Cambria Math" w:hAnsi="Cambria Math"/>
                    </w:rPr>
                    <m:t xml:space="preserve">e</m:t>
                  </m:r>
                </m:e>
                <m:sub>
                  <m:r>
                    <w:rPr>
                      <w:rFonts w:ascii="Cambria Math" w:hAnsi="Cambria Math"/>
                    </w:rPr>
                    <m:t xml:space="preserve">5</m:t>
                  </m:r>
                </m:sub>
              </m:sSub>
              <m:r>
                <w:rPr>
                  <w:rFonts w:ascii="Cambria Math" w:hAnsi="Cambria Math"/>
                </w:rPr>
                <m:t xml:space="preserve">=</m:t>
              </m:r>
              <m:r>
                <m:rPr>
                  <m:lit/>
                  <m:nor/>
                </m:rPr>
                <w:rPr>
                  <w:rFonts w:ascii="Cambria Math" w:hAnsi="Cambria Math"/>
                </w:rPr>
                <m:t xml:space="preserve"> </m:t>
              </m:r>
              <m:sSup>
                <m:e>
                  <m:r>
                    <m:rPr>
                      <m:lit/>
                      <m:nor/>
                    </m:rPr>
                    <w:rPr>
                      <w:rFonts w:ascii="Cambria Math" w:hAnsi="Cambria Math"/>
                    </w:rPr>
                    <m:t xml:space="preserve">e</m:t>
                  </m:r>
                </m:e>
                <m:sup>
                  <m:r>
                    <w:rPr>
                      <w:rFonts w:ascii="Cambria Math" w:hAnsi="Cambria Math"/>
                    </w:rPr>
                    <m:t xml:space="preserve">−</m:t>
                  </m:r>
                  <m:r>
                    <w:rPr>
                      <w:rFonts w:ascii="Cambria Math" w:hAnsi="Cambria Math"/>
                    </w:rPr>
                    <m:t xml:space="preserve">k</m:t>
                  </m:r>
                  <m:sSup>
                    <m:e>
                      <m:d>
                        <m:dPr>
                          <m:begChr m:val="("/>
                          <m:endChr m:val=")"/>
                        </m:dPr>
                        <m:e>
                          <m:r>
                            <m:rPr>
                              <m:lit/>
                              <m:nor/>
                            </m:rPr>
                            <w:rPr>
                              <w:rFonts w:ascii="Cambria Math" w:hAnsi="Cambria Math"/>
                            </w:rPr>
                            <m:t xml:space="preserve">x-b</m:t>
                          </m:r>
                        </m:e>
                      </m:d>
                    </m:e>
                    <m:sup>
                      <m:r>
                        <w:rPr>
                          <w:rFonts w:ascii="Cambria Math" w:hAnsi="Cambria Math"/>
                        </w:rPr>
                        <m:t xml:space="preserve">2</m:t>
                      </m:r>
                    </m:sup>
                  </m:sSup>
                </m:sup>
              </m:sSup>
              <m:r>
                <m:rPr>
                  <m:lit/>
                  <m:nor/>
                </m:rPr>
                <w:rPr>
                  <w:rFonts w:ascii="Cambria Math" w:hAnsi="Cambria Math"/>
                </w:rPr>
                <m:t xml:space="preserve">, tal que T</m:t>
              </m:r>
              <m:sSub>
                <m:e>
                  <m:r>
                    <m:rPr>
                      <m:lit/>
                      <m:nor/>
                    </m:rPr>
                    <w:rPr>
                      <w:rFonts w:ascii="Cambria Math" w:hAnsi="Cambria Math"/>
                    </w:rPr>
                    <m:t xml:space="preserve">e</m:t>
                  </m:r>
                </m:e>
                <m:sub>
                  <m:r>
                    <w:rPr>
                      <w:rFonts w:ascii="Cambria Math" w:hAnsi="Cambria Math"/>
                    </w:rPr>
                    <m:t xml:space="preserve">5</m:t>
                  </m:r>
                </m:sub>
              </m:sSub>
              <m:r>
                <w:rPr>
                  <w:rFonts w:ascii="Cambria Math" w:hAnsi="Cambria Math"/>
                </w:rPr>
                <m:t xml:space="preserve">∈</m:t>
              </m:r>
              <m:d>
                <m:dPr>
                  <m:begChr m:val="["/>
                  <m:endChr m:val="]"/>
                </m:dPr>
                <m:e>
                  <m:r>
                    <m:rPr>
                      <m:lit/>
                      <m:nor/>
                    </m:rPr>
                    <w:rPr>
                      <w:rFonts w:ascii="Cambria Math" w:hAnsi="Cambria Math"/>
                    </w:rPr>
                    <m:t xml:space="preserve">0,1</m:t>
                  </m:r>
                </m:e>
              </m:d>
              <m:r>
                <m:rPr>
                  <m:lit/>
                  <m:nor/>
                </m:rPr>
                <w:rPr>
                  <w:rFonts w:ascii="Cambria Math" w:hAnsi="Cambria Math"/>
                </w:rPr>
                <m:t xml:space="preserve">,  k = 0.125 y b = 2.5 </m:t>
              </m:r>
            </m:oMath>
          </w:p>
        </w:tc>
        <w:tc>
          <w:tcPr>
            <w:tcW w:w="1583" w:type="dxa"/>
            <w:tcBorders>
              <w:top w:val="nil"/>
              <w:left w:val="nil"/>
              <w:bottom w:val="nil"/>
              <w:right w:val="nil"/>
              <w:insideH w:val="nil"/>
              <w:insideV w:val="nil"/>
            </w:tcBorders>
            <w:shd w:color="auto" w:fill="auto" w:val="clear"/>
            <w:vAlign w:val="center"/>
          </w:tcPr>
          <w:p>
            <w:pPr>
              <w:pStyle w:val="Normal"/>
              <w:spacing w:before="80" w:after="60"/>
              <w:jc w:val="right"/>
              <w:rPr/>
            </w:pPr>
            <w:bookmarkStart w:id="1433" w:name="_Ref70271687"/>
            <w:r>
              <w:rPr/>
              <w:t xml:space="preserve">Ecuación </w:t>
            </w:r>
            <w:bookmarkEnd w:id="1433"/>
            <w:r>
              <w:rPr/>
              <w:fldChar w:fldCharType="begin"/>
            </w:r>
            <w:r>
              <w:instrText> SEQ Ecuación \* ARABIC </w:instrText>
            </w:r>
            <w:r>
              <w:fldChar w:fldCharType="separate"/>
            </w:r>
            <w:r>
              <w:t>50</w:t>
            </w:r>
            <w:r>
              <w:fldChar w:fldCharType="end"/>
            </w:r>
          </w:p>
        </w:tc>
      </w:tr>
    </w:tbl>
    <w:p>
      <w:pPr>
        <w:pStyle w:val="Papertext1"/>
        <w:widowControl w:val="false"/>
        <w:ind w:left="360" w:hanging="0"/>
        <w:rPr>
          <w:rFonts w:ascii="Arial" w:hAnsi="Arial"/>
          <w:sz w:val="24"/>
          <w:lang w:val="es-ES"/>
        </w:rPr>
      </w:pPr>
      <w:r>
        <w:rPr>
          <w:rFonts w:ascii="Arial" w:hAnsi="Arial"/>
          <w:sz w:val="24"/>
          <w:lang w:val="es-ES"/>
        </w:rPr>
      </w:r>
    </w:p>
    <w:p>
      <w:pPr>
        <w:pStyle w:val="Heading2"/>
        <w:numPr>
          <w:ilvl w:val="1"/>
          <w:numId w:val="80"/>
        </w:numPr>
        <w:rPr/>
      </w:pPr>
      <w:bookmarkStart w:id="1434" w:name="_Hlk78873112"/>
      <w:bookmarkStart w:id="1435" w:name="_Toc84598940"/>
      <w:bookmarkEnd w:id="1434"/>
      <w:bookmarkEnd w:id="1435"/>
      <w:r>
        <w:rPr/>
        <w:t>Conjunto de pruebas 1: Validación y comparación de los indicadores tradicionales y los extendidos</w:t>
      </w:r>
    </w:p>
    <w:p>
      <w:pPr>
        <w:pStyle w:val="Heading3"/>
        <w:numPr>
          <w:ilvl w:val="2"/>
          <w:numId w:val="80"/>
        </w:numPr>
        <w:rPr/>
      </w:pPr>
      <w:r>
        <w:rPr/>
        <w:t>Escenario de pruebas</w:t>
      </w:r>
    </w:p>
    <w:p>
      <w:pPr>
        <w:pStyle w:val="Normal"/>
        <w:rPr/>
      </w:pPr>
      <w:r>
        <w:rPr/>
        <w:t>Para la comparación de los indicadores tradicionales y los extendidos, se establece un entorno de pruebas donde se simulan 29 posibles escenarios,</w:t>
      </w:r>
      <w:r>
        <w:rPr>
          <w:lang w:val="en-US"/>
        </w:rPr>
        <w:t xml:space="preserve"> ver </w:t>
      </w:r>
      <w:r>
        <w:rPr>
          <w:lang w:val="en-US"/>
        </w:rPr>
        <w:fldChar w:fldCharType="begin"/>
      </w:r>
      <w:r>
        <w:instrText> REF _Ref79296896 \h </w:instrText>
      </w:r>
      <w:r>
        <w:fldChar w:fldCharType="separate"/>
      </w:r>
      <w:r>
        <w:t>Anexo 7</w:t>
      </w:r>
      <w:r>
        <w:fldChar w:fldCharType="end"/>
      </w:r>
      <w:r>
        <w:rPr>
          <w:lang w:val="en-US"/>
        </w:rPr>
        <w:t xml:space="preserve"> </w:t>
      </w:r>
      <w:r>
        <w:rPr>
          <w:lang w:val="en-US"/>
        </w:rPr>
        <w:fldChar w:fldCharType="begin"/>
      </w:r>
      <w:r>
        <w:instrText> REF _Ref50293911 \h </w:instrText>
      </w:r>
      <w:r>
        <w:fldChar w:fldCharType="separate"/>
      </w:r>
      <w:r>
        <w:t>Tabla 22</w:t>
      </w:r>
      <w:r>
        <w:fldChar w:fldCharType="end"/>
      </w:r>
      <w:r>
        <w:rPr>
          <w:lang w:val="en-US"/>
        </w:rPr>
        <w:t>.</w:t>
      </w:r>
      <w:r>
        <w:rPr/>
        <w:t xml:space="preserve"> Cada uno de los escenarios es representado por una clase de prueba, donde cada clase de prueba representa una combinación de posibles valores de evaluación de filtros y sumarizadores, cubriendo todos los posibles escenarios en que se puedan expresar los resúmenes lingüísticos. </w:t>
      </w:r>
    </w:p>
    <w:p>
      <w:pPr>
        <w:pStyle w:val="Normal"/>
        <w:rPr/>
      </w:pPr>
      <w:r>
        <w:rPr/>
        <w:t>Los escenarios de pruebas están caracterizados por los siguientes elementos:</w:t>
      </w:r>
    </w:p>
    <w:p>
      <w:pPr>
        <w:pStyle w:val="ListParagraph"/>
        <w:numPr>
          <w:ilvl w:val="0"/>
          <w:numId w:val="14"/>
        </w:numPr>
        <w:rPr>
          <w:lang w:val="en-US"/>
        </w:rPr>
      </w:pPr>
      <w:r>
        <w:rPr>
          <w:lang w:val="en-US"/>
        </w:rPr>
        <w:t xml:space="preserve">Se emplean dos resúmenes prototipo. El primer prototipo tiene la estructura </w:t>
      </w:r>
      <w:r>
        <w:rPr>
          <w:i/>
          <w:lang w:val="en-US"/>
        </w:rPr>
        <w:t xml:space="preserve">“Qy’s R1 &amp; R2 are S1 </w:t>
      </w:r>
      <w:r>
        <w:rPr>
          <w:lang w:val="en-US"/>
        </w:rPr>
        <w:t>&amp;</w:t>
      </w:r>
      <w:r>
        <w:rPr>
          <w:i/>
          <w:lang w:val="en-US"/>
        </w:rPr>
        <w:t xml:space="preserve"> S2”</w:t>
      </w:r>
      <w:r>
        <w:rPr>
          <w:lang w:val="en-US"/>
        </w:rPr>
        <w:t xml:space="preserve"> formado por dos filtros </w:t>
      </w:r>
      <w:r>
        <w:rPr>
          <w:i/>
          <w:lang w:val="en-US"/>
        </w:rPr>
        <w:t>R1 y R2</w:t>
      </w:r>
      <w:r>
        <w:rPr>
          <w:iCs/>
          <w:lang w:val="en-US"/>
        </w:rPr>
        <w:t>,</w:t>
      </w:r>
      <w:r>
        <w:rPr>
          <w:lang w:val="en-US"/>
        </w:rPr>
        <w:t xml:space="preserve"> y dos sumarizadores </w:t>
      </w:r>
      <w:r>
        <w:rPr>
          <w:i/>
          <w:lang w:val="en-US"/>
        </w:rPr>
        <w:t xml:space="preserve">S1 y S2. </w:t>
      </w:r>
      <w:r>
        <w:rPr>
          <w:lang w:val="en-US"/>
        </w:rPr>
        <w:t xml:space="preserve">El segundo prototipo con la estructura </w:t>
      </w:r>
      <w:r>
        <w:rPr>
          <w:i/>
          <w:lang w:val="en-US"/>
        </w:rPr>
        <w:t xml:space="preserve">“Qy’s are S1 </w:t>
      </w:r>
      <w:r>
        <w:rPr>
          <w:lang w:val="en-US"/>
        </w:rPr>
        <w:t>&amp;</w:t>
      </w:r>
      <w:r>
        <w:rPr>
          <w:i/>
          <w:lang w:val="en-US"/>
        </w:rPr>
        <w:t xml:space="preserve"> S2”</w:t>
      </w:r>
      <w:r>
        <w:rPr>
          <w:lang w:val="en-US"/>
        </w:rPr>
        <w:t xml:space="preserve">, es decir, sin filtros y con dos sumarizadores </w:t>
      </w:r>
      <w:r>
        <w:rPr>
          <w:i/>
          <w:lang w:val="en-US"/>
        </w:rPr>
        <w:t>S1 y S2.</w:t>
      </w:r>
    </w:p>
    <w:p>
      <w:pPr>
        <w:pStyle w:val="ListParagraph"/>
        <w:numPr>
          <w:ilvl w:val="0"/>
          <w:numId w:val="14"/>
        </w:numPr>
        <w:rPr>
          <w:lang w:val="en-US"/>
        </w:rPr>
      </w:pPr>
      <w:r>
        <w:rPr>
          <w:lang w:val="es-ES"/>
        </w:rPr>
        <w:t xml:space="preserve">Cada clase de </w:t>
      </w:r>
      <w:r>
        <w:rPr/>
        <w:t>prueba</w:t>
      </w:r>
      <w:r>
        <w:rPr>
          <w:lang w:val="es-ES"/>
        </w:rPr>
        <w:t xml:space="preserve"> representará una combinación de valores posibles de cuantificador-filtros-sumarizadores al evaluar un objeto en un resumen lingüístico. Para representar los rangos de valores de cada clase de prueba se emplean los </w:t>
      </w:r>
      <w:r>
        <w:rPr>
          <w:lang w:val="en-US"/>
        </w:rPr>
        <w:t xml:space="preserve">términos </w:t>
      </w:r>
      <w:r>
        <w:rPr>
          <w:b/>
          <w:i/>
          <w:lang w:val="es-ES"/>
        </w:rPr>
        <w:t>bajo, medio, alto</w:t>
      </w:r>
      <w:r>
        <w:rPr>
          <w:i/>
          <w:lang w:val="es-ES"/>
        </w:rPr>
        <w:t xml:space="preserve"> </w:t>
      </w:r>
      <w:r>
        <w:rPr>
          <w:lang w:val="es-ES"/>
        </w:rPr>
        <w:t>que</w:t>
      </w:r>
      <w:r>
        <w:rPr>
          <w:i/>
          <w:lang w:val="es-ES"/>
        </w:rPr>
        <w:t xml:space="preserve"> </w:t>
      </w:r>
      <w:r>
        <w:rPr>
          <w:lang w:val="es-ES"/>
        </w:rPr>
        <w:t>representan a los intervalos [0, 0.33), [0.33, 0.66) y [0.66, 1] respectivamente.</w:t>
      </w:r>
    </w:p>
    <w:p>
      <w:pPr>
        <w:pStyle w:val="ListParagraph"/>
        <w:rPr/>
      </w:pPr>
      <w:r>
        <w:rPr>
          <w:lang w:val="es-ES"/>
        </w:rPr>
        <w:t xml:space="preserve">Por ejemplo, la clase de prueba </w:t>
      </w:r>
      <w:r>
        <w:rPr>
          <w:lang w:val="es-ES" w:eastAsia="en-US"/>
        </w:rPr>
        <w:t>ER1,</w:t>
      </w:r>
      <w:r>
        <w:rPr>
          <w:lang w:val="es-ES"/>
        </w:rPr>
        <w:t xml:space="preserve"> ver</w:t>
      </w:r>
      <w:r>
        <w:rPr>
          <w:lang w:val="en-US"/>
        </w:rPr>
        <w:t xml:space="preserve"> </w:t>
      </w:r>
      <w:r>
        <w:rPr>
          <w:lang w:val="en-US"/>
        </w:rPr>
        <w:fldChar w:fldCharType="begin"/>
      </w:r>
      <w:r>
        <w:instrText> REF _Ref50293911 \h </w:instrText>
      </w:r>
      <w:r>
        <w:fldChar w:fldCharType="separate"/>
      </w:r>
      <w:r>
        <w:t>Tabla 22</w:t>
      </w:r>
      <w:r>
        <w:fldChar w:fldCharType="end"/>
      </w:r>
      <w:r>
        <w:rPr>
          <w:lang w:val="en-US"/>
        </w:rPr>
        <w:t xml:space="preserve"> del </w:t>
      </w:r>
      <w:r>
        <w:rPr>
          <w:lang w:val="en-US"/>
        </w:rPr>
        <w:fldChar w:fldCharType="begin"/>
      </w:r>
      <w:r>
        <w:instrText> REF _Ref79296896 \h </w:instrText>
      </w:r>
      <w:r>
        <w:fldChar w:fldCharType="separate"/>
      </w:r>
      <w:r>
        <w:t>Anexo 7</w:t>
      </w:r>
      <w:r>
        <w:fldChar w:fldCharType="end"/>
      </w:r>
      <w:r>
        <w:rPr>
          <w:lang w:val="en-US"/>
        </w:rPr>
        <w:t xml:space="preserve">, representa el escenario de resúmenes que tienen cuantificador </w:t>
      </w:r>
      <w:r>
        <w:rPr>
          <w:b/>
          <w:i/>
          <w:lang w:val="en-US"/>
        </w:rPr>
        <w:t>poco</w:t>
      </w:r>
      <w:r>
        <w:rPr>
          <w:lang w:val="en-US"/>
        </w:rPr>
        <w:t xml:space="preserve"> </w:t>
      </w:r>
      <w:bookmarkStart w:id="1436" w:name="_Hlk71016045"/>
      <w:r>
        <w:rPr>
          <w:lang w:val="en-US"/>
        </w:rPr>
        <w:t xml:space="preserve">y al conjunto de objetos </w:t>
      </w:r>
      <w:bookmarkEnd w:id="1436"/>
      <w:r>
        <w:rPr>
          <w:lang w:val="en-US"/>
        </w:rPr>
        <w:t xml:space="preserve">que al ser evaluados en el resumen queden evaluados como </w:t>
      </w:r>
      <w:r>
        <w:rPr>
          <w:b/>
          <w:i/>
          <w:lang w:val="en-US"/>
        </w:rPr>
        <w:t>bajo</w:t>
      </w:r>
      <w:r>
        <w:rPr>
          <w:lang w:val="en-US"/>
        </w:rPr>
        <w:t xml:space="preserve"> respecto a los filtros y como </w:t>
      </w:r>
      <w:r>
        <w:rPr>
          <w:b/>
          <w:i/>
          <w:lang w:val="en-US"/>
        </w:rPr>
        <w:t>bajo</w:t>
      </w:r>
      <w:r>
        <w:rPr>
          <w:lang w:val="en-US"/>
        </w:rPr>
        <w:t xml:space="preserve"> respecto a los sumarizadores. La </w:t>
      </w:r>
      <w:r>
        <w:rPr>
          <w:lang w:val="en-US"/>
        </w:rPr>
        <w:fldChar w:fldCharType="begin"/>
      </w:r>
      <w:r>
        <w:instrText> REF _Ref70152460 \h </w:instrText>
      </w:r>
      <w:r>
        <w:fldChar w:fldCharType="separate"/>
      </w:r>
      <w:r>
        <w:t>Tabla 6</w:t>
      </w:r>
      <w:r>
        <w:fldChar w:fldCharType="end"/>
      </w:r>
      <w:r>
        <w:rPr>
          <w:lang w:val="es-ES"/>
        </w:rPr>
        <w:t xml:space="preserve"> </w:t>
      </w:r>
      <w:r>
        <w:rPr>
          <w:lang w:val="en-US"/>
        </w:rPr>
        <w:t xml:space="preserve">muestra un ejemplo de objeto que pertenece a la clase de prueba </w:t>
      </w:r>
      <w:r>
        <w:rPr/>
        <w:t>ER1</w:t>
      </w:r>
      <w:r>
        <w:rPr>
          <w:lang w:val="es-ES"/>
        </w:rPr>
        <w:t>. En esta tabla se representa un resumen formado por dos filtros (R1, R2), dos sumarizadores (S1, S2) y el objeto 1, que al ser evaluado en este resumen, obtiene baja evaluación de pertenencia tanto en filtros como en sumarizadores, porque los valores de evaluación están en el intervalo de [0, 0.33).</w:t>
      </w:r>
      <w:r>
        <w:rPr>
          <w:lang w:val="en-US"/>
        </w:rPr>
        <w:t xml:space="preserve"> </w:t>
      </w:r>
    </w:p>
    <w:p>
      <w:pPr>
        <w:pStyle w:val="Caption1"/>
        <w:keepNext/>
        <w:rPr/>
      </w:pPr>
      <w:bookmarkStart w:id="1437" w:name="_Ref70152455"/>
      <w:bookmarkStart w:id="1438" w:name="_Toc84598976"/>
      <w:bookmarkStart w:id="1439" w:name="_Ref70152460"/>
      <w:r>
        <w:rPr/>
        <w:t xml:space="preserve">Tabla </w:t>
      </w:r>
      <w:r>
        <w:rPr/>
        <w:fldChar w:fldCharType="begin"/>
      </w:r>
      <w:r>
        <w:instrText> SEQ Tabla \* ARABIC </w:instrText>
      </w:r>
      <w:r>
        <w:fldChar w:fldCharType="separate"/>
      </w:r>
      <w:r>
        <w:t>6</w:t>
      </w:r>
      <w:r>
        <w:fldChar w:fldCharType="end"/>
      </w:r>
      <w:bookmarkEnd w:id="1437"/>
      <w:bookmarkEnd w:id="1438"/>
      <w:bookmarkEnd w:id="1439"/>
      <w:r>
        <w:rPr/>
        <w:t>: Ejemplo de descripción de un objeto de la clase de prueba ER1.</w:t>
      </w:r>
    </w:p>
    <w:tbl>
      <w:tblPr>
        <w:tblW w:w="8116" w:type="dxa"/>
        <w:jc w:val="righ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3" w:type="dxa"/>
          <w:bottom w:w="0" w:type="dxa"/>
          <w:right w:w="108" w:type="dxa"/>
        </w:tblCellMar>
        <w:tblLook w:val="04a0" w:noVBand="1" w:noHBand="0" w:lastColumn="0" w:firstColumn="1" w:lastRow="0" w:firstRow="1"/>
      </w:tblPr>
      <w:tblGrid>
        <w:gridCol w:w="831"/>
        <w:gridCol w:w="607"/>
        <w:gridCol w:w="607"/>
        <w:gridCol w:w="607"/>
        <w:gridCol w:w="607"/>
        <w:gridCol w:w="607"/>
        <w:gridCol w:w="607"/>
        <w:gridCol w:w="607"/>
        <w:gridCol w:w="607"/>
        <w:gridCol w:w="607"/>
        <w:gridCol w:w="608"/>
        <w:gridCol w:w="607"/>
        <w:gridCol w:w="606"/>
      </w:tblGrid>
      <w:tr>
        <w:trPr>
          <w:trHeight w:val="321" w:hRule="atLeast"/>
        </w:trPr>
        <w:tc>
          <w:tcPr>
            <w:tcW w:w="8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eastAsia="en-US"/>
              </w:rPr>
            </w:pPr>
            <w:r>
              <w:rPr>
                <w:rFonts w:cs="Times New Roman" w:ascii="Calibri" w:hAnsi="Calibri"/>
                <w:bCs w:val="false"/>
                <w:lang w:eastAsia="en-US"/>
              </w:rPr>
            </w:r>
          </w:p>
        </w:tc>
        <w:tc>
          <w:tcPr>
            <w:tcW w:w="2428"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eastAsia="en-US"/>
              </w:rPr>
            </w:pPr>
            <w:r>
              <w:rPr>
                <w:rFonts w:cs="Times New Roman" w:ascii="Calibri" w:hAnsi="Calibri"/>
                <w:bCs w:val="false"/>
                <w:lang w:val="en-US" w:eastAsia="en-US"/>
              </w:rPr>
              <w:t>μ</w:t>
            </w:r>
            <w:r>
              <w:rPr>
                <w:rFonts w:cs="Times New Roman" w:ascii="Calibri" w:hAnsi="Calibri"/>
                <w:bCs w:val="false"/>
                <w:vertAlign w:val="subscript"/>
                <w:lang w:eastAsia="en-US"/>
              </w:rPr>
              <w:t>M</w:t>
            </w:r>
            <w:r>
              <w:rPr>
                <w:rFonts w:cs="Times New Roman" w:ascii="Calibri" w:hAnsi="Calibri"/>
                <w:bCs w:val="false"/>
                <w:lang w:eastAsia="en-US"/>
              </w:rPr>
              <w:t>(x) Pertenencia</w:t>
            </w:r>
          </w:p>
        </w:tc>
        <w:tc>
          <w:tcPr>
            <w:tcW w:w="2428"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eastAsia="Symbol" w:cs="Symbol" w:ascii="Symbol" w:hAnsi="Symbol"/>
                <w:i/>
                <w:sz w:val="24"/>
                <w:szCs w:val="24"/>
                <w:lang w:val="x-none" w:eastAsia="en-US"/>
              </w:rPr>
              <w:t></w:t>
            </w:r>
            <w:r>
              <w:rPr>
                <w:rFonts w:cs="Times New Roman" w:ascii="Calibri" w:hAnsi="Calibri"/>
                <w:bCs w:val="false"/>
                <w:vertAlign w:val="subscript"/>
                <w:lang w:val="en-US" w:eastAsia="en-US"/>
              </w:rPr>
              <w:t>M</w:t>
            </w:r>
            <w:r>
              <w:rPr>
                <w:rFonts w:cs="Times New Roman" w:ascii="Calibri" w:hAnsi="Calibri"/>
                <w:bCs w:val="false"/>
                <w:lang w:val="en-US" w:eastAsia="en-US"/>
              </w:rPr>
              <w:t xml:space="preserve"> </w:t>
            </w:r>
            <w:r>
              <w:rPr>
                <w:rFonts w:cs="Times New Roman" w:ascii="Calibri" w:hAnsi="Calibri"/>
                <w:bCs w:val="false"/>
                <w:lang w:eastAsia="en-US"/>
              </w:rPr>
              <w:t>(x) Inde</w:t>
            </w:r>
            <w:r>
              <w:rPr>
                <w:rFonts w:cs="Times New Roman" w:ascii="Calibri" w:hAnsi="Calibri"/>
                <w:bCs w:val="false"/>
                <w:lang w:val="en-US" w:eastAsia="en-US"/>
              </w:rPr>
              <w:t>terminación</w:t>
            </w:r>
          </w:p>
        </w:tc>
        <w:tc>
          <w:tcPr>
            <w:tcW w:w="2428"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 xml:space="preserve"> </w:t>
            </w:r>
            <w:r>
              <w:rPr>
                <w:rFonts w:cs="Times New Roman" w:ascii="Calibri" w:hAnsi="Calibri"/>
                <w:bCs w:val="false"/>
                <w:lang w:val="en-US" w:eastAsia="en-US"/>
              </w:rPr>
              <w:t>σ</w:t>
            </w:r>
            <w:r>
              <w:rPr>
                <w:rFonts w:cs="Times New Roman" w:ascii="Calibri" w:hAnsi="Calibri"/>
                <w:bCs w:val="false"/>
                <w:vertAlign w:val="subscript"/>
                <w:lang w:eastAsia="en-US"/>
              </w:rPr>
              <w:t>M</w:t>
            </w:r>
            <w:r>
              <w:rPr>
                <w:rFonts w:cs="Times New Roman" w:ascii="Calibri" w:hAnsi="Calibri"/>
                <w:bCs w:val="false"/>
                <w:lang w:val="en-US" w:eastAsia="en-US"/>
              </w:rPr>
              <w:t>(x) No pertenencia</w:t>
            </w:r>
          </w:p>
        </w:tc>
      </w:tr>
      <w:tr>
        <w:trPr>
          <w:trHeight w:val="331" w:hRule="atLeast"/>
        </w:trPr>
        <w:tc>
          <w:tcPr>
            <w:tcW w:w="8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Objeto</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R1</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R2</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S1</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S2</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R1</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R2</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S1</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S2</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R1</w:t>
            </w:r>
          </w:p>
        </w:tc>
        <w:tc>
          <w:tcPr>
            <w:tcW w:w="6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R2</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R1</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S2</w:t>
            </w:r>
          </w:p>
        </w:tc>
      </w:tr>
      <w:tr>
        <w:trPr>
          <w:trHeight w:val="300" w:hRule="atLeast"/>
        </w:trPr>
        <w:tc>
          <w:tcPr>
            <w:tcW w:w="8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1</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0.15</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0.23</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0.23</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0.17</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0.80</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0.72</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0.72</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0.78</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0.72</w:t>
            </w:r>
          </w:p>
        </w:tc>
        <w:tc>
          <w:tcPr>
            <w:tcW w:w="6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0.65</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0.65</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0.71</w:t>
            </w:r>
          </w:p>
        </w:tc>
      </w:tr>
    </w:tbl>
    <w:p>
      <w:pPr>
        <w:pStyle w:val="Normal"/>
        <w:rPr>
          <w:lang w:val="en-US"/>
        </w:rPr>
      </w:pPr>
      <w:r>
        <w:rPr>
          <w:lang w:val="en-US"/>
        </w:rPr>
      </w:r>
    </w:p>
    <w:p>
      <w:pPr>
        <w:pStyle w:val="ListParagraph"/>
        <w:numPr>
          <w:ilvl w:val="0"/>
          <w:numId w:val="14"/>
        </w:numPr>
        <w:rPr/>
      </w:pPr>
      <w:r>
        <w:rPr>
          <w:lang w:val="en-US"/>
        </w:rPr>
        <w:t xml:space="preserve">Cada clase de prueba está conformada por un conjunto de 10 instancias, tal que las primeras 7 representan a objetos que se corresponden con las características de la clase de prueba en cuestión y las otras 3 se generan con valores aleatorios. Un ejemplo de los objetos evaluados en un resumen para la clase de prueba ER1 se muestra en la </w:t>
      </w:r>
      <w:r>
        <w:rPr>
          <w:lang w:val="en-US"/>
        </w:rPr>
        <w:fldChar w:fldCharType="begin"/>
      </w:r>
      <w:r>
        <w:instrText> REF _Ref50124749 \h </w:instrText>
      </w:r>
      <w:r>
        <w:fldChar w:fldCharType="separate"/>
      </w:r>
      <w:r>
        <w:t>Tabla 23</w:t>
      </w:r>
      <w:r>
        <w:fldChar w:fldCharType="end"/>
      </w:r>
      <w:r>
        <w:rPr>
          <w:lang w:val="en-US"/>
        </w:rPr>
        <w:t xml:space="preserve"> del </w:t>
      </w:r>
      <w:r>
        <w:rPr>
          <w:lang w:val="en-US"/>
        </w:rPr>
        <w:fldChar w:fldCharType="begin"/>
      </w:r>
      <w:r>
        <w:instrText> REF _Ref79296896 \h </w:instrText>
      </w:r>
      <w:r>
        <w:fldChar w:fldCharType="separate"/>
      </w:r>
      <w:r>
        <w:t>Anexo 7</w:t>
      </w:r>
      <w:r>
        <w:fldChar w:fldCharType="end"/>
      </w:r>
      <w:r>
        <w:rPr>
          <w:lang w:val="en-US"/>
        </w:rPr>
        <w:t>.</w:t>
      </w:r>
    </w:p>
    <w:p>
      <w:pPr>
        <w:pStyle w:val="ListParagraph"/>
        <w:numPr>
          <w:ilvl w:val="0"/>
          <w:numId w:val="14"/>
        </w:numPr>
        <w:rPr/>
      </w:pPr>
      <w:r>
        <w:rPr>
          <w:lang w:val="es-ES"/>
        </w:rPr>
        <w:t xml:space="preserve">Para representar el cuantificador en los escenarios de prueba, se emplea una variable lingüística formada por tres conjuntos borrosos representados en el </w:t>
      </w:r>
      <w:r>
        <w:rPr>
          <w:lang w:val="es-ES"/>
        </w:rPr>
        <w:fldChar w:fldCharType="begin"/>
      </w:r>
      <w:r>
        <w:instrText> REF _Ref79296896 \h </w:instrText>
      </w:r>
      <w:r>
        <w:fldChar w:fldCharType="separate"/>
      </w:r>
      <w:r>
        <w:t>Anexo 7</w:t>
      </w:r>
      <w:r>
        <w:fldChar w:fldCharType="end"/>
      </w:r>
      <w:r>
        <w:rPr/>
        <w:t xml:space="preserve"> </w:t>
      </w:r>
      <w:r>
        <w:rPr/>
        <w:fldChar w:fldCharType="begin"/>
      </w:r>
      <w:r>
        <w:instrText> REF _Ref79297961 \h </w:instrText>
      </w:r>
      <w:r>
        <w:fldChar w:fldCharType="separate"/>
      </w:r>
      <w:r>
        <w:t>Figura 37</w:t>
      </w:r>
      <w:r>
        <w:fldChar w:fldCharType="end"/>
      </w:r>
      <w:r>
        <w:rPr>
          <w:lang w:val="en-US"/>
        </w:rPr>
        <w:t>.</w:t>
      </w:r>
      <w:r>
        <w:rPr>
          <w:lang w:val="es-ES"/>
        </w:rPr>
        <w:t xml:space="preserve"> Se definen solo 3 conjuntos lingüísticos para no introducir una innecesaria complejidad en la experimentación con un aumento de clases de prueba.</w:t>
      </w:r>
    </w:p>
    <w:p>
      <w:pPr>
        <w:pStyle w:val="ListParagraph"/>
        <w:numPr>
          <w:ilvl w:val="0"/>
          <w:numId w:val="14"/>
        </w:numPr>
        <w:rPr/>
      </w:pPr>
      <w:r>
        <w:rPr>
          <w:lang w:val="es-ES"/>
        </w:rPr>
        <w:t>Las clases de prueba ER28 y ER29 representan clases porosas, es decir, clases cuyos objetos, al evaluarse en el resumen, tienen muchos valores iguales a cero en los filtros y los sumarizadores.</w:t>
      </w:r>
    </w:p>
    <w:p>
      <w:pPr>
        <w:pStyle w:val="Heading3"/>
        <w:numPr>
          <w:ilvl w:val="2"/>
          <w:numId w:val="80"/>
        </w:numPr>
        <w:rPr/>
      </w:pPr>
      <w:r>
        <w:rPr/>
        <w:t>Análisis del comportamiento del indicador Grado de Verdad y sus extensiones</w:t>
      </w:r>
    </w:p>
    <w:p>
      <w:pPr>
        <w:pStyle w:val="Normal"/>
        <w:rPr/>
      </w:pPr>
      <w:r>
        <w:rPr/>
        <w:t xml:space="preserve">En esta subsección se caracteriza el comportamiento de los indicadores </w:t>
      </w:r>
      <w:r>
        <w:rPr>
          <w:i/>
        </w:rPr>
        <w:t>T</w:t>
      </w:r>
      <w:r>
        <w:rPr>
          <w:i/>
          <w:vertAlign w:val="subscript"/>
        </w:rPr>
        <w:t>1</w:t>
      </w:r>
      <w:r>
        <w:rPr/>
        <w:t xml:space="preserve"> tradicional y la extensión </w:t>
      </w:r>
      <w:r>
        <w:rPr>
          <w:i/>
        </w:rPr>
        <w:t>Te</w:t>
      </w:r>
      <w:r>
        <w:rPr>
          <w:i/>
          <w:vertAlign w:val="subscript"/>
        </w:rPr>
        <w:t>1a</w:t>
      </w:r>
      <w:r>
        <w:rPr>
          <w:i/>
        </w:rPr>
        <w:t xml:space="preserve">. </w:t>
      </w:r>
      <w:r>
        <w:rPr/>
        <w:t xml:space="preserve">La </w:t>
      </w:r>
      <w:r>
        <w:rPr/>
        <w:fldChar w:fldCharType="begin"/>
      </w:r>
      <w:r>
        <w:instrText> REF _Ref50122563 \h </w:instrText>
      </w:r>
      <w:r>
        <w:fldChar w:fldCharType="separate"/>
      </w:r>
      <w:r>
        <w:t>Figura 5</w:t>
      </w:r>
      <w:r>
        <w:fldChar w:fldCharType="end"/>
      </w:r>
      <w:r>
        <w:rPr/>
        <w:t xml:space="preserve"> grafica estos dos indicadores ante resúmenes del tipo </w:t>
      </w:r>
      <w:r>
        <w:rPr>
          <w:i/>
        </w:rPr>
        <w:t>QRy´s are S</w:t>
      </w:r>
      <w:r>
        <w:rPr/>
        <w:t xml:space="preserve"> mientras que la </w:t>
      </w:r>
      <w:r>
        <w:rPr/>
        <w:fldChar w:fldCharType="begin"/>
      </w:r>
      <w:r>
        <w:instrText> REF _Ref50133833 \h </w:instrText>
      </w:r>
      <w:r>
        <w:fldChar w:fldCharType="separate"/>
      </w:r>
      <w:r>
        <w:t>Figura 6</w:t>
      </w:r>
      <w:r>
        <w:fldChar w:fldCharType="end"/>
      </w:r>
      <w:r>
        <w:rPr/>
        <w:t xml:space="preserve"> muestra el comportamiento ante resúmenes con estructura </w:t>
      </w:r>
      <w:r>
        <w:rPr>
          <w:i/>
        </w:rPr>
        <w:t>Qy´s are S</w:t>
      </w:r>
      <w:r>
        <w:rPr/>
        <w:t>, es decir, resúmenes con filtro y sin filtro respectivamente.</w:t>
      </w:r>
    </w:p>
    <w:p>
      <w:pPr>
        <w:pStyle w:val="Normal"/>
        <w:rPr/>
      </w:pPr>
      <w:r>
        <w:rPr/>
        <w:t>Para el análisis del comportamiento de los indicadores, nos concentramos en el análisis lógico de la respuesta esperada de los mismos según su semántica y la respuesta real ante los objetos de la clase de prueba.</w:t>
      </w:r>
    </w:p>
    <w:p>
      <w:pPr>
        <w:pStyle w:val="Normal"/>
        <w:keepNext/>
        <w:jc w:val="center"/>
        <w:rPr/>
      </w:pPr>
      <w:r>
        <w:rPr/>
        <w:drawing>
          <wp:inline distT="0" distB="0" distL="0" distR="0">
            <wp:extent cx="5793105" cy="1983740"/>
            <wp:effectExtent l="0" t="0" r="0" b="0"/>
            <wp:docPr id="1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Caption1"/>
        <w:rPr/>
      </w:pPr>
      <w:bookmarkStart w:id="1440" w:name="_Toc84599012"/>
      <w:bookmarkStart w:id="1441" w:name="_Ref50122563"/>
      <w:r>
        <w:rPr/>
        <w:t xml:space="preserve">Figura </w:t>
      </w:r>
      <w:r>
        <w:rPr/>
        <w:fldChar w:fldCharType="begin"/>
      </w:r>
      <w:r>
        <w:instrText> SEQ Figura \* ARABIC </w:instrText>
      </w:r>
      <w:r>
        <w:fldChar w:fldCharType="separate"/>
      </w:r>
      <w:r>
        <w:t>5</w:t>
      </w:r>
      <w:r>
        <w:fldChar w:fldCharType="end"/>
      </w:r>
      <w:bookmarkEnd w:id="1441"/>
      <w:r>
        <w:rPr/>
        <w:t xml:space="preserve">: Comportamiento del </w:t>
      </w:r>
      <w:r>
        <w:rPr>
          <w:i/>
        </w:rPr>
        <w:t>T</w:t>
      </w:r>
      <w:r>
        <w:rPr>
          <w:vertAlign w:val="subscript"/>
        </w:rPr>
        <w:t>1</w:t>
      </w:r>
      <w:r>
        <w:rPr/>
        <w:t xml:space="preserve"> y </w:t>
      </w:r>
      <w:r>
        <w:rPr>
          <w:i/>
          <w:iCs/>
        </w:rPr>
        <w:t>Te</w:t>
      </w:r>
      <w:r>
        <w:rPr>
          <w:i/>
          <w:iCs/>
          <w:vertAlign w:val="subscript"/>
        </w:rPr>
        <w:t>1a</w:t>
      </w:r>
      <w:r>
        <w:rPr>
          <w:i/>
          <w:iCs/>
        </w:rPr>
        <w:t xml:space="preserve"> </w:t>
      </w:r>
      <w:bookmarkEnd w:id="1440"/>
      <w:r>
        <w:rPr>
          <w:iCs/>
        </w:rPr>
        <w:t>en resúmenes con filtro.</w:t>
      </w:r>
    </w:p>
    <w:p>
      <w:pPr>
        <w:pStyle w:val="Normal"/>
        <w:rPr/>
      </w:pPr>
      <w:r>
        <w:rPr/>
        <w:t xml:space="preserve">A partir del análisis de la </w:t>
      </w:r>
      <w:r>
        <w:rPr/>
        <w:fldChar w:fldCharType="begin"/>
      </w:r>
      <w:r>
        <w:instrText> REF _Ref50122563 \h </w:instrText>
      </w:r>
      <w:r>
        <w:fldChar w:fldCharType="separate"/>
      </w:r>
      <w:r>
        <w:t>Figura 5</w:t>
      </w:r>
      <w:r>
        <w:fldChar w:fldCharType="end"/>
      </w:r>
      <w:r>
        <w:rPr/>
        <w:t xml:space="preserve"> se identifica que, los resúmenes lingüísticos representados por las clases de prueba desde ER1 hasta ER8, tienen como semántica “pocos objetos que cumplen con los filtros </w:t>
      </w:r>
      <w:r>
        <w:rPr>
          <w:i/>
        </w:rPr>
        <w:t xml:space="preserve">R1 </w:t>
      </w:r>
      <w:r>
        <w:rPr/>
        <w:t xml:space="preserve">y </w:t>
      </w:r>
      <w:r>
        <w:rPr>
          <w:i/>
        </w:rPr>
        <w:t>R2</w:t>
      </w:r>
      <w:r>
        <w:rPr/>
        <w:t xml:space="preserve"> tienen los sumarizadores </w:t>
      </w:r>
      <w:r>
        <w:rPr>
          <w:i/>
        </w:rPr>
        <w:t xml:space="preserve">S1 </w:t>
      </w:r>
      <w:r>
        <w:rPr/>
        <w:t xml:space="preserve">y </w:t>
      </w:r>
      <w:r>
        <w:rPr>
          <w:i/>
        </w:rPr>
        <w:t>S2</w:t>
      </w:r>
      <w:r>
        <w:rPr/>
        <w:t xml:space="preserve">”, por lo que se espera que los indicadores </w:t>
      </w:r>
      <w:r>
        <w:rPr>
          <w:i/>
        </w:rPr>
        <w:t>T</w:t>
      </w:r>
      <w:r>
        <w:rPr>
          <w:i/>
          <w:vertAlign w:val="subscript"/>
        </w:rPr>
        <w:t>1</w:t>
      </w:r>
      <w:r>
        <w:rPr>
          <w:i/>
        </w:rPr>
        <w:t xml:space="preserve"> </w:t>
      </w:r>
      <w:r>
        <w:rPr/>
        <w:t xml:space="preserve">y </w:t>
      </w:r>
      <w:r>
        <w:rPr>
          <w:i/>
        </w:rPr>
        <w:t>Te</w:t>
      </w:r>
      <w:r>
        <w:rPr>
          <w:i/>
          <w:vertAlign w:val="subscript"/>
        </w:rPr>
        <w:t xml:space="preserve">1a </w:t>
      </w:r>
      <w:r>
        <w:rPr/>
        <w:t xml:space="preserve">alcancen valores medios o altos. Esto se infiere porque es cierto que son pocos los objetos que cumplen con esas condiciones, como lo indica el cuantificador; pues en estas clases de prueba, los objetos toman valores bajos o medios de certeza en los conjuntos borrosos de las variables representadas tanto por los filtros como por los sumarizadores. Por tanto, con seguridad se podría decir que es cierto que son pocos los objetos que cumplen con la expresión. En este contexto, nótese cómo el </w:t>
      </w:r>
      <w:r>
        <w:rPr>
          <w:i/>
        </w:rPr>
        <w:t>Te</w:t>
      </w:r>
      <w:r>
        <w:rPr>
          <w:i/>
          <w:vertAlign w:val="subscript"/>
        </w:rPr>
        <w:t xml:space="preserve">1a </w:t>
      </w:r>
      <w:r>
        <w:rPr/>
        <w:t xml:space="preserve">reporta mejor comportamiento que el </w:t>
      </w:r>
      <w:r>
        <w:rPr>
          <w:i/>
        </w:rPr>
        <w:t>T</w:t>
      </w:r>
      <w:r>
        <w:rPr>
          <w:i/>
          <w:vertAlign w:val="subscript"/>
        </w:rPr>
        <w:t>1</w:t>
      </w:r>
      <w:r>
        <w:rPr/>
        <w:t>.</w:t>
      </w:r>
    </w:p>
    <w:p>
      <w:pPr>
        <w:pStyle w:val="Normal"/>
        <w:rPr/>
      </w:pPr>
      <w:r>
        <w:rPr/>
        <w:t xml:space="preserve">Por otro lado, la semántica de los resúmenes lingüísticos representados por las clases de prueba desde ER19 hasta ER26, se interpreta como “la mayoría de los objetos que cumplen con los filtros </w:t>
      </w:r>
      <w:r>
        <w:rPr>
          <w:i/>
        </w:rPr>
        <w:t xml:space="preserve">R1 </w:t>
      </w:r>
      <w:r>
        <w:rPr/>
        <w:t xml:space="preserve">y </w:t>
      </w:r>
      <w:r>
        <w:rPr>
          <w:i/>
        </w:rPr>
        <w:t>R2</w:t>
      </w:r>
      <w:r>
        <w:rPr/>
        <w:t xml:space="preserve"> tienen los sumarizadores </w:t>
      </w:r>
      <w:r>
        <w:rPr>
          <w:i/>
        </w:rPr>
        <w:t xml:space="preserve">S1 </w:t>
      </w:r>
      <w:r>
        <w:rPr/>
        <w:t xml:space="preserve">y </w:t>
      </w:r>
      <w:r>
        <w:rPr>
          <w:i/>
        </w:rPr>
        <w:t>S2</w:t>
      </w:r>
      <w:r>
        <w:rPr/>
        <w:t xml:space="preserve">”. En este caso la respuesta esperada de los indicadores es baja, porque no se corresponde el cuantificador “la mayoría” con la cantidad de objetos que cumplen con las condiciones del resumen; pues en este rango de clases de prueba, también los objetos toman valores bajos o medios de certeza en los conjuntos borrosos de las variables de los filtros y los sumarizadores. En este sentido el </w:t>
      </w:r>
      <w:r>
        <w:rPr>
          <w:i/>
        </w:rPr>
        <w:t>Te</w:t>
      </w:r>
      <w:r>
        <w:rPr>
          <w:i/>
          <w:vertAlign w:val="subscript"/>
        </w:rPr>
        <w:t xml:space="preserve">1a </w:t>
      </w:r>
      <w:r>
        <w:rPr/>
        <w:t>también reporta mejor comportamiento en estas clases de prueba.</w:t>
      </w:r>
    </w:p>
    <w:p>
      <w:pPr>
        <w:pStyle w:val="Normal"/>
        <w:rPr/>
      </w:pPr>
      <w:r>
        <w:rPr/>
        <w:t xml:space="preserve">Siguiendo los razonamientos anteriores, en las clases de prueba ER9, ER11, ER12, ER14, ER15, ER18, ER28 y ER29, el indicador tradicional y la extensión tienen un comportamiento similar y en correspondencia con el resultado esperado; mientras que en la clase ER13 el </w:t>
      </w:r>
      <w:r>
        <w:rPr>
          <w:i/>
        </w:rPr>
        <w:t>Te</w:t>
      </w:r>
      <w:r>
        <w:rPr>
          <w:i/>
          <w:vertAlign w:val="subscript"/>
        </w:rPr>
        <w:t xml:space="preserve">1a </w:t>
      </w:r>
      <w:r>
        <w:rPr/>
        <w:t xml:space="preserve">reportan un mejor comportamiento. Por otra parte, en las clases ER10, ER16, ER17 y ER27 para el juego de datos empleado, el </w:t>
      </w:r>
      <w:r>
        <w:rPr>
          <w:i/>
        </w:rPr>
        <w:t>T</w:t>
      </w:r>
      <w:r>
        <w:rPr>
          <w:i/>
          <w:vertAlign w:val="subscript"/>
        </w:rPr>
        <w:t>1</w:t>
      </w:r>
      <w:r>
        <w:rPr/>
        <w:t xml:space="preserve"> tradicional reporta un mejor comportamiento respecto a la extensión </w:t>
      </w:r>
      <w:r>
        <w:rPr>
          <w:i/>
        </w:rPr>
        <w:t>Te</w:t>
      </w:r>
      <w:r>
        <w:rPr>
          <w:i/>
          <w:vertAlign w:val="subscript"/>
        </w:rPr>
        <w:t>1a</w:t>
      </w:r>
      <w:r>
        <w:rPr>
          <w:i/>
        </w:rPr>
        <w:t xml:space="preserve"> </w:t>
      </w:r>
      <w:r>
        <w:rPr/>
        <w:t>propuesta.</w:t>
      </w:r>
    </w:p>
    <w:p>
      <w:pPr>
        <w:pStyle w:val="Normal"/>
        <w:rPr/>
      </w:pPr>
      <w:r>
        <w:rPr/>
        <w:drawing>
          <wp:inline distT="0" distB="0" distL="0" distR="0">
            <wp:extent cx="5793105" cy="2190750"/>
            <wp:effectExtent l="0" t="0" r="0" b="0"/>
            <wp:docPr id="1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Caption1"/>
        <w:rPr/>
      </w:pPr>
      <w:bookmarkStart w:id="1442" w:name="_Toc84599013"/>
      <w:bookmarkStart w:id="1443" w:name="_Ref50133833"/>
      <w:r>
        <w:rPr/>
        <w:t xml:space="preserve">Figura </w:t>
      </w:r>
      <w:r>
        <w:rPr/>
        <w:fldChar w:fldCharType="begin"/>
      </w:r>
      <w:r>
        <w:instrText> SEQ Figura \* ARABIC </w:instrText>
      </w:r>
      <w:r>
        <w:fldChar w:fldCharType="separate"/>
      </w:r>
      <w:r>
        <w:t>6</w:t>
      </w:r>
      <w:r>
        <w:fldChar w:fldCharType="end"/>
      </w:r>
      <w:bookmarkEnd w:id="1443"/>
      <w:r>
        <w:rPr/>
        <w:t xml:space="preserve">: Comportamiento del </w:t>
      </w:r>
      <w:r>
        <w:rPr>
          <w:i/>
        </w:rPr>
        <w:t>T</w:t>
      </w:r>
      <w:r>
        <w:rPr>
          <w:i/>
          <w:vertAlign w:val="subscript"/>
        </w:rPr>
        <w:t>1</w:t>
      </w:r>
      <w:r>
        <w:rPr/>
        <w:t xml:space="preserve"> y </w:t>
      </w:r>
      <w:r>
        <w:rPr>
          <w:i/>
          <w:iCs/>
        </w:rPr>
        <w:t>Te</w:t>
      </w:r>
      <w:r>
        <w:rPr>
          <w:i/>
          <w:iCs/>
          <w:vertAlign w:val="subscript"/>
        </w:rPr>
        <w:t>1a</w:t>
      </w:r>
      <w:r>
        <w:rPr>
          <w:i/>
          <w:iCs/>
        </w:rPr>
        <w:t xml:space="preserve"> </w:t>
      </w:r>
      <w:bookmarkEnd w:id="1442"/>
      <w:r>
        <w:rPr>
          <w:iCs/>
        </w:rPr>
        <w:t>en resúmenes sin filtro.</w:t>
      </w:r>
    </w:p>
    <w:p>
      <w:pPr>
        <w:pStyle w:val="Normal"/>
        <w:rPr/>
      </w:pPr>
      <w:r>
        <w:rPr/>
        <w:t xml:space="preserve">Para el caso de los resúmenes sin filtro representados en la </w:t>
      </w:r>
      <w:r>
        <w:rPr/>
        <w:fldChar w:fldCharType="begin"/>
      </w:r>
      <w:r>
        <w:instrText> REF _Ref50133833 \h </w:instrText>
      </w:r>
      <w:r>
        <w:fldChar w:fldCharType="separate"/>
      </w:r>
      <w:r>
        <w:t>Figura 6</w:t>
      </w:r>
      <w:r>
        <w:fldChar w:fldCharType="end"/>
      </w:r>
      <w:r>
        <w:rPr/>
        <w:t xml:space="preserve">, se identifica que: ante las clases de prueba ER1, ER4 y ER8, la respuesta de los indicadores </w:t>
      </w:r>
      <w:r>
        <w:rPr>
          <w:i/>
        </w:rPr>
        <w:t>T</w:t>
      </w:r>
      <w:r>
        <w:rPr>
          <w:i/>
          <w:vertAlign w:val="subscript"/>
        </w:rPr>
        <w:t>1</w:t>
      </w:r>
      <w:r>
        <w:rPr>
          <w:i/>
        </w:rPr>
        <w:t xml:space="preserve"> </w:t>
      </w:r>
      <w:r>
        <w:rPr/>
        <w:t xml:space="preserve">y </w:t>
      </w:r>
      <w:r>
        <w:rPr>
          <w:i/>
        </w:rPr>
        <w:t>Te</w:t>
      </w:r>
      <w:r>
        <w:rPr>
          <w:i/>
          <w:vertAlign w:val="subscript"/>
        </w:rPr>
        <w:t xml:space="preserve">1a </w:t>
      </w:r>
      <w:r>
        <w:rPr/>
        <w:t xml:space="preserve">deben alcanzar valores medios o altos. Esto se infiere porque la semántica del resumen en estas clases de prueba se interpreta como “Pocos objetos cumplen con tener valores de sumarizadores S1 y S2”. Esta expresión es cierta porque en estas clases de prueba los sumarizadores de los objetos toman valores bajos o medios de certeza. Por tanto, con seguridad se podría decir que es cierto que son pocos los objetos que cumplen con la expresión. En este contexto, nótese que el </w:t>
      </w:r>
      <w:r>
        <w:rPr>
          <w:i/>
        </w:rPr>
        <w:t>Te</w:t>
      </w:r>
      <w:r>
        <w:rPr>
          <w:i/>
          <w:vertAlign w:val="subscript"/>
        </w:rPr>
        <w:t xml:space="preserve">1a </w:t>
      </w:r>
      <w:r>
        <w:rPr/>
        <w:t xml:space="preserve">tiene un mejor comportamiento respecto al </w:t>
      </w:r>
      <w:r>
        <w:rPr>
          <w:i/>
        </w:rPr>
        <w:t>T</w:t>
      </w:r>
      <w:r>
        <w:rPr>
          <w:i/>
          <w:vertAlign w:val="subscript"/>
        </w:rPr>
        <w:t>1</w:t>
      </w:r>
      <w:r>
        <w:rPr>
          <w:i/>
        </w:rPr>
        <w:t xml:space="preserve"> </w:t>
      </w:r>
      <w:r>
        <w:rPr/>
        <w:t xml:space="preserve">en ER4 y ER8, mientras que en ER1 el </w:t>
      </w:r>
      <w:r>
        <w:rPr>
          <w:i/>
        </w:rPr>
        <w:t>T</w:t>
      </w:r>
      <w:r>
        <w:rPr>
          <w:i/>
          <w:vertAlign w:val="subscript"/>
        </w:rPr>
        <w:t>1</w:t>
      </w:r>
      <w:r>
        <w:rPr>
          <w:i/>
        </w:rPr>
        <w:t xml:space="preserve"> </w:t>
      </w:r>
      <w:r>
        <w:rPr/>
        <w:t>tuvo un mejor comportamiento.</w:t>
      </w:r>
    </w:p>
    <w:p>
      <w:pPr>
        <w:pStyle w:val="Normal"/>
        <w:rPr/>
      </w:pPr>
      <w:r>
        <w:rPr/>
        <w:t xml:space="preserve">En las clases de prueba ER11, ER14 y ER17, la respuesta de los indicadores </w:t>
      </w:r>
      <w:r>
        <w:rPr>
          <w:i/>
        </w:rPr>
        <w:t>T</w:t>
      </w:r>
      <w:r>
        <w:rPr>
          <w:i/>
          <w:vertAlign w:val="subscript"/>
        </w:rPr>
        <w:t>1</w:t>
      </w:r>
      <w:r>
        <w:rPr>
          <w:i/>
        </w:rPr>
        <w:t xml:space="preserve"> </w:t>
      </w:r>
      <w:r>
        <w:rPr/>
        <w:t xml:space="preserve">y </w:t>
      </w:r>
      <w:r>
        <w:rPr>
          <w:i/>
        </w:rPr>
        <w:t>Te</w:t>
      </w:r>
      <w:r>
        <w:rPr>
          <w:i/>
          <w:vertAlign w:val="subscript"/>
        </w:rPr>
        <w:t xml:space="preserve">1a </w:t>
      </w:r>
      <w:r>
        <w:rPr/>
        <w:t xml:space="preserve">deben alcanzar valores medios o altos. Esto se infiere porque la semántica del resumen en estas clases de prueba se interpreta como “Aproximadamente el 50% de los objetos cumplen con tener valores de sumarizadores S1 y S2”. Esta expresión es cierta porque en estas clases de prueba los sumarizadores de los objetos toman valores medios de certeza. Por tanto, con seguridad se podría decir que es cierto que son aproximadamente el 50% de los objetos los que cumplen con la expresión. En este sentido, nótese que en las clases ER11 y ER14 el </w:t>
      </w:r>
      <w:r>
        <w:rPr>
          <w:i/>
        </w:rPr>
        <w:t>Te</w:t>
      </w:r>
      <w:r>
        <w:rPr>
          <w:i/>
          <w:vertAlign w:val="subscript"/>
        </w:rPr>
        <w:t xml:space="preserve">1a </w:t>
      </w:r>
      <w:r>
        <w:rPr/>
        <w:t xml:space="preserve">muestra mejor comportamiento, pues representa valores del conjunto lingüístico “aproximadamente el 50%” y el </w:t>
      </w:r>
      <w:r>
        <w:rPr>
          <w:i/>
        </w:rPr>
        <w:t>T</w:t>
      </w:r>
      <w:r>
        <w:rPr>
          <w:i/>
          <w:vertAlign w:val="subscript"/>
        </w:rPr>
        <w:t xml:space="preserve">1 </w:t>
      </w:r>
      <w:r>
        <w:rPr/>
        <w:t xml:space="preserve">representa valores altos; mientras que en la clase ER17 es el </w:t>
      </w:r>
      <w:r>
        <w:rPr>
          <w:i/>
        </w:rPr>
        <w:t>T</w:t>
      </w:r>
      <w:r>
        <w:rPr>
          <w:i/>
          <w:vertAlign w:val="subscript"/>
        </w:rPr>
        <w:t>1</w:t>
      </w:r>
      <w:r>
        <w:rPr/>
        <w:t xml:space="preserve"> el que muestra mejor comportamiento.</w:t>
      </w:r>
    </w:p>
    <w:p>
      <w:pPr>
        <w:pStyle w:val="Normal"/>
        <w:rPr/>
      </w:pPr>
      <w:r>
        <w:rPr/>
        <w:t xml:space="preserve">En la clase de prueba ER24 los indicadores </w:t>
      </w:r>
      <w:r>
        <w:rPr>
          <w:i/>
        </w:rPr>
        <w:t>T</w:t>
      </w:r>
      <w:r>
        <w:rPr>
          <w:i/>
          <w:vertAlign w:val="subscript"/>
        </w:rPr>
        <w:t>1</w:t>
      </w:r>
      <w:r>
        <w:rPr>
          <w:i/>
        </w:rPr>
        <w:t xml:space="preserve"> </w:t>
      </w:r>
      <w:r>
        <w:rPr/>
        <w:t xml:space="preserve">y </w:t>
      </w:r>
      <w:r>
        <w:rPr>
          <w:i/>
        </w:rPr>
        <w:t>Te</w:t>
      </w:r>
      <w:r>
        <w:rPr>
          <w:i/>
          <w:vertAlign w:val="subscript"/>
        </w:rPr>
        <w:t>1a</w:t>
      </w:r>
      <w:r>
        <w:rPr>
          <w:i/>
        </w:rPr>
        <w:t xml:space="preserve"> </w:t>
      </w:r>
      <w:r>
        <w:rPr/>
        <w:t xml:space="preserve">deben alcanzar valores altos. Esto se infiere porque la semántica del resumen para este caso se interpreta como “La mayoría de los objetos cumplen con los sumarizadores S1 y S2”. Esta expresión es cierta porque en esta clase de prueba, los sumarizadores toman valores altos de certeza. Por tanto, con seguridad se podría decir que es cierto que la mayoría de los objetos cumplen con la expresión. En este contexto, nótese que el </w:t>
      </w:r>
      <w:r>
        <w:rPr>
          <w:i/>
        </w:rPr>
        <w:t>Te</w:t>
      </w:r>
      <w:r>
        <w:rPr>
          <w:i/>
          <w:vertAlign w:val="subscript"/>
        </w:rPr>
        <w:t xml:space="preserve">1a </w:t>
      </w:r>
      <w:r>
        <w:rPr/>
        <w:t>tiene un mejor comportamiento que el</w:t>
      </w:r>
      <w:r>
        <w:rPr>
          <w:i/>
        </w:rPr>
        <w:t xml:space="preserve"> T</w:t>
      </w:r>
      <w:r>
        <w:rPr>
          <w:i/>
          <w:vertAlign w:val="subscript"/>
        </w:rPr>
        <w:t>1</w:t>
      </w:r>
      <w:r>
        <w:rPr/>
        <w:t>.</w:t>
      </w:r>
    </w:p>
    <w:p>
      <w:pPr>
        <w:pStyle w:val="Normal"/>
        <w:rPr/>
      </w:pPr>
      <w:r>
        <w:rPr/>
        <w:t xml:space="preserve">En las clases de prueba ER28 y ER29 los indicadores </w:t>
      </w:r>
      <w:r>
        <w:rPr>
          <w:i/>
        </w:rPr>
        <w:t>T</w:t>
      </w:r>
      <w:r>
        <w:rPr>
          <w:i/>
          <w:vertAlign w:val="subscript"/>
        </w:rPr>
        <w:t>1</w:t>
      </w:r>
      <w:r>
        <w:rPr>
          <w:i/>
        </w:rPr>
        <w:t xml:space="preserve"> </w:t>
      </w:r>
      <w:r>
        <w:rPr/>
        <w:t xml:space="preserve">y </w:t>
      </w:r>
      <w:r>
        <w:rPr>
          <w:i/>
        </w:rPr>
        <w:t>Te</w:t>
      </w:r>
      <w:r>
        <w:rPr>
          <w:i/>
          <w:vertAlign w:val="subscript"/>
        </w:rPr>
        <w:t>1a</w:t>
      </w:r>
      <w:r>
        <w:rPr>
          <w:i/>
        </w:rPr>
        <w:t xml:space="preserve"> </w:t>
      </w:r>
      <w:r>
        <w:rPr/>
        <w:t xml:space="preserve">deben alcanzar valores bajos. Esto se infiere porque la semántica del resumen en estas clases de prueba se interpreta como “La mayoría de los objetos cumplen con los sumarizadores S1 y S2”. Como estas clases son porosas, al ser evaluados sus objetos en el resumen los valores de los sumarizadores son iguales a cero. Por tanto, se podría decir que no es cierto que la mayoría de los objetos cumplen con la expresión. En este contexto, nótese como el </w:t>
      </w:r>
      <w:r>
        <w:rPr>
          <w:i/>
        </w:rPr>
        <w:t>T</w:t>
      </w:r>
      <w:r>
        <w:rPr>
          <w:i/>
          <w:vertAlign w:val="subscript"/>
        </w:rPr>
        <w:t xml:space="preserve">1 </w:t>
      </w:r>
      <w:r>
        <w:rPr/>
        <w:t xml:space="preserve">tiene un mejor comportamiento que el </w:t>
      </w:r>
      <w:r>
        <w:rPr>
          <w:i/>
        </w:rPr>
        <w:t>Te</w:t>
      </w:r>
      <w:r>
        <w:rPr>
          <w:i/>
          <w:vertAlign w:val="subscript"/>
        </w:rPr>
        <w:t>1a</w:t>
      </w:r>
      <w:r>
        <w:rPr/>
        <w:t>.</w:t>
      </w:r>
    </w:p>
    <w:p>
      <w:pPr>
        <w:pStyle w:val="Normal"/>
        <w:rPr/>
      </w:pPr>
      <w:r>
        <w:rPr/>
        <w:t>En las clases de prueba ER2, ER3, ER5, ER6, ER7, ER9, ER10, ER12, ER13, ER15, ER16, ER18, ER19, ER20, ER21, ER22, ER23, ER25, ER26 y ER27 el indicador tradicional y la extensión tienen un comportamiento similar y en correspondencia con el resultado esperado.</w:t>
      </w:r>
    </w:p>
    <w:p>
      <w:pPr>
        <w:pStyle w:val="Normal"/>
        <w:rPr/>
      </w:pPr>
      <w:r>
        <w:rPr/>
        <w:t xml:space="preserve">Se identifica que los resúmenes con la estructura </w:t>
      </w:r>
      <w:r>
        <w:rPr>
          <w:i/>
        </w:rPr>
        <w:t>QRy´s are S</w:t>
      </w:r>
      <w:r>
        <w:rPr/>
        <w:t xml:space="preserve"> presentan mayores distancias entre las respuestas del </w:t>
      </w:r>
      <w:r>
        <w:rPr>
          <w:i/>
        </w:rPr>
        <w:t>T</w:t>
      </w:r>
      <w:r>
        <w:rPr>
          <w:i/>
          <w:vertAlign w:val="subscript"/>
        </w:rPr>
        <w:t>1</w:t>
      </w:r>
      <w:r>
        <w:rPr/>
        <w:t xml:space="preserve"> y </w:t>
      </w:r>
      <w:r>
        <w:rPr>
          <w:i/>
        </w:rPr>
        <w:t>Te</w:t>
      </w:r>
      <w:r>
        <w:rPr>
          <w:i/>
          <w:vertAlign w:val="subscript"/>
        </w:rPr>
        <w:t xml:space="preserve">1a </w:t>
      </w:r>
      <w:r>
        <w:rPr/>
        <w:t xml:space="preserve">(media de las distancias: 0.42) que en los resúmenes con la estructura </w:t>
      </w:r>
      <w:r>
        <w:rPr>
          <w:i/>
        </w:rPr>
        <w:t xml:space="preserve">Qy´s are S </w:t>
      </w:r>
      <w:r>
        <w:rPr/>
        <w:t>(media de las distancias: 0.29).</w:t>
      </w:r>
    </w:p>
    <w:p>
      <w:pPr>
        <w:pStyle w:val="Heading3"/>
        <w:numPr>
          <w:ilvl w:val="2"/>
          <w:numId w:val="80"/>
        </w:numPr>
        <w:rPr/>
      </w:pPr>
      <w:r>
        <w:rPr/>
        <w:t>Análisis del comportamiento del indicador Grado de Soporte y su extensión</w:t>
      </w:r>
    </w:p>
    <w:p>
      <w:pPr>
        <w:pStyle w:val="Normal"/>
        <w:rPr/>
      </w:pPr>
      <w:r>
        <w:rPr/>
        <w:t xml:space="preserve">En esta subsección se caracteriza el comportamiento de los indicadores </w:t>
      </w:r>
      <w:r>
        <w:rPr>
          <w:i/>
        </w:rPr>
        <w:t>T</w:t>
      </w:r>
      <w:r>
        <w:rPr>
          <w:i/>
          <w:vertAlign w:val="subscript"/>
        </w:rPr>
        <w:t>3</w:t>
      </w:r>
      <w:r>
        <w:rPr/>
        <w:t xml:space="preserve"> tradicional y la extensión </w:t>
      </w:r>
      <w:r>
        <w:rPr>
          <w:i/>
        </w:rPr>
        <w:t>Te</w:t>
      </w:r>
      <w:r>
        <w:rPr>
          <w:i/>
          <w:vertAlign w:val="subscript"/>
        </w:rPr>
        <w:t>3</w:t>
      </w:r>
      <w:r>
        <w:rPr>
          <w:i/>
        </w:rPr>
        <w:t xml:space="preserve">. </w:t>
      </w:r>
      <w:r>
        <w:rPr/>
        <w:t xml:space="preserve">A partir del análisis de la </w:t>
      </w:r>
      <w:r>
        <w:rPr/>
        <w:fldChar w:fldCharType="begin"/>
      </w:r>
      <w:r>
        <w:instrText> REF _Ref79598282 \h </w:instrText>
      </w:r>
      <w:r>
        <w:fldChar w:fldCharType="separate"/>
      </w:r>
      <w:r>
        <w:t>Figura 7</w:t>
      </w:r>
      <w:r>
        <w:fldChar w:fldCharType="end"/>
      </w:r>
      <w:r>
        <w:rPr/>
        <w:t xml:space="preserve">, se puede decir que el indicador </w:t>
      </w:r>
      <w:r>
        <w:rPr>
          <w:i/>
        </w:rPr>
        <w:t>T</w:t>
      </w:r>
      <w:r>
        <w:rPr>
          <w:i/>
          <w:vertAlign w:val="subscript"/>
        </w:rPr>
        <w:t>3</w:t>
      </w:r>
      <w:r>
        <w:rPr/>
        <w:t xml:space="preserve"> prácticamente no refleja variaciones, lo cual no es un buen comportamiento. </w:t>
      </w:r>
      <w:bookmarkStart w:id="1444" w:name="_Ref68982228"/>
      <w:r>
        <w:rPr/>
        <w:drawing>
          <wp:inline distT="0" distB="0" distL="0" distR="0">
            <wp:extent cx="5534025" cy="1910715"/>
            <wp:effectExtent l="0" t="0" r="0" b="0"/>
            <wp:docPr id="1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Caption1"/>
        <w:rPr/>
      </w:pPr>
      <w:bookmarkStart w:id="1445" w:name="_Toc84599014"/>
      <w:bookmarkStart w:id="1446" w:name="_Ref79598282"/>
      <w:r>
        <w:rPr>
          <w:rStyle w:val="DescripcinCar"/>
        </w:rPr>
        <w:t xml:space="preserve">Figura </w:t>
      </w:r>
      <w:r>
        <w:rPr>
          <w:rStyle w:val="DescripcinCar"/>
        </w:rPr>
        <w:fldChar w:fldCharType="begin"/>
      </w:r>
      <w:r>
        <w:instrText> SEQ Figura \* ARABIC </w:instrText>
      </w:r>
      <w:r>
        <w:fldChar w:fldCharType="separate"/>
      </w:r>
      <w:r>
        <w:t>7</w:t>
      </w:r>
      <w:r>
        <w:fldChar w:fldCharType="end"/>
      </w:r>
      <w:bookmarkEnd w:id="1444"/>
      <w:bookmarkEnd w:id="1446"/>
      <w:r>
        <w:rPr>
          <w:rStyle w:val="DescripcinCar"/>
        </w:rPr>
        <w:t>: Comportamiento del T</w:t>
      </w:r>
      <w:r>
        <w:rPr>
          <w:rStyle w:val="DescripcinCar"/>
          <w:vertAlign w:val="subscript"/>
        </w:rPr>
        <w:t>3</w:t>
      </w:r>
      <w:r>
        <w:rPr>
          <w:rStyle w:val="DescripcinCar"/>
        </w:rPr>
        <w:t xml:space="preserve"> y Te</w:t>
      </w:r>
      <w:r>
        <w:rPr>
          <w:rStyle w:val="DescripcinCar"/>
          <w:vertAlign w:val="subscript"/>
        </w:rPr>
        <w:t>3</w:t>
      </w:r>
      <w:bookmarkEnd w:id="1445"/>
      <w:r>
        <w:rPr>
          <w:rStyle w:val="DescripcinCar"/>
        </w:rPr>
        <w:t>.</w:t>
      </w:r>
    </w:p>
    <w:p>
      <w:pPr>
        <w:pStyle w:val="Normal"/>
        <w:rPr/>
      </w:pPr>
      <w:r>
        <w:rPr/>
        <w:t xml:space="preserve">Como se puede apreciar, el </w:t>
      </w:r>
      <w:r>
        <w:rPr>
          <w:i/>
        </w:rPr>
        <w:t>Te</w:t>
      </w:r>
      <w:r>
        <w:rPr>
          <w:i/>
          <w:vertAlign w:val="subscript"/>
        </w:rPr>
        <w:t>3</w:t>
      </w:r>
      <w:r>
        <w:rPr>
          <w:i/>
        </w:rPr>
        <w:t xml:space="preserve"> </w:t>
      </w:r>
      <w:r>
        <w:rPr/>
        <w:t xml:space="preserve">reporta un mejor comportamiento en la mayoría de las clases de prueba. En las clases donde los datos generados están por debajo del umbral, es esperado que los resultados de este indicador sean bajos. Además, este indicador debe alcanzar valores altos en las clases de prueba ER9, ER18 y ER27 porque es donde hay valores altos tanto en filtros como en sumarizadores, lo cual garantiza que exista un alto soporte para los resúmenes representados en estas clases. El comportamiento de estas clases de prueba es claramente representado por el indicador extendido </w:t>
      </w:r>
      <w:r>
        <w:rPr>
          <w:i/>
        </w:rPr>
        <w:t>Te</w:t>
      </w:r>
      <w:r>
        <w:rPr>
          <w:i/>
          <w:vertAlign w:val="subscript"/>
        </w:rPr>
        <w:t>3</w:t>
      </w:r>
      <w:r>
        <w:rPr/>
        <w:t>.</w:t>
      </w:r>
    </w:p>
    <w:p>
      <w:pPr>
        <w:pStyle w:val="Normal"/>
        <w:jc w:val="left"/>
        <w:rPr/>
      </w:pPr>
      <w:r>
        <w:rPr/>
        <w:t xml:space="preserve">En general, se puede decir que el </w:t>
      </w:r>
      <w:r>
        <w:rPr>
          <w:i/>
        </w:rPr>
        <w:t>Te</w:t>
      </w:r>
      <w:r>
        <w:rPr>
          <w:i/>
          <w:vertAlign w:val="subscript"/>
        </w:rPr>
        <w:t>3</w:t>
      </w:r>
      <w:r>
        <w:rPr>
          <w:i/>
        </w:rPr>
        <w:t xml:space="preserve"> </w:t>
      </w:r>
      <w:r>
        <w:rPr/>
        <w:t>extendido es más estricto que el tradicional, y logra diferenciar mejor los escenarios representados por las clases de prueba.</w:t>
      </w:r>
    </w:p>
    <w:p>
      <w:pPr>
        <w:pStyle w:val="Heading3"/>
        <w:numPr>
          <w:ilvl w:val="2"/>
          <w:numId w:val="80"/>
        </w:numPr>
        <w:rPr/>
      </w:pPr>
      <w:r>
        <w:rPr/>
        <w:t>Análisis del comportamiento del indicador Grado de Adecuación y su extensión</w:t>
      </w:r>
    </w:p>
    <w:p>
      <w:pPr>
        <w:pStyle w:val="Normal"/>
        <w:rPr/>
      </w:pPr>
      <w:r>
        <w:rPr/>
        <w:t xml:space="preserve">En la </w:t>
      </w:r>
      <w:r>
        <w:rPr/>
        <w:fldChar w:fldCharType="begin"/>
      </w:r>
      <w:r>
        <w:instrText> REF _Ref50400100 \h </w:instrText>
      </w:r>
      <w:r>
        <w:fldChar w:fldCharType="separate"/>
      </w:r>
      <w:r>
        <w:t>Figura 8</w:t>
      </w:r>
      <w:r>
        <w:fldChar w:fldCharType="end"/>
      </w:r>
      <w:r>
        <w:rPr/>
        <w:t xml:space="preserve"> se puede observar que en la mayoría de las clases de prueba el </w:t>
      </w:r>
      <w:r>
        <w:rPr>
          <w:i/>
        </w:rPr>
        <w:t>Te</w:t>
      </w:r>
      <w:r>
        <w:rPr>
          <w:i/>
          <w:vertAlign w:val="subscript"/>
        </w:rPr>
        <w:t>4</w:t>
      </w:r>
      <w:r>
        <w:rPr>
          <w:i/>
        </w:rPr>
        <w:t xml:space="preserve"> </w:t>
      </w:r>
      <w:r>
        <w:rPr/>
        <w:t xml:space="preserve">tiene un mayor poder discriminatorio de las diferentes situaciones representadas en las clases de prueba respecto al </w:t>
      </w:r>
      <w:r>
        <w:rPr>
          <w:i/>
        </w:rPr>
        <w:t>T</w:t>
      </w:r>
      <w:r>
        <w:rPr>
          <w:i/>
          <w:vertAlign w:val="subscript"/>
        </w:rPr>
        <w:t>4</w:t>
      </w:r>
      <w:r>
        <w:rPr>
          <w:i/>
        </w:rPr>
        <w:t xml:space="preserve">. </w:t>
      </w:r>
      <w:r>
        <w:rPr/>
        <w:t xml:space="preserve">En las clases ER9, ER18 y ER27 el indicador </w:t>
      </w:r>
      <w:r>
        <w:rPr>
          <w:i/>
        </w:rPr>
        <w:t>Te</w:t>
      </w:r>
      <w:r>
        <w:rPr>
          <w:i/>
          <w:vertAlign w:val="subscript"/>
        </w:rPr>
        <w:t>4</w:t>
      </w:r>
      <w:r>
        <w:rPr>
          <w:i/>
        </w:rPr>
        <w:t xml:space="preserve"> </w:t>
      </w:r>
      <w:r>
        <w:rPr/>
        <w:t xml:space="preserve">presenta picos altos porque los filtros y los sumarizadores presentan altos valores de certeza. En las clases ER28 y ER29 también el </w:t>
      </w:r>
      <w:r>
        <w:rPr>
          <w:i/>
        </w:rPr>
        <w:t>Te</w:t>
      </w:r>
      <w:r>
        <w:rPr>
          <w:i/>
          <w:vertAlign w:val="subscript"/>
        </w:rPr>
        <w:t>4</w:t>
      </w:r>
      <w:r>
        <w:rPr>
          <w:i/>
        </w:rPr>
        <w:t xml:space="preserve"> </w:t>
      </w:r>
      <w:r>
        <w:rPr/>
        <w:t>presenta picos altos porque son clases porosas, donde hay una alta certeza en pocos casos y un bajo soporte.</w:t>
      </w:r>
    </w:p>
    <w:p>
      <w:pPr>
        <w:pStyle w:val="Normal"/>
        <w:rPr/>
      </w:pPr>
      <w:r>
        <w:rPr/>
        <w:drawing>
          <wp:inline distT="0" distB="0" distL="0" distR="0">
            <wp:extent cx="5554980" cy="1903730"/>
            <wp:effectExtent l="0" t="0" r="0" b="0"/>
            <wp:docPr id="1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Caption1"/>
        <w:rPr/>
      </w:pPr>
      <w:bookmarkStart w:id="1447" w:name="_Toc84599015"/>
      <w:bookmarkStart w:id="1448" w:name="_Ref50400100"/>
      <w:r>
        <w:rPr/>
        <w:t xml:space="preserve">Figura </w:t>
      </w:r>
      <w:r>
        <w:rPr/>
        <w:fldChar w:fldCharType="begin"/>
      </w:r>
      <w:r>
        <w:instrText> SEQ Figura \* ARABIC </w:instrText>
      </w:r>
      <w:r>
        <w:fldChar w:fldCharType="separate"/>
      </w:r>
      <w:r>
        <w:t>8</w:t>
      </w:r>
      <w:r>
        <w:fldChar w:fldCharType="end"/>
      </w:r>
      <w:bookmarkEnd w:id="1448"/>
      <w:r>
        <w:rPr/>
        <w:t>: Comportamiento del T</w:t>
      </w:r>
      <w:r>
        <w:rPr>
          <w:vertAlign w:val="subscript"/>
        </w:rPr>
        <w:t>4</w:t>
      </w:r>
      <w:r>
        <w:rPr/>
        <w:t xml:space="preserve"> y Te</w:t>
      </w:r>
      <w:r>
        <w:rPr>
          <w:vertAlign w:val="subscript"/>
        </w:rPr>
        <w:t>4</w:t>
      </w:r>
      <w:bookmarkEnd w:id="1447"/>
      <w:r>
        <w:rPr/>
        <w:t>.</w:t>
      </w:r>
    </w:p>
    <w:p>
      <w:pPr>
        <w:pStyle w:val="Normal"/>
        <w:rPr/>
      </w:pPr>
      <w:r>
        <w:rPr/>
        <w:t xml:space="preserve">En particular el </w:t>
      </w:r>
      <w:r>
        <w:rPr>
          <w:i/>
        </w:rPr>
        <w:t>T</w:t>
      </w:r>
      <w:r>
        <w:rPr>
          <w:i/>
          <w:vertAlign w:val="subscript"/>
        </w:rPr>
        <w:t>4</w:t>
      </w:r>
      <w:r>
        <w:rPr>
          <w:i/>
        </w:rPr>
        <w:t xml:space="preserve"> </w:t>
      </w:r>
      <w:r>
        <w:rPr/>
        <w:t xml:space="preserve">en las clases de prueba ER1 y ER3, tiene un comportamiento no esperado, porque en estos escenarios de prueba se valida con objetos que tienen una baja certeza respecto a la evaluación de los filtros, lo cual implica que exista una baja certeza en la pertenencia del objeto al resumen. Sin embargo, en estos casos se obtiene un valor de </w:t>
      </w:r>
      <w:r>
        <w:rPr>
          <w:i/>
        </w:rPr>
        <w:t>T</w:t>
      </w:r>
      <w:r>
        <w:rPr>
          <w:i/>
          <w:vertAlign w:val="subscript"/>
        </w:rPr>
        <w:t>4</w:t>
      </w:r>
      <w:r>
        <w:rPr/>
        <w:t xml:space="preserve"> mayor que el valor del </w:t>
      </w:r>
      <w:r>
        <w:rPr>
          <w:i/>
        </w:rPr>
        <w:t>Te</w:t>
      </w:r>
      <w:r>
        <w:rPr>
          <w:i/>
          <w:vertAlign w:val="subscript"/>
        </w:rPr>
        <w:t>4</w:t>
      </w:r>
      <w:r>
        <w:rPr>
          <w:i/>
        </w:rPr>
        <w:t xml:space="preserve">, </w:t>
      </w:r>
      <w:r>
        <w:rPr/>
        <w:t xml:space="preserve">cuando el comportamiento esperado es un valor muy bajo del </w:t>
      </w:r>
      <w:r>
        <w:rPr>
          <w:i/>
        </w:rPr>
        <w:t>T</w:t>
      </w:r>
      <w:r>
        <w:rPr>
          <w:i/>
          <w:vertAlign w:val="subscript"/>
        </w:rPr>
        <w:t>4</w:t>
      </w:r>
      <w:r>
        <w:rPr>
          <w:i/>
        </w:rPr>
        <w:t xml:space="preserve">. </w:t>
      </w:r>
      <w:r>
        <w:rPr/>
        <w:t xml:space="preserve">En estas clases de prueba el indicador </w:t>
      </w:r>
      <w:r>
        <w:rPr>
          <w:i/>
        </w:rPr>
        <w:t>Te</w:t>
      </w:r>
      <w:r>
        <w:rPr>
          <w:i/>
          <w:vertAlign w:val="subscript"/>
        </w:rPr>
        <w:t>4</w:t>
      </w:r>
      <w:r>
        <w:rPr>
          <w:i/>
        </w:rPr>
        <w:t xml:space="preserve"> </w:t>
      </w:r>
      <w:r>
        <w:rPr/>
        <w:t xml:space="preserve">tiene un mejor comportamiento que el </w:t>
      </w:r>
      <w:r>
        <w:rPr>
          <w:i/>
        </w:rPr>
        <w:t>T</w:t>
      </w:r>
      <w:r>
        <w:rPr>
          <w:i/>
          <w:vertAlign w:val="subscript"/>
        </w:rPr>
        <w:t>4</w:t>
      </w:r>
      <w:r>
        <w:rPr>
          <w:i/>
        </w:rPr>
        <w:t>.</w:t>
      </w:r>
    </w:p>
    <w:p>
      <w:pPr>
        <w:pStyle w:val="Heading3"/>
        <w:numPr>
          <w:ilvl w:val="2"/>
          <w:numId w:val="80"/>
        </w:numPr>
        <w:rPr/>
      </w:pPr>
      <w:bookmarkStart w:id="1449" w:name="_Ref49974415"/>
      <w:bookmarkEnd w:id="1449"/>
      <w:r>
        <w:rPr/>
        <w:t>Análisis del comportamiento del indicador Longitud de un Resumen y su extensión</w:t>
      </w:r>
    </w:p>
    <w:p>
      <w:pPr>
        <w:pStyle w:val="Normal"/>
        <w:rPr/>
      </w:pPr>
      <w:r>
        <w:rPr/>
        <w:t xml:space="preserve">El análisis del </w:t>
      </w:r>
      <w:r>
        <w:rPr>
          <w:i/>
        </w:rPr>
        <w:t>T</w:t>
      </w:r>
      <w:r>
        <w:rPr>
          <w:vertAlign w:val="subscript"/>
        </w:rPr>
        <w:t>5</w:t>
      </w:r>
      <w:r>
        <w:rPr/>
        <w:t xml:space="preserve"> se aprecia mejor en las curvas representadas en la </w:t>
      </w:r>
      <w:r>
        <w:rPr/>
        <w:fldChar w:fldCharType="begin"/>
      </w:r>
      <w:r>
        <w:instrText> REF _Ref68931954 \h </w:instrText>
      </w:r>
      <w:r>
        <w:fldChar w:fldCharType="separate"/>
      </w:r>
      <w:r>
        <w:t>Figura 9</w:t>
      </w:r>
      <w:r>
        <w:fldChar w:fldCharType="end"/>
      </w:r>
      <w:r>
        <w:rPr/>
        <w:t xml:space="preserve">. Nótese que la curva correspondiente al </w:t>
      </w:r>
      <w:r>
        <w:rPr>
          <w:i/>
        </w:rPr>
        <w:t>T</w:t>
      </w:r>
      <w:r>
        <w:rPr>
          <w:vertAlign w:val="subscript"/>
        </w:rPr>
        <w:t>5</w:t>
      </w:r>
      <w:r>
        <w:rPr/>
        <w:t xml:space="preserve"> </w:t>
      </w:r>
      <w:r>
        <w:rPr>
          <w:iCs/>
        </w:rPr>
        <w:t>tradicional</w:t>
      </w:r>
      <w:r>
        <w:rPr/>
        <w:t xml:space="preserve">, la azul, cae abruptamente. Además, asigna muy alta puntuación (el máximo valor) para resúmenes de tamaño 1; mientras que para resúmenes de tamaño 2 y 3, los más comunes, asigna una baja puntuación. Por otra parte, el </w:t>
      </w:r>
      <w:r>
        <w:rPr>
          <w:i/>
        </w:rPr>
        <w:t>Te</w:t>
      </w:r>
      <w:r>
        <w:rPr>
          <w:vertAlign w:val="subscript"/>
        </w:rPr>
        <w:t>5</w:t>
      </w:r>
      <w:r>
        <w:rPr/>
        <w:t xml:space="preserve"> extendido asigna valores altos a los resúmenes que involucran hasta 4 variables; y la caída de la curva es más suave, con un comportamiento similar a la curva campana. Por ello se concluye que el </w:t>
      </w:r>
      <w:r>
        <w:rPr>
          <w:i/>
        </w:rPr>
        <w:t>Te</w:t>
      </w:r>
      <w:r>
        <w:rPr>
          <w:vertAlign w:val="subscript"/>
        </w:rPr>
        <w:t>5</w:t>
      </w:r>
      <w:r>
        <w:rPr/>
        <w:t xml:space="preserve"> </w:t>
      </w:r>
      <w:r>
        <w:rPr>
          <w:iCs/>
        </w:rPr>
        <w:t>extendido</w:t>
      </w:r>
      <w:r>
        <w:rPr/>
        <w:t xml:space="preserve"> tiene un mejor comportamiento que el </w:t>
      </w:r>
      <w:r>
        <w:rPr>
          <w:i/>
        </w:rPr>
        <w:t>T</w:t>
      </w:r>
      <w:r>
        <w:rPr>
          <w:vertAlign w:val="subscript"/>
        </w:rPr>
        <w:t>5</w:t>
      </w:r>
      <w:r>
        <w:rPr/>
        <w:t xml:space="preserve"> tradicional. </w:t>
      </w:r>
    </w:p>
    <w:p>
      <w:pPr>
        <w:pStyle w:val="Normal"/>
        <w:rPr/>
      </w:pPr>
      <w:r>
        <w:rPr/>
      </w:r>
    </w:p>
    <w:p>
      <w:pPr>
        <w:pStyle w:val="Normal"/>
        <w:spacing w:lineRule="auto" w:line="240" w:before="0" w:after="0"/>
        <w:rPr/>
      </w:pPr>
      <w:r>
        <w:rPr/>
        <mc:AlternateContent>
          <mc:Choice Requires="wps">
            <w:drawing>
              <wp:anchor behindDoc="0" distT="0" distB="0" distL="89535" distR="89535" simplePos="0" locked="0" layoutInCell="1" allowOverlap="1" relativeHeight="31">
                <wp:simplePos x="0" y="0"/>
                <wp:positionH relativeFrom="margin">
                  <wp:posOffset>-68580</wp:posOffset>
                </wp:positionH>
                <wp:positionV relativeFrom="paragraph">
                  <wp:posOffset>168275</wp:posOffset>
                </wp:positionV>
                <wp:extent cx="2094865" cy="2444115"/>
                <wp:effectExtent l="0" t="0" r="0" b="0"/>
                <wp:wrapSquare wrapText="bothSides"/>
                <wp:docPr id="17" name="Frame3"/>
                <a:graphic xmlns:a="http://schemas.openxmlformats.org/drawingml/2006/main">
                  <a:graphicData uri="http://schemas.microsoft.com/office/word/2010/wordprocessingShape">
                    <wps:wsp>
                      <wps:cNvSpPr/>
                      <wps:spPr>
                        <a:xfrm>
                          <a:off x="0" y="0"/>
                          <a:ext cx="2094120" cy="2443320"/>
                        </a:xfrm>
                        <a:prstGeom prst="rect">
                          <a:avLst/>
                        </a:prstGeom>
                        <a:noFill/>
                        <a:ln>
                          <a:noFill/>
                        </a:ln>
                      </wps:spPr>
                      <wps:style>
                        <a:lnRef idx="0"/>
                        <a:fillRef idx="0"/>
                        <a:effectRef idx="0"/>
                        <a:fontRef idx="minor"/>
                      </wps:style>
                      <wps:txbx>
                        <w:txbxContent>
                          <w:tbl>
                            <w:tblPr>
                              <w:tblW w:w="3296" w:type="dxa"/>
                              <w:jc w:val="left"/>
                              <w:tblInd w:w="109" w:type="dxa"/>
                              <w:tblBorders>
                                <w:bottom w:val="single" w:sz="4" w:space="0" w:color="00000A"/>
                                <w:insideH w:val="single" w:sz="4" w:space="0" w:color="00000A"/>
                              </w:tblBorders>
                              <w:tblCellMar>
                                <w:top w:w="0" w:type="dxa"/>
                                <w:left w:w="108" w:type="dxa"/>
                                <w:bottom w:w="0" w:type="dxa"/>
                                <w:right w:w="108" w:type="dxa"/>
                              </w:tblCellMar>
                              <w:tblLook w:val="04a0" w:noVBand="1" w:noHBand="0" w:lastColumn="0" w:firstColumn="1" w:lastRow="0" w:firstRow="1"/>
                            </w:tblPr>
                            <w:tblGrid>
                              <w:gridCol w:w="995"/>
                              <w:gridCol w:w="1195"/>
                              <w:gridCol w:w="1106"/>
                            </w:tblGrid>
                            <w:tr>
                              <w:trPr>
                                <w:trHeight w:val="300" w:hRule="atLeast"/>
                              </w:trPr>
                              <w:tc>
                                <w:tcPr>
                                  <w:tcW w:w="995" w:type="dxa"/>
                                  <w:tcBorders>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450" w:name="__UnoMark__15042_118561941"/>
                                  <w:bookmarkEnd w:id="1450"/>
                                  <w:r>
                                    <w:rPr>
                                      <w:color w:val="00000A"/>
                                      <w:sz w:val="18"/>
                                      <w:szCs w:val="18"/>
                                      <w:lang w:val="en-US" w:eastAsia="en-US"/>
                                    </w:rPr>
                                    <w:t>Tamaño del resumen</w:t>
                                  </w:r>
                                </w:p>
                              </w:tc>
                              <w:tc>
                                <w:tcPr>
                                  <w:tcW w:w="1195" w:type="dxa"/>
                                  <w:tcBorders>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451" w:name="__UnoMark__15043_118561941"/>
                                  <w:bookmarkEnd w:id="1451"/>
                                  <w:r>
                                    <w:rPr>
                                      <w:i/>
                                      <w:color w:val="00000A"/>
                                      <w:sz w:val="18"/>
                                      <w:szCs w:val="18"/>
                                    </w:rPr>
                                    <w:t>T</w:t>
                                  </w:r>
                                  <w:r>
                                    <w:rPr>
                                      <w:color w:val="00000A"/>
                                      <w:sz w:val="18"/>
                                      <w:szCs w:val="18"/>
                                      <w:vertAlign w:val="subscript"/>
                                    </w:rPr>
                                    <w:t xml:space="preserve">5 </w:t>
                                  </w:r>
                                  <w:bookmarkStart w:id="1452" w:name="__UnoMark__15044_118561941"/>
                                  <w:bookmarkEnd w:id="1452"/>
                                  <w:r>
                                    <w:rPr>
                                      <w:color w:val="00000A"/>
                                      <w:sz w:val="18"/>
                                      <w:szCs w:val="18"/>
                                      <w:lang w:val="en-US" w:eastAsia="en-US"/>
                                    </w:rPr>
                                    <w:t>Tradicional</w:t>
                                  </w:r>
                                </w:p>
                              </w:tc>
                              <w:tc>
                                <w:tcPr>
                                  <w:tcW w:w="1106" w:type="dxa"/>
                                  <w:tcBorders>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453" w:name="__UnoMark__15045_118561941"/>
                                  <w:bookmarkEnd w:id="1453"/>
                                  <w:r>
                                    <w:rPr>
                                      <w:i/>
                                      <w:color w:val="00000A"/>
                                      <w:sz w:val="18"/>
                                      <w:szCs w:val="18"/>
                                    </w:rPr>
                                    <w:t>Te</w:t>
                                  </w:r>
                                  <w:r>
                                    <w:rPr>
                                      <w:color w:val="00000A"/>
                                      <w:sz w:val="18"/>
                                      <w:szCs w:val="18"/>
                                      <w:vertAlign w:val="subscript"/>
                                    </w:rPr>
                                    <w:t xml:space="preserve">5 </w:t>
                                  </w:r>
                                  <w:bookmarkStart w:id="1454" w:name="__UnoMark__15046_118561941"/>
                                  <w:bookmarkEnd w:id="1454"/>
                                  <w:r>
                                    <w:rPr>
                                      <w:color w:val="00000A"/>
                                      <w:sz w:val="18"/>
                                      <w:szCs w:val="18"/>
                                      <w:lang w:val="en-US" w:eastAsia="en-US"/>
                                    </w:rPr>
                                    <w:t>Extendido</w:t>
                                  </w:r>
                                </w:p>
                              </w:tc>
                            </w:tr>
                            <w:tr>
                              <w:trPr>
                                <w:trHeight w:val="300" w:hRule="atLeast"/>
                              </w:trPr>
                              <w:tc>
                                <w:tcPr>
                                  <w:tcW w:w="995"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455" w:name="__UnoMark__15048_118561941"/>
                                  <w:bookmarkStart w:id="1456" w:name="__UnoMark__15047_118561941"/>
                                  <w:bookmarkEnd w:id="1455"/>
                                  <w:bookmarkEnd w:id="1456"/>
                                  <w:r>
                                    <w:rPr>
                                      <w:color w:val="00000A"/>
                                      <w:sz w:val="18"/>
                                      <w:szCs w:val="18"/>
                                      <w:lang w:val="en-US" w:eastAsia="en-US"/>
                                    </w:rPr>
                                    <w:t>1</w:t>
                                  </w:r>
                                </w:p>
                              </w:tc>
                              <w:tc>
                                <w:tcPr>
                                  <w:tcW w:w="1195"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457" w:name="__UnoMark__15050_118561941"/>
                                  <w:bookmarkStart w:id="1458" w:name="__UnoMark__15049_118561941"/>
                                  <w:bookmarkEnd w:id="1457"/>
                                  <w:bookmarkEnd w:id="1458"/>
                                  <w:r>
                                    <w:rPr>
                                      <w:color w:val="00000A"/>
                                      <w:sz w:val="18"/>
                                      <w:szCs w:val="18"/>
                                      <w:lang w:val="en-US" w:eastAsia="en-US"/>
                                    </w:rPr>
                                    <w:t>1</w:t>
                                  </w:r>
                                </w:p>
                              </w:tc>
                              <w:tc>
                                <w:tcPr>
                                  <w:tcW w:w="1106"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459" w:name="__UnoMark__15052_118561941"/>
                                  <w:bookmarkStart w:id="1460" w:name="__UnoMark__15051_118561941"/>
                                  <w:bookmarkEnd w:id="1459"/>
                                  <w:bookmarkEnd w:id="1460"/>
                                  <w:r>
                                    <w:rPr>
                                      <w:color w:val="00000A"/>
                                      <w:sz w:val="18"/>
                                      <w:szCs w:val="18"/>
                                      <w:lang w:val="en-US" w:eastAsia="en-US"/>
                                    </w:rPr>
                                    <w:t>0.755</w:t>
                                  </w:r>
                                </w:p>
                              </w:tc>
                            </w:tr>
                            <w:tr>
                              <w:trPr>
                                <w:trHeight w:val="300" w:hRule="atLeast"/>
                              </w:trPr>
                              <w:tc>
                                <w:tcPr>
                                  <w:tcW w:w="995"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461" w:name="__UnoMark__15054_118561941"/>
                                  <w:bookmarkStart w:id="1462" w:name="__UnoMark__15053_118561941"/>
                                  <w:bookmarkEnd w:id="1461"/>
                                  <w:bookmarkEnd w:id="1462"/>
                                  <w:r>
                                    <w:rPr>
                                      <w:color w:val="00000A"/>
                                      <w:sz w:val="18"/>
                                      <w:szCs w:val="18"/>
                                      <w:lang w:val="en-US" w:eastAsia="en-US"/>
                                    </w:rPr>
                                    <w:t>2</w:t>
                                  </w:r>
                                </w:p>
                              </w:tc>
                              <w:tc>
                                <w:tcPr>
                                  <w:tcW w:w="1195"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463" w:name="__UnoMark__15056_118561941"/>
                                  <w:bookmarkStart w:id="1464" w:name="__UnoMark__15055_118561941"/>
                                  <w:bookmarkEnd w:id="1463"/>
                                  <w:bookmarkEnd w:id="1464"/>
                                  <w:r>
                                    <w:rPr>
                                      <w:color w:val="00000A"/>
                                      <w:sz w:val="18"/>
                                      <w:szCs w:val="18"/>
                                      <w:lang w:val="en-US" w:eastAsia="en-US"/>
                                    </w:rPr>
                                    <w:t>0.5</w:t>
                                  </w:r>
                                </w:p>
                              </w:tc>
                              <w:tc>
                                <w:tcPr>
                                  <w:tcW w:w="1106"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465" w:name="__UnoMark__15058_118561941"/>
                                  <w:bookmarkStart w:id="1466" w:name="__UnoMark__15057_118561941"/>
                                  <w:bookmarkEnd w:id="1465"/>
                                  <w:bookmarkEnd w:id="1466"/>
                                  <w:r>
                                    <w:rPr>
                                      <w:color w:val="00000A"/>
                                      <w:sz w:val="18"/>
                                      <w:szCs w:val="18"/>
                                      <w:lang w:val="en-US" w:eastAsia="en-US"/>
                                    </w:rPr>
                                    <w:t>0.969</w:t>
                                  </w:r>
                                </w:p>
                              </w:tc>
                            </w:tr>
                            <w:tr>
                              <w:trPr>
                                <w:trHeight w:val="300" w:hRule="atLeast"/>
                              </w:trPr>
                              <w:tc>
                                <w:tcPr>
                                  <w:tcW w:w="995"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467" w:name="__UnoMark__15060_118561941"/>
                                  <w:bookmarkStart w:id="1468" w:name="__UnoMark__15059_118561941"/>
                                  <w:bookmarkEnd w:id="1467"/>
                                  <w:bookmarkEnd w:id="1468"/>
                                  <w:r>
                                    <w:rPr>
                                      <w:color w:val="00000A"/>
                                      <w:sz w:val="18"/>
                                      <w:szCs w:val="18"/>
                                      <w:lang w:val="en-US" w:eastAsia="en-US"/>
                                    </w:rPr>
                                    <w:t>3</w:t>
                                  </w:r>
                                </w:p>
                              </w:tc>
                              <w:tc>
                                <w:tcPr>
                                  <w:tcW w:w="1195"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469" w:name="__UnoMark__15062_118561941"/>
                                  <w:bookmarkStart w:id="1470" w:name="__UnoMark__15061_118561941"/>
                                  <w:bookmarkEnd w:id="1469"/>
                                  <w:bookmarkEnd w:id="1470"/>
                                  <w:r>
                                    <w:rPr>
                                      <w:color w:val="00000A"/>
                                      <w:sz w:val="18"/>
                                      <w:szCs w:val="18"/>
                                      <w:lang w:val="en-US" w:eastAsia="en-US"/>
                                    </w:rPr>
                                    <w:t>0.25</w:t>
                                  </w:r>
                                </w:p>
                              </w:tc>
                              <w:tc>
                                <w:tcPr>
                                  <w:tcW w:w="1106"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471" w:name="__UnoMark__15064_118561941"/>
                                  <w:bookmarkStart w:id="1472" w:name="__UnoMark__15063_118561941"/>
                                  <w:bookmarkEnd w:id="1471"/>
                                  <w:bookmarkEnd w:id="1472"/>
                                  <w:r>
                                    <w:rPr>
                                      <w:color w:val="00000A"/>
                                      <w:sz w:val="18"/>
                                      <w:szCs w:val="18"/>
                                      <w:lang w:val="en-US" w:eastAsia="en-US"/>
                                    </w:rPr>
                                    <w:t>0.969</w:t>
                                  </w:r>
                                </w:p>
                              </w:tc>
                            </w:tr>
                            <w:tr>
                              <w:trPr>
                                <w:trHeight w:val="300" w:hRule="atLeast"/>
                              </w:trPr>
                              <w:tc>
                                <w:tcPr>
                                  <w:tcW w:w="995"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473" w:name="__UnoMark__15066_118561941"/>
                                  <w:bookmarkStart w:id="1474" w:name="__UnoMark__15065_118561941"/>
                                  <w:bookmarkEnd w:id="1473"/>
                                  <w:bookmarkEnd w:id="1474"/>
                                  <w:r>
                                    <w:rPr>
                                      <w:color w:val="00000A"/>
                                      <w:sz w:val="18"/>
                                      <w:szCs w:val="18"/>
                                      <w:lang w:val="en-US" w:eastAsia="en-US"/>
                                    </w:rPr>
                                    <w:t>4</w:t>
                                  </w:r>
                                </w:p>
                              </w:tc>
                              <w:tc>
                                <w:tcPr>
                                  <w:tcW w:w="1195"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475" w:name="__UnoMark__15068_118561941"/>
                                  <w:bookmarkStart w:id="1476" w:name="__UnoMark__15067_118561941"/>
                                  <w:bookmarkEnd w:id="1475"/>
                                  <w:bookmarkEnd w:id="1476"/>
                                  <w:r>
                                    <w:rPr>
                                      <w:color w:val="00000A"/>
                                      <w:sz w:val="18"/>
                                      <w:szCs w:val="18"/>
                                      <w:lang w:val="en-US" w:eastAsia="en-US"/>
                                    </w:rPr>
                                    <w:t>0.125</w:t>
                                  </w:r>
                                </w:p>
                              </w:tc>
                              <w:tc>
                                <w:tcPr>
                                  <w:tcW w:w="1106"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477" w:name="__UnoMark__15070_118561941"/>
                                  <w:bookmarkStart w:id="1478" w:name="__UnoMark__15069_118561941"/>
                                  <w:bookmarkEnd w:id="1477"/>
                                  <w:bookmarkEnd w:id="1478"/>
                                  <w:r>
                                    <w:rPr>
                                      <w:color w:val="00000A"/>
                                      <w:sz w:val="18"/>
                                      <w:szCs w:val="18"/>
                                      <w:lang w:val="en-US" w:eastAsia="en-US"/>
                                    </w:rPr>
                                    <w:t>0.755</w:t>
                                  </w:r>
                                </w:p>
                              </w:tc>
                            </w:tr>
                            <w:tr>
                              <w:trPr>
                                <w:trHeight w:val="300" w:hRule="atLeast"/>
                              </w:trPr>
                              <w:tc>
                                <w:tcPr>
                                  <w:tcW w:w="995"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479" w:name="__UnoMark__15072_118561941"/>
                                  <w:bookmarkStart w:id="1480" w:name="__UnoMark__15071_118561941"/>
                                  <w:bookmarkEnd w:id="1479"/>
                                  <w:bookmarkEnd w:id="1480"/>
                                  <w:r>
                                    <w:rPr>
                                      <w:color w:val="00000A"/>
                                      <w:sz w:val="18"/>
                                      <w:szCs w:val="18"/>
                                      <w:lang w:val="en-US" w:eastAsia="en-US"/>
                                    </w:rPr>
                                    <w:t>5</w:t>
                                  </w:r>
                                </w:p>
                              </w:tc>
                              <w:tc>
                                <w:tcPr>
                                  <w:tcW w:w="1195"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481" w:name="__UnoMark__15074_118561941"/>
                                  <w:bookmarkStart w:id="1482" w:name="__UnoMark__15073_118561941"/>
                                  <w:bookmarkEnd w:id="1481"/>
                                  <w:bookmarkEnd w:id="1482"/>
                                  <w:r>
                                    <w:rPr>
                                      <w:color w:val="00000A"/>
                                      <w:sz w:val="18"/>
                                      <w:szCs w:val="18"/>
                                      <w:lang w:val="en-US" w:eastAsia="en-US"/>
                                    </w:rPr>
                                    <w:t>0.063</w:t>
                                  </w:r>
                                </w:p>
                              </w:tc>
                              <w:tc>
                                <w:tcPr>
                                  <w:tcW w:w="1106"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483" w:name="__UnoMark__15076_118561941"/>
                                  <w:bookmarkStart w:id="1484" w:name="__UnoMark__15075_118561941"/>
                                  <w:bookmarkEnd w:id="1483"/>
                                  <w:bookmarkEnd w:id="1484"/>
                                  <w:r>
                                    <w:rPr>
                                      <w:color w:val="00000A"/>
                                      <w:sz w:val="18"/>
                                      <w:szCs w:val="18"/>
                                      <w:lang w:val="en-US" w:eastAsia="en-US"/>
                                    </w:rPr>
                                    <w:t>0.458</w:t>
                                  </w:r>
                                </w:p>
                              </w:tc>
                            </w:tr>
                            <w:tr>
                              <w:trPr>
                                <w:trHeight w:val="300" w:hRule="atLeast"/>
                              </w:trPr>
                              <w:tc>
                                <w:tcPr>
                                  <w:tcW w:w="995"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485" w:name="__UnoMark__15078_118561941"/>
                                  <w:bookmarkStart w:id="1486" w:name="__UnoMark__15077_118561941"/>
                                  <w:bookmarkEnd w:id="1485"/>
                                  <w:bookmarkEnd w:id="1486"/>
                                  <w:r>
                                    <w:rPr>
                                      <w:color w:val="00000A"/>
                                      <w:sz w:val="18"/>
                                      <w:szCs w:val="18"/>
                                      <w:lang w:val="en-US" w:eastAsia="en-US"/>
                                    </w:rPr>
                                    <w:t>6</w:t>
                                  </w:r>
                                </w:p>
                              </w:tc>
                              <w:tc>
                                <w:tcPr>
                                  <w:tcW w:w="1195"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487" w:name="__UnoMark__15080_118561941"/>
                                  <w:bookmarkStart w:id="1488" w:name="__UnoMark__15079_118561941"/>
                                  <w:bookmarkEnd w:id="1487"/>
                                  <w:bookmarkEnd w:id="1488"/>
                                  <w:r>
                                    <w:rPr>
                                      <w:color w:val="00000A"/>
                                      <w:sz w:val="18"/>
                                      <w:szCs w:val="18"/>
                                      <w:lang w:val="en-US" w:eastAsia="en-US"/>
                                    </w:rPr>
                                    <w:t>0.031</w:t>
                                  </w:r>
                                </w:p>
                              </w:tc>
                              <w:tc>
                                <w:tcPr>
                                  <w:tcW w:w="1106"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489" w:name="__UnoMark__15082_118561941"/>
                                  <w:bookmarkStart w:id="1490" w:name="__UnoMark__15081_118561941"/>
                                  <w:bookmarkEnd w:id="1489"/>
                                  <w:bookmarkEnd w:id="1490"/>
                                  <w:r>
                                    <w:rPr>
                                      <w:color w:val="00000A"/>
                                      <w:sz w:val="18"/>
                                      <w:szCs w:val="18"/>
                                      <w:lang w:val="en-US" w:eastAsia="en-US"/>
                                    </w:rPr>
                                    <w:t>0.216</w:t>
                                  </w:r>
                                </w:p>
                              </w:tc>
                            </w:tr>
                            <w:tr>
                              <w:trPr>
                                <w:trHeight w:val="407" w:hRule="atLeast"/>
                              </w:trPr>
                              <w:tc>
                                <w:tcPr>
                                  <w:tcW w:w="995"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491" w:name="__UnoMark__15084_118561941"/>
                                  <w:bookmarkStart w:id="1492" w:name="__UnoMark__15083_118561941"/>
                                  <w:bookmarkEnd w:id="1491"/>
                                  <w:bookmarkEnd w:id="1492"/>
                                  <w:r>
                                    <w:rPr>
                                      <w:color w:val="00000A"/>
                                      <w:sz w:val="18"/>
                                      <w:szCs w:val="18"/>
                                      <w:lang w:val="en-US" w:eastAsia="en-US"/>
                                    </w:rPr>
                                    <w:t>7</w:t>
                                  </w:r>
                                </w:p>
                              </w:tc>
                              <w:tc>
                                <w:tcPr>
                                  <w:tcW w:w="1195"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493" w:name="__UnoMark__15086_118561941"/>
                                  <w:bookmarkStart w:id="1494" w:name="__UnoMark__15085_118561941"/>
                                  <w:bookmarkEnd w:id="1493"/>
                                  <w:bookmarkEnd w:id="1494"/>
                                  <w:r>
                                    <w:rPr>
                                      <w:color w:val="00000A"/>
                                      <w:sz w:val="18"/>
                                      <w:szCs w:val="18"/>
                                      <w:lang w:val="en-US" w:eastAsia="en-US"/>
                                    </w:rPr>
                                    <w:t>0.016</w:t>
                                  </w:r>
                                </w:p>
                              </w:tc>
                              <w:tc>
                                <w:tcPr>
                                  <w:tcW w:w="1106"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495" w:name="__UnoMark__15088_118561941"/>
                                  <w:bookmarkStart w:id="1496" w:name="__UnoMark__15087_118561941"/>
                                  <w:bookmarkEnd w:id="1495"/>
                                  <w:bookmarkEnd w:id="1496"/>
                                  <w:r>
                                    <w:rPr>
                                      <w:color w:val="00000A"/>
                                      <w:sz w:val="18"/>
                                      <w:szCs w:val="18"/>
                                      <w:lang w:val="en-US" w:eastAsia="en-US"/>
                                    </w:rPr>
                                    <w:t>0.08</w:t>
                                  </w:r>
                                </w:p>
                              </w:tc>
                            </w:tr>
                            <w:tr>
                              <w:trPr>
                                <w:trHeight w:val="271" w:hRule="atLeast"/>
                              </w:trPr>
                              <w:tc>
                                <w:tcPr>
                                  <w:tcW w:w="995"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497" w:name="__UnoMark__15090_118561941"/>
                                  <w:bookmarkStart w:id="1498" w:name="__UnoMark__15089_118561941"/>
                                  <w:bookmarkEnd w:id="1497"/>
                                  <w:bookmarkEnd w:id="1498"/>
                                  <w:r>
                                    <w:rPr>
                                      <w:color w:val="00000A"/>
                                      <w:sz w:val="18"/>
                                      <w:szCs w:val="18"/>
                                      <w:lang w:val="en-US" w:eastAsia="en-US"/>
                                    </w:rPr>
                                    <w:t>8</w:t>
                                  </w:r>
                                </w:p>
                              </w:tc>
                              <w:tc>
                                <w:tcPr>
                                  <w:tcW w:w="1195"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499" w:name="__UnoMark__15092_118561941"/>
                                  <w:bookmarkStart w:id="1500" w:name="__UnoMark__15091_118561941"/>
                                  <w:bookmarkEnd w:id="1499"/>
                                  <w:bookmarkEnd w:id="1500"/>
                                  <w:r>
                                    <w:rPr>
                                      <w:color w:val="00000A"/>
                                      <w:sz w:val="18"/>
                                      <w:szCs w:val="18"/>
                                      <w:lang w:val="en-US" w:eastAsia="en-US"/>
                                    </w:rPr>
                                    <w:t>0.008</w:t>
                                  </w:r>
                                </w:p>
                              </w:tc>
                              <w:tc>
                                <w:tcPr>
                                  <w:tcW w:w="1106"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501" w:name="__UnoMark__15093_118561941"/>
                                  <w:bookmarkEnd w:id="1501"/>
                                  <w:r>
                                    <w:rPr>
                                      <w:color w:val="00000A"/>
                                      <w:sz w:val="18"/>
                                      <w:szCs w:val="18"/>
                                      <w:lang w:val="en-US" w:eastAsia="en-US"/>
                                    </w:rPr>
                                    <w:t>0.023</w:t>
                                  </w:r>
                                </w:p>
                              </w:tc>
                            </w:tr>
                          </w:tbl>
                          <w:p>
                            <w:pPr>
                              <w:pStyle w:val="FrameContents"/>
                              <w:spacing w:before="80" w:after="60"/>
                              <w:rPr>
                                <w:color w:val="000000"/>
                              </w:rPr>
                            </w:pPr>
                            <w:r>
                              <w:rPr>
                                <w:color w:val="000000"/>
                              </w:rPr>
                            </w:r>
                          </w:p>
                        </w:txbxContent>
                      </wps:txbx>
                      <wps:bodyPr lIns="0" rIns="0" tIns="0" bIns="0">
                        <a:spAutoFit/>
                      </wps:bodyPr>
                    </wps:wsp>
                  </a:graphicData>
                </a:graphic>
              </wp:anchor>
            </w:drawing>
          </mc:Choice>
          <mc:Fallback>
            <w:pict>
              <v:rect id="shape_0" ID="Frame3" stroked="f" style="position:absolute;margin-left:-5.4pt;margin-top:13.25pt;width:164.85pt;height:192.35pt;mso-position-horizontal-relative:margin">
                <w10:wrap type="none"/>
                <v:fill o:detectmouseclick="t" on="false"/>
                <v:stroke color="#3465a4" joinstyle="round" endcap="flat"/>
                <v:textbox>
                  <w:txbxContent>
                    <w:tbl>
                      <w:tblPr>
                        <w:tblW w:w="3296" w:type="dxa"/>
                        <w:jc w:val="left"/>
                        <w:tblInd w:w="109" w:type="dxa"/>
                        <w:tblBorders>
                          <w:bottom w:val="single" w:sz="4" w:space="0" w:color="00000A"/>
                          <w:insideH w:val="single" w:sz="4" w:space="0" w:color="00000A"/>
                        </w:tblBorders>
                        <w:tblCellMar>
                          <w:top w:w="0" w:type="dxa"/>
                          <w:left w:w="108" w:type="dxa"/>
                          <w:bottom w:w="0" w:type="dxa"/>
                          <w:right w:w="108" w:type="dxa"/>
                        </w:tblCellMar>
                        <w:tblLook w:val="04a0" w:noVBand="1" w:noHBand="0" w:lastColumn="0" w:firstColumn="1" w:lastRow="0" w:firstRow="1"/>
                      </w:tblPr>
                      <w:tblGrid>
                        <w:gridCol w:w="995"/>
                        <w:gridCol w:w="1195"/>
                        <w:gridCol w:w="1106"/>
                      </w:tblGrid>
                      <w:tr>
                        <w:trPr>
                          <w:trHeight w:val="300" w:hRule="atLeast"/>
                        </w:trPr>
                        <w:tc>
                          <w:tcPr>
                            <w:tcW w:w="995" w:type="dxa"/>
                            <w:tcBorders>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502" w:name="__UnoMark__15042_118561941"/>
                            <w:bookmarkEnd w:id="1502"/>
                            <w:r>
                              <w:rPr>
                                <w:color w:val="00000A"/>
                                <w:sz w:val="18"/>
                                <w:szCs w:val="18"/>
                                <w:lang w:val="en-US" w:eastAsia="en-US"/>
                              </w:rPr>
                              <w:t>Tamaño del resumen</w:t>
                            </w:r>
                          </w:p>
                        </w:tc>
                        <w:tc>
                          <w:tcPr>
                            <w:tcW w:w="1195" w:type="dxa"/>
                            <w:tcBorders>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503" w:name="__UnoMark__15043_118561941"/>
                            <w:bookmarkEnd w:id="1503"/>
                            <w:r>
                              <w:rPr>
                                <w:i/>
                                <w:color w:val="00000A"/>
                                <w:sz w:val="18"/>
                                <w:szCs w:val="18"/>
                              </w:rPr>
                              <w:t>T</w:t>
                            </w:r>
                            <w:r>
                              <w:rPr>
                                <w:color w:val="00000A"/>
                                <w:sz w:val="18"/>
                                <w:szCs w:val="18"/>
                                <w:vertAlign w:val="subscript"/>
                              </w:rPr>
                              <w:t xml:space="preserve">5 </w:t>
                            </w:r>
                            <w:bookmarkStart w:id="1504" w:name="__UnoMark__15044_118561941"/>
                            <w:bookmarkEnd w:id="1504"/>
                            <w:r>
                              <w:rPr>
                                <w:color w:val="00000A"/>
                                <w:sz w:val="18"/>
                                <w:szCs w:val="18"/>
                                <w:lang w:val="en-US" w:eastAsia="en-US"/>
                              </w:rPr>
                              <w:t>Tradicional</w:t>
                            </w:r>
                          </w:p>
                        </w:tc>
                        <w:tc>
                          <w:tcPr>
                            <w:tcW w:w="1106" w:type="dxa"/>
                            <w:tcBorders>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505" w:name="__UnoMark__15045_118561941"/>
                            <w:bookmarkEnd w:id="1505"/>
                            <w:r>
                              <w:rPr>
                                <w:i/>
                                <w:color w:val="00000A"/>
                                <w:sz w:val="18"/>
                                <w:szCs w:val="18"/>
                              </w:rPr>
                              <w:t>Te</w:t>
                            </w:r>
                            <w:r>
                              <w:rPr>
                                <w:color w:val="00000A"/>
                                <w:sz w:val="18"/>
                                <w:szCs w:val="18"/>
                                <w:vertAlign w:val="subscript"/>
                              </w:rPr>
                              <w:t xml:space="preserve">5 </w:t>
                            </w:r>
                            <w:bookmarkStart w:id="1506" w:name="__UnoMark__15046_118561941"/>
                            <w:bookmarkEnd w:id="1506"/>
                            <w:r>
                              <w:rPr>
                                <w:color w:val="00000A"/>
                                <w:sz w:val="18"/>
                                <w:szCs w:val="18"/>
                                <w:lang w:val="en-US" w:eastAsia="en-US"/>
                              </w:rPr>
                              <w:t>Extendido</w:t>
                            </w:r>
                          </w:p>
                        </w:tc>
                      </w:tr>
                      <w:tr>
                        <w:trPr>
                          <w:trHeight w:val="300" w:hRule="atLeast"/>
                        </w:trPr>
                        <w:tc>
                          <w:tcPr>
                            <w:tcW w:w="995"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507" w:name="__UnoMark__15048_118561941"/>
                            <w:bookmarkStart w:id="1508" w:name="__UnoMark__15047_118561941"/>
                            <w:bookmarkEnd w:id="1507"/>
                            <w:bookmarkEnd w:id="1508"/>
                            <w:r>
                              <w:rPr>
                                <w:color w:val="00000A"/>
                                <w:sz w:val="18"/>
                                <w:szCs w:val="18"/>
                                <w:lang w:val="en-US" w:eastAsia="en-US"/>
                              </w:rPr>
                              <w:t>1</w:t>
                            </w:r>
                          </w:p>
                        </w:tc>
                        <w:tc>
                          <w:tcPr>
                            <w:tcW w:w="1195"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509" w:name="__UnoMark__15050_118561941"/>
                            <w:bookmarkStart w:id="1510" w:name="__UnoMark__15049_118561941"/>
                            <w:bookmarkEnd w:id="1509"/>
                            <w:bookmarkEnd w:id="1510"/>
                            <w:r>
                              <w:rPr>
                                <w:color w:val="00000A"/>
                                <w:sz w:val="18"/>
                                <w:szCs w:val="18"/>
                                <w:lang w:val="en-US" w:eastAsia="en-US"/>
                              </w:rPr>
                              <w:t>1</w:t>
                            </w:r>
                          </w:p>
                        </w:tc>
                        <w:tc>
                          <w:tcPr>
                            <w:tcW w:w="1106"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511" w:name="__UnoMark__15052_118561941"/>
                            <w:bookmarkStart w:id="1512" w:name="__UnoMark__15051_118561941"/>
                            <w:bookmarkEnd w:id="1511"/>
                            <w:bookmarkEnd w:id="1512"/>
                            <w:r>
                              <w:rPr>
                                <w:color w:val="00000A"/>
                                <w:sz w:val="18"/>
                                <w:szCs w:val="18"/>
                                <w:lang w:val="en-US" w:eastAsia="en-US"/>
                              </w:rPr>
                              <w:t>0.755</w:t>
                            </w:r>
                          </w:p>
                        </w:tc>
                      </w:tr>
                      <w:tr>
                        <w:trPr>
                          <w:trHeight w:val="300" w:hRule="atLeast"/>
                        </w:trPr>
                        <w:tc>
                          <w:tcPr>
                            <w:tcW w:w="995"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513" w:name="__UnoMark__15054_118561941"/>
                            <w:bookmarkStart w:id="1514" w:name="__UnoMark__15053_118561941"/>
                            <w:bookmarkEnd w:id="1513"/>
                            <w:bookmarkEnd w:id="1514"/>
                            <w:r>
                              <w:rPr>
                                <w:color w:val="00000A"/>
                                <w:sz w:val="18"/>
                                <w:szCs w:val="18"/>
                                <w:lang w:val="en-US" w:eastAsia="en-US"/>
                              </w:rPr>
                              <w:t>2</w:t>
                            </w:r>
                          </w:p>
                        </w:tc>
                        <w:tc>
                          <w:tcPr>
                            <w:tcW w:w="1195"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515" w:name="__UnoMark__15056_118561941"/>
                            <w:bookmarkStart w:id="1516" w:name="__UnoMark__15055_118561941"/>
                            <w:bookmarkEnd w:id="1515"/>
                            <w:bookmarkEnd w:id="1516"/>
                            <w:r>
                              <w:rPr>
                                <w:color w:val="00000A"/>
                                <w:sz w:val="18"/>
                                <w:szCs w:val="18"/>
                                <w:lang w:val="en-US" w:eastAsia="en-US"/>
                              </w:rPr>
                              <w:t>0.5</w:t>
                            </w:r>
                          </w:p>
                        </w:tc>
                        <w:tc>
                          <w:tcPr>
                            <w:tcW w:w="1106"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517" w:name="__UnoMark__15058_118561941"/>
                            <w:bookmarkStart w:id="1518" w:name="__UnoMark__15057_118561941"/>
                            <w:bookmarkEnd w:id="1517"/>
                            <w:bookmarkEnd w:id="1518"/>
                            <w:r>
                              <w:rPr>
                                <w:color w:val="00000A"/>
                                <w:sz w:val="18"/>
                                <w:szCs w:val="18"/>
                                <w:lang w:val="en-US" w:eastAsia="en-US"/>
                              </w:rPr>
                              <w:t>0.969</w:t>
                            </w:r>
                          </w:p>
                        </w:tc>
                      </w:tr>
                      <w:tr>
                        <w:trPr>
                          <w:trHeight w:val="300" w:hRule="atLeast"/>
                        </w:trPr>
                        <w:tc>
                          <w:tcPr>
                            <w:tcW w:w="995"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519" w:name="__UnoMark__15060_118561941"/>
                            <w:bookmarkStart w:id="1520" w:name="__UnoMark__15059_118561941"/>
                            <w:bookmarkEnd w:id="1519"/>
                            <w:bookmarkEnd w:id="1520"/>
                            <w:r>
                              <w:rPr>
                                <w:color w:val="00000A"/>
                                <w:sz w:val="18"/>
                                <w:szCs w:val="18"/>
                                <w:lang w:val="en-US" w:eastAsia="en-US"/>
                              </w:rPr>
                              <w:t>3</w:t>
                            </w:r>
                          </w:p>
                        </w:tc>
                        <w:tc>
                          <w:tcPr>
                            <w:tcW w:w="1195"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521" w:name="__UnoMark__15062_118561941"/>
                            <w:bookmarkStart w:id="1522" w:name="__UnoMark__15061_118561941"/>
                            <w:bookmarkEnd w:id="1521"/>
                            <w:bookmarkEnd w:id="1522"/>
                            <w:r>
                              <w:rPr>
                                <w:color w:val="00000A"/>
                                <w:sz w:val="18"/>
                                <w:szCs w:val="18"/>
                                <w:lang w:val="en-US" w:eastAsia="en-US"/>
                              </w:rPr>
                              <w:t>0.25</w:t>
                            </w:r>
                          </w:p>
                        </w:tc>
                        <w:tc>
                          <w:tcPr>
                            <w:tcW w:w="1106"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523" w:name="__UnoMark__15064_118561941"/>
                            <w:bookmarkStart w:id="1524" w:name="__UnoMark__15063_118561941"/>
                            <w:bookmarkEnd w:id="1523"/>
                            <w:bookmarkEnd w:id="1524"/>
                            <w:r>
                              <w:rPr>
                                <w:color w:val="00000A"/>
                                <w:sz w:val="18"/>
                                <w:szCs w:val="18"/>
                                <w:lang w:val="en-US" w:eastAsia="en-US"/>
                              </w:rPr>
                              <w:t>0.969</w:t>
                            </w:r>
                          </w:p>
                        </w:tc>
                      </w:tr>
                      <w:tr>
                        <w:trPr>
                          <w:trHeight w:val="300" w:hRule="atLeast"/>
                        </w:trPr>
                        <w:tc>
                          <w:tcPr>
                            <w:tcW w:w="995"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525" w:name="__UnoMark__15066_118561941"/>
                            <w:bookmarkStart w:id="1526" w:name="__UnoMark__15065_118561941"/>
                            <w:bookmarkEnd w:id="1525"/>
                            <w:bookmarkEnd w:id="1526"/>
                            <w:r>
                              <w:rPr>
                                <w:color w:val="00000A"/>
                                <w:sz w:val="18"/>
                                <w:szCs w:val="18"/>
                                <w:lang w:val="en-US" w:eastAsia="en-US"/>
                              </w:rPr>
                              <w:t>4</w:t>
                            </w:r>
                          </w:p>
                        </w:tc>
                        <w:tc>
                          <w:tcPr>
                            <w:tcW w:w="1195"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527" w:name="__UnoMark__15068_118561941"/>
                            <w:bookmarkStart w:id="1528" w:name="__UnoMark__15067_118561941"/>
                            <w:bookmarkEnd w:id="1527"/>
                            <w:bookmarkEnd w:id="1528"/>
                            <w:r>
                              <w:rPr>
                                <w:color w:val="00000A"/>
                                <w:sz w:val="18"/>
                                <w:szCs w:val="18"/>
                                <w:lang w:val="en-US" w:eastAsia="en-US"/>
                              </w:rPr>
                              <w:t>0.125</w:t>
                            </w:r>
                          </w:p>
                        </w:tc>
                        <w:tc>
                          <w:tcPr>
                            <w:tcW w:w="1106"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529" w:name="__UnoMark__15070_118561941"/>
                            <w:bookmarkStart w:id="1530" w:name="__UnoMark__15069_118561941"/>
                            <w:bookmarkEnd w:id="1529"/>
                            <w:bookmarkEnd w:id="1530"/>
                            <w:r>
                              <w:rPr>
                                <w:color w:val="00000A"/>
                                <w:sz w:val="18"/>
                                <w:szCs w:val="18"/>
                                <w:lang w:val="en-US" w:eastAsia="en-US"/>
                              </w:rPr>
                              <w:t>0.755</w:t>
                            </w:r>
                          </w:p>
                        </w:tc>
                      </w:tr>
                      <w:tr>
                        <w:trPr>
                          <w:trHeight w:val="300" w:hRule="atLeast"/>
                        </w:trPr>
                        <w:tc>
                          <w:tcPr>
                            <w:tcW w:w="995"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531" w:name="__UnoMark__15072_118561941"/>
                            <w:bookmarkStart w:id="1532" w:name="__UnoMark__15071_118561941"/>
                            <w:bookmarkEnd w:id="1531"/>
                            <w:bookmarkEnd w:id="1532"/>
                            <w:r>
                              <w:rPr>
                                <w:color w:val="00000A"/>
                                <w:sz w:val="18"/>
                                <w:szCs w:val="18"/>
                                <w:lang w:val="en-US" w:eastAsia="en-US"/>
                              </w:rPr>
                              <w:t>5</w:t>
                            </w:r>
                          </w:p>
                        </w:tc>
                        <w:tc>
                          <w:tcPr>
                            <w:tcW w:w="1195"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533" w:name="__UnoMark__15074_118561941"/>
                            <w:bookmarkStart w:id="1534" w:name="__UnoMark__15073_118561941"/>
                            <w:bookmarkEnd w:id="1533"/>
                            <w:bookmarkEnd w:id="1534"/>
                            <w:r>
                              <w:rPr>
                                <w:color w:val="00000A"/>
                                <w:sz w:val="18"/>
                                <w:szCs w:val="18"/>
                                <w:lang w:val="en-US" w:eastAsia="en-US"/>
                              </w:rPr>
                              <w:t>0.063</w:t>
                            </w:r>
                          </w:p>
                        </w:tc>
                        <w:tc>
                          <w:tcPr>
                            <w:tcW w:w="1106"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535" w:name="__UnoMark__15076_118561941"/>
                            <w:bookmarkStart w:id="1536" w:name="__UnoMark__15075_118561941"/>
                            <w:bookmarkEnd w:id="1535"/>
                            <w:bookmarkEnd w:id="1536"/>
                            <w:r>
                              <w:rPr>
                                <w:color w:val="00000A"/>
                                <w:sz w:val="18"/>
                                <w:szCs w:val="18"/>
                                <w:lang w:val="en-US" w:eastAsia="en-US"/>
                              </w:rPr>
                              <w:t>0.458</w:t>
                            </w:r>
                          </w:p>
                        </w:tc>
                      </w:tr>
                      <w:tr>
                        <w:trPr>
                          <w:trHeight w:val="300" w:hRule="atLeast"/>
                        </w:trPr>
                        <w:tc>
                          <w:tcPr>
                            <w:tcW w:w="995"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537" w:name="__UnoMark__15078_118561941"/>
                            <w:bookmarkStart w:id="1538" w:name="__UnoMark__15077_118561941"/>
                            <w:bookmarkEnd w:id="1537"/>
                            <w:bookmarkEnd w:id="1538"/>
                            <w:r>
                              <w:rPr>
                                <w:color w:val="00000A"/>
                                <w:sz w:val="18"/>
                                <w:szCs w:val="18"/>
                                <w:lang w:val="en-US" w:eastAsia="en-US"/>
                              </w:rPr>
                              <w:t>6</w:t>
                            </w:r>
                          </w:p>
                        </w:tc>
                        <w:tc>
                          <w:tcPr>
                            <w:tcW w:w="1195"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539" w:name="__UnoMark__15080_118561941"/>
                            <w:bookmarkStart w:id="1540" w:name="__UnoMark__15079_118561941"/>
                            <w:bookmarkEnd w:id="1539"/>
                            <w:bookmarkEnd w:id="1540"/>
                            <w:r>
                              <w:rPr>
                                <w:color w:val="00000A"/>
                                <w:sz w:val="18"/>
                                <w:szCs w:val="18"/>
                                <w:lang w:val="en-US" w:eastAsia="en-US"/>
                              </w:rPr>
                              <w:t>0.031</w:t>
                            </w:r>
                          </w:p>
                        </w:tc>
                        <w:tc>
                          <w:tcPr>
                            <w:tcW w:w="1106"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541" w:name="__UnoMark__15082_118561941"/>
                            <w:bookmarkStart w:id="1542" w:name="__UnoMark__15081_118561941"/>
                            <w:bookmarkEnd w:id="1541"/>
                            <w:bookmarkEnd w:id="1542"/>
                            <w:r>
                              <w:rPr>
                                <w:color w:val="00000A"/>
                                <w:sz w:val="18"/>
                                <w:szCs w:val="18"/>
                                <w:lang w:val="en-US" w:eastAsia="en-US"/>
                              </w:rPr>
                              <w:t>0.216</w:t>
                            </w:r>
                          </w:p>
                        </w:tc>
                      </w:tr>
                      <w:tr>
                        <w:trPr>
                          <w:trHeight w:val="407" w:hRule="atLeast"/>
                        </w:trPr>
                        <w:tc>
                          <w:tcPr>
                            <w:tcW w:w="995"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543" w:name="__UnoMark__15084_118561941"/>
                            <w:bookmarkStart w:id="1544" w:name="__UnoMark__15083_118561941"/>
                            <w:bookmarkEnd w:id="1543"/>
                            <w:bookmarkEnd w:id="1544"/>
                            <w:r>
                              <w:rPr>
                                <w:color w:val="00000A"/>
                                <w:sz w:val="18"/>
                                <w:szCs w:val="18"/>
                                <w:lang w:val="en-US" w:eastAsia="en-US"/>
                              </w:rPr>
                              <w:t>7</w:t>
                            </w:r>
                          </w:p>
                        </w:tc>
                        <w:tc>
                          <w:tcPr>
                            <w:tcW w:w="1195"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545" w:name="__UnoMark__15086_118561941"/>
                            <w:bookmarkStart w:id="1546" w:name="__UnoMark__15085_118561941"/>
                            <w:bookmarkEnd w:id="1545"/>
                            <w:bookmarkEnd w:id="1546"/>
                            <w:r>
                              <w:rPr>
                                <w:color w:val="00000A"/>
                                <w:sz w:val="18"/>
                                <w:szCs w:val="18"/>
                                <w:lang w:val="en-US" w:eastAsia="en-US"/>
                              </w:rPr>
                              <w:t>0.016</w:t>
                            </w:r>
                          </w:p>
                        </w:tc>
                        <w:tc>
                          <w:tcPr>
                            <w:tcW w:w="1106"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547" w:name="__UnoMark__15088_118561941"/>
                            <w:bookmarkStart w:id="1548" w:name="__UnoMark__15087_118561941"/>
                            <w:bookmarkEnd w:id="1547"/>
                            <w:bookmarkEnd w:id="1548"/>
                            <w:r>
                              <w:rPr>
                                <w:color w:val="00000A"/>
                                <w:sz w:val="18"/>
                                <w:szCs w:val="18"/>
                                <w:lang w:val="en-US" w:eastAsia="en-US"/>
                              </w:rPr>
                              <w:t>0.08</w:t>
                            </w:r>
                          </w:p>
                        </w:tc>
                      </w:tr>
                      <w:tr>
                        <w:trPr>
                          <w:trHeight w:val="271" w:hRule="atLeast"/>
                        </w:trPr>
                        <w:tc>
                          <w:tcPr>
                            <w:tcW w:w="995"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549" w:name="__UnoMark__15090_118561941"/>
                            <w:bookmarkStart w:id="1550" w:name="__UnoMark__15089_118561941"/>
                            <w:bookmarkEnd w:id="1549"/>
                            <w:bookmarkEnd w:id="1550"/>
                            <w:r>
                              <w:rPr>
                                <w:color w:val="00000A"/>
                                <w:sz w:val="18"/>
                                <w:szCs w:val="18"/>
                                <w:lang w:val="en-US" w:eastAsia="en-US"/>
                              </w:rPr>
                              <w:t>8</w:t>
                            </w:r>
                          </w:p>
                        </w:tc>
                        <w:tc>
                          <w:tcPr>
                            <w:tcW w:w="1195"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551" w:name="__UnoMark__15092_118561941"/>
                            <w:bookmarkStart w:id="1552" w:name="__UnoMark__15091_118561941"/>
                            <w:bookmarkEnd w:id="1551"/>
                            <w:bookmarkEnd w:id="1552"/>
                            <w:r>
                              <w:rPr>
                                <w:color w:val="00000A"/>
                                <w:sz w:val="18"/>
                                <w:szCs w:val="18"/>
                                <w:lang w:val="en-US" w:eastAsia="en-US"/>
                              </w:rPr>
                              <w:t>0.008</w:t>
                            </w:r>
                          </w:p>
                        </w:tc>
                        <w:tc>
                          <w:tcPr>
                            <w:tcW w:w="1106" w:type="dxa"/>
                            <w:tcBorders>
                              <w:top w:val="single" w:sz="4" w:space="0" w:color="00000A"/>
                              <w:bottom w:val="single" w:sz="4" w:space="0" w:color="00000A"/>
                              <w:insideH w:val="single" w:sz="4" w:space="0" w:color="00000A"/>
                            </w:tcBorders>
                            <w:shd w:color="auto" w:fill="auto" w:val="clear"/>
                            <w:vAlign w:val="bottom"/>
                          </w:tcPr>
                          <w:p>
                            <w:pPr>
                              <w:pStyle w:val="NormalTabla"/>
                              <w:spacing w:before="60" w:after="60"/>
                              <w:jc w:val="center"/>
                              <w:rPr>
                                <w:color w:val="00000A"/>
                              </w:rPr>
                            </w:pPr>
                            <w:bookmarkStart w:id="1553" w:name="__UnoMark__15093_118561941"/>
                            <w:bookmarkEnd w:id="1553"/>
                            <w:r>
                              <w:rPr>
                                <w:color w:val="00000A"/>
                                <w:sz w:val="18"/>
                                <w:szCs w:val="18"/>
                                <w:lang w:val="en-US" w:eastAsia="en-US"/>
                              </w:rPr>
                              <w:t>0.023</w:t>
                            </w:r>
                          </w:p>
                        </w:tc>
                      </w:tr>
                    </w:tbl>
                    <w:p>
                      <w:pPr>
                        <w:pStyle w:val="FrameContents"/>
                        <w:spacing w:before="80" w:after="60"/>
                        <w:rPr>
                          <w:color w:val="000000"/>
                        </w:rPr>
                      </w:pPr>
                      <w:r>
                        <w:rPr>
                          <w:color w:val="000000"/>
                        </w:rPr>
                      </w:r>
                    </w:p>
                  </w:txbxContent>
                </v:textbox>
              </v:rect>
            </w:pict>
          </mc:Fallback>
        </mc:AlternateContent>
      </w:r>
    </w:p>
    <w:p>
      <w:pPr>
        <w:pStyle w:val="Normal"/>
        <w:spacing w:lineRule="auto" w:line="240" w:before="0" w:after="0"/>
        <w:rPr/>
      </w:pPr>
      <w:r>
        <w:rPr/>
        <w:drawing>
          <wp:inline distT="0" distB="0" distL="0" distR="0">
            <wp:extent cx="3072130" cy="2349500"/>
            <wp:effectExtent l="0" t="0" r="0" b="0"/>
            <wp:docPr id="1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Normal"/>
        <w:spacing w:lineRule="auto" w:line="240" w:before="0" w:after="0"/>
        <w:jc w:val="center"/>
        <w:rPr/>
      </w:pPr>
      <w:bookmarkStart w:id="1554" w:name="_Toc84599016"/>
      <w:bookmarkStart w:id="1555" w:name="_Ref68931954"/>
      <w:r>
        <w:rPr>
          <w:sz w:val="21"/>
          <w:szCs w:val="21"/>
        </w:rPr>
        <w:t xml:space="preserve">Figura </w:t>
      </w:r>
      <w:r>
        <w:rPr>
          <w:sz w:val="21"/>
          <w:szCs w:val="21"/>
        </w:rPr>
        <w:fldChar w:fldCharType="begin"/>
      </w:r>
      <w:r>
        <w:instrText> SEQ Figura \* ARABIC </w:instrText>
      </w:r>
      <w:r>
        <w:fldChar w:fldCharType="separate"/>
      </w:r>
      <w:r>
        <w:t>9</w:t>
      </w:r>
      <w:r>
        <w:fldChar w:fldCharType="end"/>
      </w:r>
      <w:bookmarkEnd w:id="1555"/>
      <w:r>
        <w:rPr>
          <w:sz w:val="21"/>
          <w:szCs w:val="21"/>
        </w:rPr>
        <w:t xml:space="preserve">: Curvas del </w:t>
      </w:r>
      <w:r>
        <w:rPr>
          <w:i/>
          <w:sz w:val="21"/>
          <w:szCs w:val="21"/>
        </w:rPr>
        <w:t>T</w:t>
      </w:r>
      <w:r>
        <w:rPr>
          <w:sz w:val="21"/>
          <w:szCs w:val="21"/>
          <w:vertAlign w:val="subscript"/>
        </w:rPr>
        <w:t>5</w:t>
      </w:r>
      <w:r>
        <w:rPr>
          <w:sz w:val="21"/>
          <w:szCs w:val="21"/>
        </w:rPr>
        <w:t xml:space="preserve"> tradicional y </w:t>
      </w:r>
      <w:r>
        <w:rPr>
          <w:i/>
          <w:sz w:val="21"/>
          <w:szCs w:val="21"/>
        </w:rPr>
        <w:t>Te</w:t>
      </w:r>
      <w:r>
        <w:rPr>
          <w:sz w:val="21"/>
          <w:szCs w:val="21"/>
          <w:vertAlign w:val="subscript"/>
        </w:rPr>
        <w:t>5</w:t>
      </w:r>
      <w:bookmarkEnd w:id="1554"/>
      <w:r>
        <w:rPr>
          <w:sz w:val="21"/>
          <w:szCs w:val="21"/>
        </w:rPr>
        <w:t xml:space="preserve"> extendido.</w:t>
      </w:r>
    </w:p>
    <w:p>
      <w:pPr>
        <w:pStyle w:val="Normal"/>
        <w:rPr/>
      </w:pPr>
      <w:r>
        <w:rPr/>
      </w:r>
    </w:p>
    <w:p>
      <w:pPr>
        <w:pStyle w:val="Heading3"/>
        <w:numPr>
          <w:ilvl w:val="2"/>
          <w:numId w:val="80"/>
        </w:numPr>
        <w:rPr/>
      </w:pPr>
      <w:r>
        <w:rPr/>
        <w:t>Resumen de comparación de indicadores respecto a tratamiento de la incertidumbre.</w:t>
      </w:r>
    </w:p>
    <w:p>
      <w:pPr>
        <w:pStyle w:val="Normal"/>
        <w:rPr/>
      </w:pPr>
      <w:r>
        <w:rPr>
          <w:lang w:val="en-US"/>
        </w:rPr>
        <w:t xml:space="preserve">La </w:t>
      </w:r>
      <w:r>
        <w:rPr>
          <w:lang w:val="en-US"/>
        </w:rPr>
        <w:fldChar w:fldCharType="begin"/>
      </w:r>
      <w:r>
        <w:instrText> REF _Ref79246637 \h </w:instrText>
      </w:r>
      <w:r>
        <w:fldChar w:fldCharType="separate"/>
      </w:r>
      <w:r>
        <w:t>Tabla 7</w:t>
      </w:r>
      <w:r>
        <w:fldChar w:fldCharType="end"/>
      </w:r>
      <w:r>
        <w:rPr>
          <w:lang w:val="en-US"/>
        </w:rPr>
        <w:t xml:space="preserve"> muestra una comparación de los indicadores tradicionales y extendidos respecto al tratamiento de la incertidumbre.</w:t>
      </w:r>
    </w:p>
    <w:p>
      <w:pPr>
        <w:pStyle w:val="Caption1"/>
        <w:rPr/>
      </w:pPr>
      <w:bookmarkStart w:id="1556" w:name="_Toc84598977"/>
      <w:bookmarkStart w:id="1557" w:name="_Ref79246637"/>
      <w:r>
        <w:rPr/>
        <w:t xml:space="preserve">Tabla </w:t>
      </w:r>
      <w:r>
        <w:rPr/>
        <w:fldChar w:fldCharType="begin"/>
      </w:r>
      <w:r>
        <w:instrText> SEQ Tabla \* ARABIC </w:instrText>
      </w:r>
      <w:r>
        <w:fldChar w:fldCharType="separate"/>
      </w:r>
      <w:r>
        <w:t>7</w:t>
      </w:r>
      <w:r>
        <w:fldChar w:fldCharType="end"/>
      </w:r>
      <w:bookmarkEnd w:id="1556"/>
      <w:bookmarkEnd w:id="1557"/>
      <w:r>
        <w:rPr/>
        <w:t>: Comparación de indicadores respecto a tratamiento de incertidumbre.</w:t>
      </w:r>
    </w:p>
    <w:tbl>
      <w:tblPr>
        <w:tblStyle w:val="Tablaconcuadrcula"/>
        <w:tblW w:w="9042" w:type="dxa"/>
        <w:jc w:val="center"/>
        <w:tblInd w:w="0" w:type="dxa"/>
        <w:tblCellMar>
          <w:top w:w="0" w:type="dxa"/>
          <w:left w:w="123" w:type="dxa"/>
          <w:bottom w:w="0" w:type="dxa"/>
          <w:right w:w="108" w:type="dxa"/>
        </w:tblCellMar>
        <w:tblLook w:val="04a0" w:noVBand="1" w:noHBand="0" w:lastColumn="0" w:firstColumn="1" w:lastRow="0" w:firstRow="1"/>
      </w:tblPr>
      <w:tblGrid>
        <w:gridCol w:w="1371"/>
        <w:gridCol w:w="573"/>
        <w:gridCol w:w="274"/>
        <w:gridCol w:w="361"/>
        <w:gridCol w:w="31"/>
        <w:gridCol w:w="412"/>
        <w:gridCol w:w="226"/>
        <w:gridCol w:w="164"/>
        <w:gridCol w:w="409"/>
        <w:gridCol w:w="47"/>
        <w:gridCol w:w="602"/>
        <w:gridCol w:w="52"/>
        <w:gridCol w:w="616"/>
        <w:gridCol w:w="42"/>
        <w:gridCol w:w="622"/>
        <w:gridCol w:w="32"/>
        <w:gridCol w:w="636"/>
        <w:gridCol w:w="22"/>
        <w:gridCol w:w="642"/>
        <w:gridCol w:w="12"/>
        <w:gridCol w:w="659"/>
        <w:gridCol w:w="140"/>
        <w:gridCol w:w="481"/>
        <w:gridCol w:w="100"/>
        <w:gridCol w:w="515"/>
      </w:tblGrid>
      <w:tr>
        <w:trPr/>
        <w:tc>
          <w:tcPr>
            <w:tcW w:w="1371" w:type="dxa"/>
            <w:tcBorders>
              <w:left w:val="nil"/>
              <w:bottom w:val="nil"/>
              <w:right w:val="nil"/>
              <w:insideH w:val="nil"/>
              <w:insideV w:val="nil"/>
            </w:tcBorders>
            <w:shd w:color="auto" w:fill="auto" w:val="clear"/>
          </w:tcPr>
          <w:p>
            <w:pPr>
              <w:pStyle w:val="Normal"/>
              <w:spacing w:lineRule="auto" w:line="240" w:before="60" w:after="40"/>
              <w:jc w:val="center"/>
              <w:rPr>
                <w:b/>
                <w:b/>
                <w:bCs w:val="false"/>
                <w:sz w:val="20"/>
                <w:szCs w:val="20"/>
                <w:lang w:val="en-US"/>
              </w:rPr>
            </w:pPr>
            <w:r>
              <w:rPr>
                <w:b/>
                <w:bCs w:val="false"/>
                <w:sz w:val="20"/>
                <w:szCs w:val="20"/>
                <w:lang w:val="en-US"/>
              </w:rPr>
              <w:t>Tratamiento</w:t>
            </w:r>
          </w:p>
        </w:tc>
        <w:tc>
          <w:tcPr>
            <w:tcW w:w="573" w:type="dxa"/>
            <w:tcBorders>
              <w:top w:val="nil"/>
              <w:left w:val="nil"/>
              <w:bottom w:val="nil"/>
              <w:right w:val="nil"/>
              <w:insideH w:val="nil"/>
              <w:insideV w:val="nil"/>
            </w:tcBorders>
            <w:shd w:color="auto" w:fill="auto" w:val="clear"/>
          </w:tcPr>
          <w:p>
            <w:pPr>
              <w:pStyle w:val="Normal"/>
              <w:spacing w:lineRule="auto" w:line="240" w:before="60" w:after="40"/>
              <w:rPr>
                <w:b/>
                <w:b/>
                <w:bCs w:val="false"/>
                <w:sz w:val="20"/>
                <w:szCs w:val="20"/>
                <w:lang w:val="en-US"/>
              </w:rPr>
            </w:pPr>
            <w:r>
              <w:rPr>
                <w:b/>
                <w:bCs w:val="false"/>
                <w:sz w:val="20"/>
                <w:szCs w:val="20"/>
                <w:lang w:val="en-US"/>
              </w:rPr>
              <w:t>T</w:t>
            </w:r>
            <w:r>
              <w:rPr>
                <w:b/>
                <w:bCs w:val="false"/>
                <w:sz w:val="20"/>
                <w:szCs w:val="20"/>
                <w:vertAlign w:val="subscript"/>
                <w:lang w:val="en-US"/>
              </w:rPr>
              <w:t>1</w:t>
            </w:r>
          </w:p>
        </w:tc>
        <w:tc>
          <w:tcPr>
            <w:tcW w:w="635" w:type="dxa"/>
            <w:gridSpan w:val="2"/>
            <w:tcBorders>
              <w:top w:val="nil"/>
              <w:left w:val="nil"/>
              <w:bottom w:val="nil"/>
              <w:right w:val="nil"/>
              <w:insideH w:val="nil"/>
              <w:insideV w:val="nil"/>
            </w:tcBorders>
            <w:shd w:color="auto" w:fill="auto" w:val="clear"/>
          </w:tcPr>
          <w:p>
            <w:pPr>
              <w:pStyle w:val="Normal"/>
              <w:spacing w:lineRule="auto" w:line="240" w:before="60" w:after="40"/>
              <w:rPr>
                <w:b/>
                <w:b/>
                <w:bCs w:val="false"/>
                <w:sz w:val="20"/>
                <w:szCs w:val="20"/>
                <w:lang w:val="en-US"/>
              </w:rPr>
            </w:pPr>
            <w:r>
              <w:rPr>
                <w:b/>
                <w:bCs w:val="false"/>
                <w:sz w:val="20"/>
                <w:szCs w:val="20"/>
                <w:lang w:val="en-US"/>
              </w:rPr>
              <w:t>T</w:t>
            </w:r>
            <w:r>
              <w:rPr>
                <w:b/>
                <w:bCs w:val="false"/>
                <w:sz w:val="20"/>
                <w:szCs w:val="20"/>
                <w:vertAlign w:val="subscript"/>
                <w:lang w:val="en-US"/>
              </w:rPr>
              <w:t>2</w:t>
            </w:r>
          </w:p>
        </w:tc>
        <w:tc>
          <w:tcPr>
            <w:tcW w:w="669" w:type="dxa"/>
            <w:gridSpan w:val="3"/>
            <w:tcBorders>
              <w:top w:val="nil"/>
              <w:left w:val="nil"/>
              <w:bottom w:val="nil"/>
              <w:right w:val="nil"/>
              <w:insideH w:val="nil"/>
              <w:insideV w:val="nil"/>
            </w:tcBorders>
            <w:shd w:color="auto" w:fill="auto" w:val="clear"/>
          </w:tcPr>
          <w:p>
            <w:pPr>
              <w:pStyle w:val="Normal"/>
              <w:spacing w:lineRule="auto" w:line="240" w:before="60" w:after="40"/>
              <w:rPr>
                <w:b/>
                <w:b/>
                <w:bCs w:val="false"/>
                <w:sz w:val="20"/>
                <w:szCs w:val="20"/>
                <w:lang w:val="en-US"/>
              </w:rPr>
            </w:pPr>
            <w:r>
              <w:rPr>
                <w:b/>
                <w:bCs w:val="false"/>
                <w:sz w:val="20"/>
                <w:szCs w:val="20"/>
                <w:lang w:val="en-US"/>
              </w:rPr>
              <w:t>T</w:t>
            </w:r>
            <w:r>
              <w:rPr>
                <w:b/>
                <w:bCs w:val="false"/>
                <w:sz w:val="20"/>
                <w:szCs w:val="20"/>
                <w:vertAlign w:val="subscript"/>
                <w:lang w:val="en-US"/>
              </w:rPr>
              <w:t>3</w:t>
            </w:r>
          </w:p>
        </w:tc>
        <w:tc>
          <w:tcPr>
            <w:tcW w:w="620" w:type="dxa"/>
            <w:gridSpan w:val="3"/>
            <w:tcBorders>
              <w:top w:val="nil"/>
              <w:left w:val="nil"/>
              <w:bottom w:val="nil"/>
              <w:right w:val="nil"/>
              <w:insideH w:val="nil"/>
              <w:insideV w:val="nil"/>
            </w:tcBorders>
            <w:shd w:color="auto" w:fill="auto" w:val="clear"/>
          </w:tcPr>
          <w:p>
            <w:pPr>
              <w:pStyle w:val="Normal"/>
              <w:spacing w:lineRule="auto" w:line="240" w:before="60" w:after="40"/>
              <w:rPr>
                <w:b/>
                <w:b/>
                <w:bCs w:val="false"/>
                <w:sz w:val="20"/>
                <w:szCs w:val="20"/>
                <w:lang w:val="en-US"/>
              </w:rPr>
            </w:pPr>
            <w:r>
              <w:rPr>
                <w:b/>
                <w:bCs w:val="false"/>
                <w:sz w:val="20"/>
                <w:szCs w:val="20"/>
                <w:lang w:val="en-US"/>
              </w:rPr>
              <w:t>T</w:t>
            </w:r>
            <w:r>
              <w:rPr>
                <w:b/>
                <w:bCs w:val="false"/>
                <w:sz w:val="20"/>
                <w:szCs w:val="20"/>
                <w:vertAlign w:val="subscript"/>
                <w:lang w:val="en-US"/>
              </w:rPr>
              <w:t>4</w:t>
            </w:r>
          </w:p>
        </w:tc>
        <w:tc>
          <w:tcPr>
            <w:tcW w:w="654" w:type="dxa"/>
            <w:gridSpan w:val="2"/>
            <w:tcBorders>
              <w:top w:val="nil"/>
              <w:left w:val="nil"/>
              <w:bottom w:val="nil"/>
              <w:right w:val="nil"/>
              <w:insideH w:val="nil"/>
              <w:insideV w:val="nil"/>
            </w:tcBorders>
            <w:shd w:color="auto" w:fill="auto" w:val="clear"/>
          </w:tcPr>
          <w:p>
            <w:pPr>
              <w:pStyle w:val="Normal"/>
              <w:spacing w:lineRule="auto" w:line="240" w:before="60" w:after="40"/>
              <w:rPr>
                <w:b/>
                <w:b/>
                <w:bCs w:val="false"/>
                <w:sz w:val="20"/>
                <w:szCs w:val="20"/>
                <w:lang w:val="en-US"/>
              </w:rPr>
            </w:pPr>
            <w:r>
              <w:rPr>
                <w:b/>
                <w:bCs w:val="false"/>
                <w:sz w:val="20"/>
                <w:szCs w:val="20"/>
                <w:lang w:val="en-US"/>
              </w:rPr>
              <w:t>Te</w:t>
            </w:r>
            <w:r>
              <w:rPr>
                <w:b/>
                <w:bCs w:val="false"/>
                <w:sz w:val="20"/>
                <w:szCs w:val="20"/>
                <w:vertAlign w:val="subscript"/>
                <w:lang w:val="en-US"/>
              </w:rPr>
              <w:t>1a</w:t>
            </w:r>
          </w:p>
        </w:tc>
        <w:tc>
          <w:tcPr>
            <w:tcW w:w="658" w:type="dxa"/>
            <w:gridSpan w:val="2"/>
            <w:tcBorders>
              <w:top w:val="nil"/>
              <w:left w:val="nil"/>
              <w:bottom w:val="nil"/>
              <w:right w:val="nil"/>
              <w:insideH w:val="nil"/>
              <w:insideV w:val="nil"/>
            </w:tcBorders>
            <w:shd w:color="auto" w:fill="auto" w:val="clear"/>
          </w:tcPr>
          <w:p>
            <w:pPr>
              <w:pStyle w:val="Normal"/>
              <w:spacing w:lineRule="auto" w:line="240" w:before="60" w:after="40"/>
              <w:rPr>
                <w:b/>
                <w:b/>
                <w:bCs w:val="false"/>
                <w:sz w:val="20"/>
                <w:szCs w:val="20"/>
                <w:lang w:val="en-US"/>
              </w:rPr>
            </w:pPr>
            <w:r>
              <w:rPr>
                <w:b/>
                <w:bCs w:val="false"/>
                <w:sz w:val="20"/>
                <w:szCs w:val="20"/>
                <w:lang w:val="en-US"/>
              </w:rPr>
              <w:t>Te</w:t>
            </w:r>
            <w:r>
              <w:rPr>
                <w:b/>
                <w:bCs w:val="false"/>
                <w:sz w:val="20"/>
                <w:szCs w:val="20"/>
                <w:vertAlign w:val="subscript"/>
                <w:lang w:val="en-US"/>
              </w:rPr>
              <w:t>1b</w:t>
            </w:r>
          </w:p>
        </w:tc>
        <w:tc>
          <w:tcPr>
            <w:tcW w:w="654" w:type="dxa"/>
            <w:gridSpan w:val="2"/>
            <w:tcBorders>
              <w:top w:val="nil"/>
              <w:left w:val="nil"/>
              <w:bottom w:val="nil"/>
              <w:right w:val="nil"/>
              <w:insideH w:val="nil"/>
              <w:insideV w:val="nil"/>
            </w:tcBorders>
            <w:shd w:color="auto" w:fill="auto" w:val="clear"/>
          </w:tcPr>
          <w:p>
            <w:pPr>
              <w:pStyle w:val="Normal"/>
              <w:spacing w:lineRule="auto" w:line="240" w:before="60" w:after="40"/>
              <w:rPr>
                <w:b/>
                <w:b/>
                <w:bCs w:val="false"/>
                <w:sz w:val="20"/>
                <w:szCs w:val="20"/>
                <w:lang w:val="en-US"/>
              </w:rPr>
            </w:pPr>
            <w:r>
              <w:rPr>
                <w:b/>
                <w:bCs w:val="false"/>
                <w:sz w:val="20"/>
                <w:szCs w:val="20"/>
                <w:lang w:val="en-US"/>
              </w:rPr>
              <w:t>Te</w:t>
            </w:r>
            <w:r>
              <w:rPr>
                <w:b/>
                <w:bCs w:val="false"/>
                <w:sz w:val="20"/>
                <w:szCs w:val="20"/>
                <w:vertAlign w:val="subscript"/>
                <w:lang w:val="en-US"/>
              </w:rPr>
              <w:t>2a</w:t>
            </w:r>
          </w:p>
        </w:tc>
        <w:tc>
          <w:tcPr>
            <w:tcW w:w="658" w:type="dxa"/>
            <w:gridSpan w:val="2"/>
            <w:tcBorders>
              <w:top w:val="nil"/>
              <w:left w:val="nil"/>
              <w:bottom w:val="nil"/>
              <w:right w:val="nil"/>
              <w:insideH w:val="nil"/>
              <w:insideV w:val="nil"/>
            </w:tcBorders>
            <w:shd w:color="auto" w:fill="auto" w:val="clear"/>
          </w:tcPr>
          <w:p>
            <w:pPr>
              <w:pStyle w:val="Normal"/>
              <w:spacing w:lineRule="auto" w:line="240" w:before="60" w:after="40"/>
              <w:rPr>
                <w:b/>
                <w:b/>
                <w:bCs w:val="false"/>
                <w:sz w:val="20"/>
                <w:szCs w:val="20"/>
                <w:lang w:val="en-US"/>
              </w:rPr>
            </w:pPr>
            <w:r>
              <w:rPr>
                <w:b/>
                <w:bCs w:val="false"/>
                <w:sz w:val="20"/>
                <w:szCs w:val="20"/>
                <w:lang w:val="en-US"/>
              </w:rPr>
              <w:t>Te</w:t>
            </w:r>
            <w:r>
              <w:rPr>
                <w:b/>
                <w:bCs w:val="false"/>
                <w:sz w:val="20"/>
                <w:szCs w:val="20"/>
                <w:vertAlign w:val="subscript"/>
                <w:lang w:val="en-US"/>
              </w:rPr>
              <w:t>2b</w:t>
            </w:r>
          </w:p>
        </w:tc>
        <w:tc>
          <w:tcPr>
            <w:tcW w:w="654" w:type="dxa"/>
            <w:gridSpan w:val="2"/>
            <w:tcBorders>
              <w:top w:val="nil"/>
              <w:left w:val="nil"/>
              <w:bottom w:val="nil"/>
              <w:right w:val="nil"/>
              <w:insideH w:val="nil"/>
              <w:insideV w:val="nil"/>
            </w:tcBorders>
            <w:shd w:color="auto" w:fill="auto" w:val="clear"/>
          </w:tcPr>
          <w:p>
            <w:pPr>
              <w:pStyle w:val="Normal"/>
              <w:spacing w:lineRule="auto" w:line="240" w:before="60" w:after="40"/>
              <w:rPr>
                <w:b/>
                <w:b/>
                <w:bCs w:val="false"/>
                <w:sz w:val="20"/>
                <w:szCs w:val="20"/>
                <w:lang w:val="en-US"/>
              </w:rPr>
            </w:pPr>
            <w:r>
              <w:rPr>
                <w:b/>
                <w:bCs w:val="false"/>
                <w:sz w:val="20"/>
                <w:szCs w:val="20"/>
                <w:lang w:val="en-US"/>
              </w:rPr>
              <w:t>Te</w:t>
            </w:r>
            <w:r>
              <w:rPr>
                <w:b/>
                <w:bCs w:val="false"/>
                <w:sz w:val="20"/>
                <w:szCs w:val="20"/>
                <w:vertAlign w:val="subscript"/>
                <w:lang w:val="en-US"/>
              </w:rPr>
              <w:t>2c</w:t>
            </w:r>
          </w:p>
        </w:tc>
        <w:tc>
          <w:tcPr>
            <w:tcW w:w="659" w:type="dxa"/>
            <w:tcBorders>
              <w:top w:val="nil"/>
              <w:left w:val="nil"/>
              <w:bottom w:val="nil"/>
              <w:right w:val="nil"/>
              <w:insideH w:val="nil"/>
              <w:insideV w:val="nil"/>
            </w:tcBorders>
            <w:shd w:color="auto" w:fill="auto" w:val="clear"/>
          </w:tcPr>
          <w:p>
            <w:pPr>
              <w:pStyle w:val="Normal"/>
              <w:spacing w:lineRule="auto" w:line="240" w:before="60" w:after="40"/>
              <w:rPr>
                <w:b/>
                <w:b/>
                <w:bCs w:val="false"/>
                <w:sz w:val="20"/>
                <w:szCs w:val="20"/>
                <w:lang w:val="en-US"/>
              </w:rPr>
            </w:pPr>
            <w:r>
              <w:rPr>
                <w:b/>
                <w:bCs w:val="false"/>
                <w:sz w:val="20"/>
                <w:szCs w:val="20"/>
                <w:lang w:val="en-US"/>
              </w:rPr>
              <w:t>Te</w:t>
            </w:r>
            <w:r>
              <w:rPr>
                <w:b/>
                <w:bCs w:val="false"/>
                <w:sz w:val="20"/>
                <w:szCs w:val="20"/>
                <w:vertAlign w:val="subscript"/>
                <w:lang w:val="en-US"/>
              </w:rPr>
              <w:t>2d</w:t>
            </w:r>
          </w:p>
        </w:tc>
        <w:tc>
          <w:tcPr>
            <w:tcW w:w="621" w:type="dxa"/>
            <w:gridSpan w:val="2"/>
            <w:tcBorders>
              <w:top w:val="nil"/>
              <w:left w:val="nil"/>
              <w:bottom w:val="nil"/>
              <w:right w:val="nil"/>
              <w:insideH w:val="nil"/>
              <w:insideV w:val="nil"/>
            </w:tcBorders>
            <w:shd w:color="auto" w:fill="auto" w:val="clear"/>
          </w:tcPr>
          <w:p>
            <w:pPr>
              <w:pStyle w:val="Normal"/>
              <w:spacing w:lineRule="auto" w:line="240" w:before="60" w:after="40"/>
              <w:rPr>
                <w:b/>
                <w:b/>
                <w:bCs w:val="false"/>
                <w:sz w:val="20"/>
                <w:szCs w:val="20"/>
                <w:lang w:val="en-US"/>
              </w:rPr>
            </w:pPr>
            <w:r>
              <w:rPr>
                <w:b/>
                <w:bCs w:val="false"/>
                <w:sz w:val="20"/>
                <w:szCs w:val="20"/>
                <w:lang w:val="en-US"/>
              </w:rPr>
              <w:t>Te</w:t>
            </w:r>
            <w:r>
              <w:rPr>
                <w:b/>
                <w:bCs w:val="false"/>
                <w:sz w:val="20"/>
                <w:szCs w:val="20"/>
                <w:vertAlign w:val="subscript"/>
                <w:lang w:val="en-US"/>
              </w:rPr>
              <w:t>3</w:t>
            </w:r>
          </w:p>
        </w:tc>
        <w:tc>
          <w:tcPr>
            <w:tcW w:w="615" w:type="dxa"/>
            <w:gridSpan w:val="2"/>
            <w:tcBorders>
              <w:top w:val="nil"/>
              <w:left w:val="nil"/>
              <w:bottom w:val="nil"/>
              <w:right w:val="nil"/>
              <w:insideH w:val="nil"/>
              <w:insideV w:val="nil"/>
            </w:tcBorders>
            <w:shd w:color="auto" w:fill="auto" w:val="clear"/>
          </w:tcPr>
          <w:p>
            <w:pPr>
              <w:pStyle w:val="Normal"/>
              <w:spacing w:lineRule="auto" w:line="240" w:before="60" w:after="40"/>
              <w:rPr>
                <w:b/>
                <w:b/>
                <w:bCs w:val="false"/>
                <w:sz w:val="20"/>
                <w:szCs w:val="20"/>
                <w:lang w:val="en-US"/>
              </w:rPr>
            </w:pPr>
            <w:r>
              <w:rPr>
                <w:b/>
                <w:bCs w:val="false"/>
                <w:sz w:val="20"/>
                <w:szCs w:val="20"/>
                <w:lang w:val="en-US"/>
              </w:rPr>
              <w:t>Te</w:t>
            </w:r>
            <w:r>
              <w:rPr>
                <w:b/>
                <w:bCs w:val="false"/>
                <w:sz w:val="20"/>
                <w:szCs w:val="20"/>
                <w:vertAlign w:val="subscript"/>
                <w:lang w:val="en-US"/>
              </w:rPr>
              <w:t>4</w:t>
            </w:r>
          </w:p>
        </w:tc>
      </w:tr>
      <w:tr>
        <w:trPr>
          <w:trHeight w:val="80" w:hRule="atLeast"/>
        </w:trPr>
        <w:tc>
          <w:tcPr>
            <w:tcW w:w="2218" w:type="dxa"/>
            <w:gridSpan w:val="3"/>
            <w:tcBorders>
              <w:left w:val="nil"/>
              <w:right w:val="nil"/>
              <w:insideV w:val="nil"/>
            </w:tcBorders>
            <w:shd w:color="auto" w:fill="auto" w:val="clear"/>
            <w:vAlign w:val="center"/>
          </w:tcPr>
          <w:p>
            <w:pPr>
              <w:pStyle w:val="Normal"/>
              <w:spacing w:lineRule="auto" w:line="240" w:before="60" w:after="40"/>
              <w:jc w:val="center"/>
              <w:rPr>
                <w:sz w:val="20"/>
                <w:szCs w:val="20"/>
                <w:lang w:val="en-US"/>
              </w:rPr>
            </w:pPr>
            <w:r>
              <w:rPr>
                <w:sz w:val="20"/>
                <w:szCs w:val="20"/>
                <w:lang w:val="en-US"/>
              </w:rPr>
              <w:t>Certidumbre</w:t>
            </w:r>
          </w:p>
        </w:tc>
        <w:tc>
          <w:tcPr>
            <w:tcW w:w="392" w:type="dxa"/>
            <w:gridSpan w:val="2"/>
            <w:tcBorders>
              <w:left w:val="nil"/>
              <w:right w:val="nil"/>
              <w:insideV w:val="nil"/>
            </w:tcBorders>
            <w:shd w:color="auto" w:fill="auto" w:val="clear"/>
            <w:vAlign w:val="center"/>
          </w:tcPr>
          <w:p>
            <w:pPr>
              <w:pStyle w:val="Normal"/>
              <w:spacing w:lineRule="auto" w:line="240" w:before="60" w:after="40"/>
              <w:rPr>
                <w:lang w:val="en-US"/>
              </w:rPr>
            </w:pPr>
            <w:r>
              <w:rPr>
                <w:rFonts w:eastAsia="Symbol" w:cs="Symbol" w:ascii="Symbol" w:hAnsi="Symbol"/>
                <w:lang w:val="en-US"/>
              </w:rPr>
              <w:t></w:t>
            </w:r>
          </w:p>
        </w:tc>
        <w:tc>
          <w:tcPr>
            <w:tcW w:w="412" w:type="dxa"/>
            <w:tcBorders>
              <w:left w:val="nil"/>
              <w:right w:val="nil"/>
              <w:insideV w:val="nil"/>
            </w:tcBorders>
            <w:shd w:color="auto" w:fill="auto" w:val="clear"/>
            <w:vAlign w:val="center"/>
          </w:tcPr>
          <w:p>
            <w:pPr>
              <w:pStyle w:val="Normal"/>
              <w:spacing w:lineRule="auto" w:line="240" w:before="60" w:after="40"/>
              <w:rPr>
                <w:lang w:val="en-US"/>
              </w:rPr>
            </w:pPr>
            <w:r>
              <w:rPr>
                <w:rFonts w:eastAsia="Symbol" w:cs="Symbol" w:ascii="Symbol" w:hAnsi="Symbol"/>
                <w:lang w:val="en-US"/>
              </w:rPr>
              <w:t></w:t>
            </w:r>
          </w:p>
        </w:tc>
        <w:tc>
          <w:tcPr>
            <w:tcW w:w="390" w:type="dxa"/>
            <w:gridSpan w:val="2"/>
            <w:tcBorders>
              <w:left w:val="nil"/>
              <w:right w:val="nil"/>
              <w:insideV w:val="nil"/>
            </w:tcBorders>
            <w:shd w:color="auto" w:fill="auto" w:val="clear"/>
            <w:vAlign w:val="center"/>
          </w:tcPr>
          <w:p>
            <w:pPr>
              <w:pStyle w:val="Normal"/>
              <w:spacing w:lineRule="auto" w:line="240" w:before="60" w:after="40"/>
              <w:rPr>
                <w:lang w:val="en-US"/>
              </w:rPr>
            </w:pPr>
            <w:r>
              <w:rPr>
                <w:rFonts w:eastAsia="Symbol" w:cs="Symbol" w:ascii="Symbol" w:hAnsi="Symbol"/>
                <w:lang w:val="en-US"/>
              </w:rPr>
              <w:t></w:t>
            </w:r>
          </w:p>
        </w:tc>
        <w:tc>
          <w:tcPr>
            <w:tcW w:w="409" w:type="dxa"/>
            <w:tcBorders>
              <w:left w:val="nil"/>
              <w:right w:val="nil"/>
              <w:insideV w:val="nil"/>
            </w:tcBorders>
            <w:shd w:color="auto" w:fill="auto" w:val="clear"/>
            <w:vAlign w:val="center"/>
          </w:tcPr>
          <w:p>
            <w:pPr>
              <w:pStyle w:val="Normal"/>
              <w:spacing w:lineRule="auto" w:line="240" w:before="60" w:after="40"/>
              <w:rPr>
                <w:lang w:val="en-US"/>
              </w:rPr>
            </w:pPr>
            <w:r>
              <w:rPr>
                <w:rFonts w:eastAsia="Symbol" w:cs="Symbol" w:ascii="Symbol" w:hAnsi="Symbol"/>
                <w:lang w:val="en-US"/>
              </w:rPr>
              <w:t></w:t>
            </w:r>
          </w:p>
        </w:tc>
        <w:tc>
          <w:tcPr>
            <w:tcW w:w="649" w:type="dxa"/>
            <w:gridSpan w:val="2"/>
            <w:tcBorders>
              <w:left w:val="nil"/>
              <w:right w:val="nil"/>
              <w:insideV w:val="nil"/>
            </w:tcBorders>
            <w:shd w:color="auto" w:fill="auto" w:val="clear"/>
            <w:vAlign w:val="center"/>
          </w:tcPr>
          <w:p>
            <w:pPr>
              <w:pStyle w:val="Normal"/>
              <w:spacing w:lineRule="auto" w:line="240" w:before="60" w:after="40"/>
              <w:rPr>
                <w:lang w:val="en-US"/>
              </w:rPr>
            </w:pPr>
            <w:r>
              <w:rPr>
                <w:rFonts w:eastAsia="Symbol" w:cs="Symbol" w:ascii="Symbol" w:hAnsi="Symbol"/>
                <w:lang w:val="en-US"/>
              </w:rPr>
              <w:t></w:t>
            </w:r>
          </w:p>
        </w:tc>
        <w:tc>
          <w:tcPr>
            <w:tcW w:w="668" w:type="dxa"/>
            <w:gridSpan w:val="2"/>
            <w:tcBorders>
              <w:left w:val="nil"/>
              <w:right w:val="nil"/>
              <w:insideV w:val="nil"/>
            </w:tcBorders>
            <w:shd w:color="auto" w:fill="auto" w:val="clear"/>
            <w:vAlign w:val="center"/>
          </w:tcPr>
          <w:p>
            <w:pPr>
              <w:pStyle w:val="Normal"/>
              <w:spacing w:lineRule="auto" w:line="240" w:before="60" w:after="40"/>
              <w:rPr>
                <w:lang w:val="en-US"/>
              </w:rPr>
            </w:pPr>
            <w:r>
              <w:rPr>
                <w:rFonts w:eastAsia="Symbol" w:cs="Symbol" w:ascii="Symbol" w:hAnsi="Symbol"/>
                <w:lang w:val="en-US"/>
              </w:rPr>
              <w:t></w:t>
            </w:r>
          </w:p>
        </w:tc>
        <w:tc>
          <w:tcPr>
            <w:tcW w:w="664" w:type="dxa"/>
            <w:gridSpan w:val="2"/>
            <w:tcBorders>
              <w:left w:val="nil"/>
              <w:right w:val="nil"/>
              <w:insideV w:val="nil"/>
            </w:tcBorders>
            <w:shd w:color="auto" w:fill="auto" w:val="clear"/>
            <w:vAlign w:val="center"/>
          </w:tcPr>
          <w:p>
            <w:pPr>
              <w:pStyle w:val="Normal"/>
              <w:spacing w:lineRule="auto" w:line="240" w:before="60" w:after="40"/>
              <w:rPr>
                <w:lang w:val="en-US"/>
              </w:rPr>
            </w:pPr>
            <w:r>
              <w:rPr>
                <w:rFonts w:eastAsia="Symbol" w:cs="Symbol" w:ascii="Symbol" w:hAnsi="Symbol"/>
                <w:lang w:val="en-US"/>
              </w:rPr>
              <w:t></w:t>
            </w:r>
          </w:p>
        </w:tc>
        <w:tc>
          <w:tcPr>
            <w:tcW w:w="668" w:type="dxa"/>
            <w:gridSpan w:val="2"/>
            <w:tcBorders>
              <w:left w:val="nil"/>
              <w:right w:val="nil"/>
              <w:insideV w:val="nil"/>
            </w:tcBorders>
            <w:shd w:color="auto" w:fill="auto" w:val="clear"/>
            <w:vAlign w:val="center"/>
          </w:tcPr>
          <w:p>
            <w:pPr>
              <w:pStyle w:val="Normal"/>
              <w:spacing w:lineRule="auto" w:line="240" w:before="60" w:after="40"/>
              <w:rPr>
                <w:lang w:val="en-US"/>
              </w:rPr>
            </w:pPr>
            <w:r>
              <w:rPr>
                <w:rFonts w:eastAsia="Symbol" w:cs="Symbol" w:ascii="Symbol" w:hAnsi="Symbol"/>
                <w:lang w:val="en-US"/>
              </w:rPr>
              <w:t></w:t>
            </w:r>
          </w:p>
        </w:tc>
        <w:tc>
          <w:tcPr>
            <w:tcW w:w="664" w:type="dxa"/>
            <w:gridSpan w:val="2"/>
            <w:tcBorders>
              <w:left w:val="nil"/>
              <w:right w:val="nil"/>
              <w:insideV w:val="nil"/>
            </w:tcBorders>
            <w:shd w:color="auto" w:fill="auto" w:val="clear"/>
            <w:vAlign w:val="center"/>
          </w:tcPr>
          <w:p>
            <w:pPr>
              <w:pStyle w:val="Normal"/>
              <w:spacing w:lineRule="auto" w:line="240" w:before="60" w:after="40"/>
              <w:rPr>
                <w:lang w:val="en-US"/>
              </w:rPr>
            </w:pPr>
            <w:r>
              <w:rPr>
                <w:rFonts w:eastAsia="Symbol" w:cs="Symbol" w:ascii="Symbol" w:hAnsi="Symbol"/>
                <w:lang w:val="en-US"/>
              </w:rPr>
              <w:t></w:t>
            </w:r>
          </w:p>
        </w:tc>
        <w:tc>
          <w:tcPr>
            <w:tcW w:w="811" w:type="dxa"/>
            <w:gridSpan w:val="3"/>
            <w:tcBorders>
              <w:left w:val="nil"/>
              <w:right w:val="nil"/>
              <w:insideV w:val="nil"/>
            </w:tcBorders>
            <w:shd w:color="auto" w:fill="auto" w:val="clear"/>
            <w:vAlign w:val="center"/>
          </w:tcPr>
          <w:p>
            <w:pPr>
              <w:pStyle w:val="Normal"/>
              <w:spacing w:lineRule="auto" w:line="240" w:before="60" w:after="40"/>
              <w:rPr>
                <w:lang w:val="en-US"/>
              </w:rPr>
            </w:pPr>
            <w:r>
              <w:rPr>
                <w:rFonts w:eastAsia="Symbol" w:cs="Symbol" w:ascii="Symbol" w:hAnsi="Symbol"/>
                <w:lang w:val="en-US"/>
              </w:rPr>
              <w:t></w:t>
            </w:r>
          </w:p>
        </w:tc>
        <w:tc>
          <w:tcPr>
            <w:tcW w:w="581" w:type="dxa"/>
            <w:gridSpan w:val="2"/>
            <w:tcBorders>
              <w:left w:val="nil"/>
              <w:right w:val="nil"/>
              <w:insideV w:val="nil"/>
            </w:tcBorders>
            <w:shd w:color="auto" w:fill="auto" w:val="clear"/>
            <w:vAlign w:val="center"/>
          </w:tcPr>
          <w:p>
            <w:pPr>
              <w:pStyle w:val="Normal"/>
              <w:spacing w:lineRule="auto" w:line="240" w:before="60" w:after="40"/>
              <w:rPr>
                <w:lang w:val="en-US"/>
              </w:rPr>
            </w:pPr>
            <w:r>
              <w:rPr>
                <w:rFonts w:eastAsia="Symbol" w:cs="Symbol" w:ascii="Symbol" w:hAnsi="Symbol"/>
                <w:lang w:val="en-US"/>
              </w:rPr>
              <w:t></w:t>
            </w:r>
          </w:p>
        </w:tc>
        <w:tc>
          <w:tcPr>
            <w:tcW w:w="515" w:type="dxa"/>
            <w:tcBorders>
              <w:left w:val="nil"/>
              <w:right w:val="nil"/>
              <w:insideV w:val="nil"/>
            </w:tcBorders>
            <w:shd w:color="auto" w:fill="auto" w:val="clear"/>
            <w:vAlign w:val="center"/>
          </w:tcPr>
          <w:p>
            <w:pPr>
              <w:pStyle w:val="Normal"/>
              <w:spacing w:lineRule="auto" w:line="240" w:before="60" w:after="40"/>
              <w:rPr>
                <w:lang w:val="en-US"/>
              </w:rPr>
            </w:pPr>
            <w:bookmarkStart w:id="1558" w:name="_Hlk79246250"/>
            <w:bookmarkEnd w:id="1558"/>
            <w:r>
              <w:rPr>
                <w:rFonts w:eastAsia="Symbol" w:cs="Symbol" w:ascii="Symbol" w:hAnsi="Symbol"/>
                <w:lang w:val="en-US"/>
              </w:rPr>
              <w:t></w:t>
            </w:r>
          </w:p>
        </w:tc>
      </w:tr>
      <w:tr>
        <w:trPr>
          <w:trHeight w:val="54" w:hRule="atLeast"/>
        </w:trPr>
        <w:tc>
          <w:tcPr>
            <w:tcW w:w="2218" w:type="dxa"/>
            <w:gridSpan w:val="3"/>
            <w:tcBorders>
              <w:top w:val="nil"/>
              <w:left w:val="nil"/>
              <w:bottom w:val="nil"/>
              <w:right w:val="nil"/>
              <w:insideH w:val="nil"/>
              <w:insideV w:val="nil"/>
            </w:tcBorders>
            <w:shd w:color="auto" w:fill="auto" w:val="clear"/>
            <w:vAlign w:val="center"/>
          </w:tcPr>
          <w:p>
            <w:pPr>
              <w:pStyle w:val="Normal"/>
              <w:spacing w:lineRule="auto" w:line="240" w:before="60" w:after="40"/>
              <w:jc w:val="center"/>
              <w:rPr>
                <w:sz w:val="20"/>
                <w:szCs w:val="20"/>
                <w:lang w:val="en-US"/>
              </w:rPr>
            </w:pPr>
            <w:r>
              <w:rPr>
                <w:sz w:val="20"/>
                <w:szCs w:val="20"/>
                <w:lang w:val="en-US"/>
              </w:rPr>
              <w:t>Indeterminación</w:t>
            </w:r>
          </w:p>
        </w:tc>
        <w:tc>
          <w:tcPr>
            <w:tcW w:w="392" w:type="dxa"/>
            <w:gridSpan w:val="2"/>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lang w:val="en-US"/>
              </w:rPr>
            </w:r>
          </w:p>
        </w:tc>
        <w:tc>
          <w:tcPr>
            <w:tcW w:w="412" w:type="dxa"/>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lang w:val="en-US"/>
              </w:rPr>
            </w:r>
          </w:p>
        </w:tc>
        <w:tc>
          <w:tcPr>
            <w:tcW w:w="390" w:type="dxa"/>
            <w:gridSpan w:val="2"/>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lang w:val="en-US"/>
              </w:rPr>
            </w:r>
          </w:p>
        </w:tc>
        <w:tc>
          <w:tcPr>
            <w:tcW w:w="409" w:type="dxa"/>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lang w:val="en-US"/>
              </w:rPr>
            </w:r>
          </w:p>
        </w:tc>
        <w:tc>
          <w:tcPr>
            <w:tcW w:w="649" w:type="dxa"/>
            <w:gridSpan w:val="2"/>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lang w:val="en-US"/>
              </w:rPr>
            </w:r>
          </w:p>
        </w:tc>
        <w:tc>
          <w:tcPr>
            <w:tcW w:w="668" w:type="dxa"/>
            <w:gridSpan w:val="2"/>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lang w:val="en-US"/>
              </w:rPr>
            </w:r>
          </w:p>
        </w:tc>
        <w:tc>
          <w:tcPr>
            <w:tcW w:w="664" w:type="dxa"/>
            <w:gridSpan w:val="2"/>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rFonts w:eastAsia="Symbol" w:cs="Symbol" w:ascii="Symbol" w:hAnsi="Symbol"/>
                <w:lang w:val="en-US"/>
              </w:rPr>
              <w:t></w:t>
            </w:r>
          </w:p>
        </w:tc>
        <w:tc>
          <w:tcPr>
            <w:tcW w:w="668" w:type="dxa"/>
            <w:gridSpan w:val="2"/>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rFonts w:eastAsia="Symbol" w:cs="Symbol" w:ascii="Symbol" w:hAnsi="Symbol"/>
                <w:lang w:val="en-US"/>
              </w:rPr>
              <w:t></w:t>
            </w:r>
          </w:p>
        </w:tc>
        <w:tc>
          <w:tcPr>
            <w:tcW w:w="664" w:type="dxa"/>
            <w:gridSpan w:val="2"/>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rFonts w:eastAsia="Symbol" w:cs="Symbol" w:ascii="Symbol" w:hAnsi="Symbol"/>
                <w:lang w:val="en-US"/>
              </w:rPr>
              <w:t></w:t>
            </w:r>
          </w:p>
        </w:tc>
        <w:tc>
          <w:tcPr>
            <w:tcW w:w="811" w:type="dxa"/>
            <w:gridSpan w:val="3"/>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lang w:val="en-US"/>
              </w:rPr>
            </w:r>
          </w:p>
        </w:tc>
        <w:tc>
          <w:tcPr>
            <w:tcW w:w="581" w:type="dxa"/>
            <w:gridSpan w:val="2"/>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lang w:val="en-US"/>
              </w:rPr>
            </w:r>
          </w:p>
        </w:tc>
        <w:tc>
          <w:tcPr>
            <w:tcW w:w="515" w:type="dxa"/>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rFonts w:eastAsia="Symbol" w:cs="Symbol" w:ascii="Symbol" w:hAnsi="Symbol"/>
                <w:lang w:val="en-US"/>
              </w:rPr>
              <w:t></w:t>
            </w:r>
          </w:p>
        </w:tc>
      </w:tr>
      <w:tr>
        <w:trPr>
          <w:trHeight w:val="54" w:hRule="atLeast"/>
        </w:trPr>
        <w:tc>
          <w:tcPr>
            <w:tcW w:w="2218" w:type="dxa"/>
            <w:gridSpan w:val="3"/>
            <w:tcBorders>
              <w:top w:val="nil"/>
              <w:left w:val="nil"/>
              <w:bottom w:val="nil"/>
              <w:right w:val="nil"/>
              <w:insideH w:val="nil"/>
              <w:insideV w:val="nil"/>
            </w:tcBorders>
            <w:shd w:color="auto" w:fill="auto" w:val="clear"/>
            <w:vAlign w:val="center"/>
          </w:tcPr>
          <w:p>
            <w:pPr>
              <w:pStyle w:val="Normal"/>
              <w:spacing w:lineRule="auto" w:line="240" w:before="60" w:after="40"/>
              <w:jc w:val="center"/>
              <w:rPr>
                <w:sz w:val="20"/>
                <w:szCs w:val="20"/>
                <w:lang w:val="en-US"/>
              </w:rPr>
            </w:pPr>
            <w:r>
              <w:rPr>
                <w:sz w:val="20"/>
                <w:szCs w:val="20"/>
                <w:lang w:val="en-US"/>
              </w:rPr>
              <w:t>Falsedad</w:t>
            </w:r>
          </w:p>
        </w:tc>
        <w:tc>
          <w:tcPr>
            <w:tcW w:w="392" w:type="dxa"/>
            <w:gridSpan w:val="2"/>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lang w:val="en-US"/>
              </w:rPr>
            </w:r>
          </w:p>
        </w:tc>
        <w:tc>
          <w:tcPr>
            <w:tcW w:w="412" w:type="dxa"/>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lang w:val="en-US"/>
              </w:rPr>
            </w:r>
          </w:p>
        </w:tc>
        <w:tc>
          <w:tcPr>
            <w:tcW w:w="390" w:type="dxa"/>
            <w:gridSpan w:val="2"/>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lang w:val="en-US"/>
              </w:rPr>
            </w:r>
          </w:p>
        </w:tc>
        <w:tc>
          <w:tcPr>
            <w:tcW w:w="409" w:type="dxa"/>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lang w:val="en-US"/>
              </w:rPr>
            </w:r>
          </w:p>
        </w:tc>
        <w:tc>
          <w:tcPr>
            <w:tcW w:w="649" w:type="dxa"/>
            <w:gridSpan w:val="2"/>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lang w:val="en-US"/>
              </w:rPr>
            </w:r>
          </w:p>
        </w:tc>
        <w:tc>
          <w:tcPr>
            <w:tcW w:w="668" w:type="dxa"/>
            <w:gridSpan w:val="2"/>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lang w:val="en-US"/>
              </w:rPr>
            </w:r>
          </w:p>
        </w:tc>
        <w:tc>
          <w:tcPr>
            <w:tcW w:w="664" w:type="dxa"/>
            <w:gridSpan w:val="2"/>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rFonts w:eastAsia="Symbol" w:cs="Symbol" w:ascii="Symbol" w:hAnsi="Symbol"/>
                <w:lang w:val="en-US"/>
              </w:rPr>
              <w:t></w:t>
            </w:r>
          </w:p>
        </w:tc>
        <w:tc>
          <w:tcPr>
            <w:tcW w:w="668" w:type="dxa"/>
            <w:gridSpan w:val="2"/>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rFonts w:eastAsia="Symbol" w:cs="Symbol" w:ascii="Symbol" w:hAnsi="Symbol"/>
                <w:lang w:val="en-US"/>
              </w:rPr>
              <w:t></w:t>
            </w:r>
          </w:p>
        </w:tc>
        <w:tc>
          <w:tcPr>
            <w:tcW w:w="664" w:type="dxa"/>
            <w:gridSpan w:val="2"/>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lang w:val="en-US"/>
              </w:rPr>
            </w:r>
          </w:p>
        </w:tc>
        <w:tc>
          <w:tcPr>
            <w:tcW w:w="811" w:type="dxa"/>
            <w:gridSpan w:val="3"/>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rFonts w:eastAsia="Symbol" w:cs="Symbol" w:ascii="Symbol" w:hAnsi="Symbol"/>
                <w:lang w:val="en-US"/>
              </w:rPr>
              <w:t></w:t>
            </w:r>
          </w:p>
        </w:tc>
        <w:tc>
          <w:tcPr>
            <w:tcW w:w="581" w:type="dxa"/>
            <w:gridSpan w:val="2"/>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lang w:val="en-US"/>
              </w:rPr>
            </w:r>
          </w:p>
        </w:tc>
        <w:tc>
          <w:tcPr>
            <w:tcW w:w="515" w:type="dxa"/>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rFonts w:eastAsia="Symbol" w:cs="Symbol" w:ascii="Symbol" w:hAnsi="Symbol"/>
                <w:lang w:val="en-US"/>
              </w:rPr>
              <w:t></w:t>
            </w:r>
          </w:p>
        </w:tc>
      </w:tr>
      <w:tr>
        <w:trPr>
          <w:trHeight w:val="483" w:hRule="atLeast"/>
        </w:trPr>
        <w:tc>
          <w:tcPr>
            <w:tcW w:w="2218" w:type="dxa"/>
            <w:gridSpan w:val="3"/>
            <w:tcBorders>
              <w:top w:val="nil"/>
              <w:left w:val="nil"/>
              <w:bottom w:val="nil"/>
              <w:right w:val="nil"/>
              <w:insideH w:val="nil"/>
              <w:insideV w:val="nil"/>
            </w:tcBorders>
            <w:shd w:color="auto" w:fill="auto" w:val="clear"/>
            <w:vAlign w:val="center"/>
          </w:tcPr>
          <w:p>
            <w:pPr>
              <w:pStyle w:val="Normal"/>
              <w:spacing w:lineRule="auto" w:line="240" w:before="60" w:after="40"/>
              <w:jc w:val="center"/>
              <w:rPr>
                <w:sz w:val="20"/>
                <w:szCs w:val="20"/>
                <w:lang w:val="en-US"/>
              </w:rPr>
            </w:pPr>
            <w:r>
              <w:rPr>
                <w:sz w:val="20"/>
                <w:szCs w:val="20"/>
                <w:lang w:val="en-US"/>
              </w:rPr>
              <w:t>Umbral parametrizable</w:t>
            </w:r>
          </w:p>
        </w:tc>
        <w:tc>
          <w:tcPr>
            <w:tcW w:w="392" w:type="dxa"/>
            <w:gridSpan w:val="2"/>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lang w:val="en-US"/>
              </w:rPr>
            </w:r>
          </w:p>
        </w:tc>
        <w:tc>
          <w:tcPr>
            <w:tcW w:w="412" w:type="dxa"/>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lang w:val="en-US"/>
              </w:rPr>
            </w:r>
          </w:p>
        </w:tc>
        <w:tc>
          <w:tcPr>
            <w:tcW w:w="390" w:type="dxa"/>
            <w:gridSpan w:val="2"/>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lang w:val="en-US"/>
              </w:rPr>
            </w:r>
          </w:p>
        </w:tc>
        <w:tc>
          <w:tcPr>
            <w:tcW w:w="409" w:type="dxa"/>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lang w:val="en-US"/>
              </w:rPr>
            </w:r>
          </w:p>
        </w:tc>
        <w:tc>
          <w:tcPr>
            <w:tcW w:w="649" w:type="dxa"/>
            <w:gridSpan w:val="2"/>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rFonts w:eastAsia="Symbol" w:cs="Symbol" w:ascii="Symbol" w:hAnsi="Symbol"/>
                <w:lang w:val="en-US"/>
              </w:rPr>
              <w:t></w:t>
            </w:r>
          </w:p>
        </w:tc>
        <w:tc>
          <w:tcPr>
            <w:tcW w:w="668" w:type="dxa"/>
            <w:gridSpan w:val="2"/>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rFonts w:eastAsia="Symbol" w:cs="Symbol" w:ascii="Symbol" w:hAnsi="Symbol"/>
                <w:lang w:val="en-US"/>
              </w:rPr>
              <w:t></w:t>
            </w:r>
          </w:p>
        </w:tc>
        <w:tc>
          <w:tcPr>
            <w:tcW w:w="664" w:type="dxa"/>
            <w:gridSpan w:val="2"/>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rFonts w:eastAsia="Symbol" w:cs="Symbol" w:ascii="Symbol" w:hAnsi="Symbol"/>
                <w:lang w:val="en-US"/>
              </w:rPr>
              <w:t></w:t>
            </w:r>
          </w:p>
        </w:tc>
        <w:tc>
          <w:tcPr>
            <w:tcW w:w="668" w:type="dxa"/>
            <w:gridSpan w:val="2"/>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rFonts w:eastAsia="Symbol" w:cs="Symbol" w:ascii="Symbol" w:hAnsi="Symbol"/>
                <w:lang w:val="en-US"/>
              </w:rPr>
              <w:t></w:t>
            </w:r>
          </w:p>
        </w:tc>
        <w:tc>
          <w:tcPr>
            <w:tcW w:w="664" w:type="dxa"/>
            <w:gridSpan w:val="2"/>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rFonts w:eastAsia="Symbol" w:cs="Symbol" w:ascii="Symbol" w:hAnsi="Symbol"/>
                <w:lang w:val="en-US"/>
              </w:rPr>
              <w:t></w:t>
            </w:r>
          </w:p>
        </w:tc>
        <w:tc>
          <w:tcPr>
            <w:tcW w:w="811" w:type="dxa"/>
            <w:gridSpan w:val="3"/>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rFonts w:eastAsia="Symbol" w:cs="Symbol" w:ascii="Symbol" w:hAnsi="Symbol"/>
                <w:lang w:val="en-US"/>
              </w:rPr>
              <w:t></w:t>
            </w:r>
          </w:p>
        </w:tc>
        <w:tc>
          <w:tcPr>
            <w:tcW w:w="581" w:type="dxa"/>
            <w:gridSpan w:val="2"/>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rFonts w:eastAsia="Symbol" w:cs="Symbol" w:ascii="Symbol" w:hAnsi="Symbol"/>
                <w:lang w:val="en-US"/>
              </w:rPr>
              <w:t></w:t>
            </w:r>
          </w:p>
        </w:tc>
        <w:tc>
          <w:tcPr>
            <w:tcW w:w="515" w:type="dxa"/>
            <w:tcBorders>
              <w:top w:val="nil"/>
              <w:left w:val="nil"/>
              <w:bottom w:val="nil"/>
              <w:right w:val="nil"/>
              <w:insideH w:val="nil"/>
              <w:insideV w:val="nil"/>
            </w:tcBorders>
            <w:shd w:color="auto" w:fill="auto" w:val="clear"/>
            <w:vAlign w:val="center"/>
          </w:tcPr>
          <w:p>
            <w:pPr>
              <w:pStyle w:val="Normal"/>
              <w:spacing w:lineRule="auto" w:line="240" w:before="60" w:after="40"/>
              <w:rPr>
                <w:lang w:val="en-US"/>
              </w:rPr>
            </w:pPr>
            <w:r>
              <w:rPr>
                <w:rFonts w:eastAsia="Symbol" w:cs="Symbol" w:ascii="Symbol" w:hAnsi="Symbol"/>
                <w:lang w:val="en-US"/>
              </w:rPr>
              <w:t></w:t>
            </w:r>
          </w:p>
        </w:tc>
      </w:tr>
    </w:tbl>
    <w:p>
      <w:pPr>
        <w:pStyle w:val="Normal"/>
        <w:rPr/>
      </w:pPr>
      <w:r>
        <w:rPr>
          <w:lang w:val="en-US"/>
        </w:rPr>
        <w:t xml:space="preserve">La </w:t>
      </w:r>
      <w:r>
        <w:rPr>
          <w:lang w:val="en-US"/>
        </w:rPr>
        <w:fldChar w:fldCharType="begin"/>
      </w:r>
      <w:r>
        <w:instrText> REF _Ref79246637 \h </w:instrText>
      </w:r>
      <w:r>
        <w:fldChar w:fldCharType="separate"/>
      </w:r>
      <w:r>
        <w:t>Tabla 7</w:t>
      </w:r>
      <w:r>
        <w:fldChar w:fldCharType="end"/>
      </w:r>
      <w:r>
        <w:rPr>
          <w:lang w:val="en-US"/>
        </w:rPr>
        <w:t xml:space="preserve"> muestra que los indicadores tradicionales solo tratan la certeza y lo hacen empleando un umbral fijo (cero); mientras que los indicadores extendidos emplean un umbral parametrizable, lo cual flexibiliza su uso en diferentes dominios de aplicación. Por otra parte, los indicadores extendidos logran medir con mayor precisión la incertidumbre combinando los grados de certeza, indeterminación y falsedad, a diferencia de los indicadores tradicionales. Además, se incorporan indicadores como Te</w:t>
      </w:r>
      <w:r>
        <w:rPr>
          <w:vertAlign w:val="subscript"/>
          <w:lang w:val="en-US"/>
        </w:rPr>
        <w:t>2c</w:t>
      </w:r>
      <w:r>
        <w:rPr>
          <w:lang w:val="en-US"/>
        </w:rPr>
        <w:t xml:space="preserve"> y Te</w:t>
      </w:r>
      <w:r>
        <w:rPr>
          <w:vertAlign w:val="subscript"/>
          <w:lang w:val="en-US"/>
        </w:rPr>
        <w:t>2d</w:t>
      </w:r>
      <w:r>
        <w:rPr>
          <w:lang w:val="en-US"/>
        </w:rPr>
        <w:t xml:space="preserve"> que permiten medir de forma particular la indeterminación y la falsedad respectivamente.</w:t>
      </w:r>
    </w:p>
    <w:p>
      <w:pPr>
        <w:pStyle w:val="Heading2"/>
        <w:numPr>
          <w:ilvl w:val="1"/>
          <w:numId w:val="80"/>
        </w:numPr>
        <w:rPr/>
      </w:pPr>
      <w:bookmarkStart w:id="1559" w:name="_Toc84598941"/>
      <w:bookmarkEnd w:id="1559"/>
      <w:r>
        <w:rPr/>
        <w:t>Conclusiones del capítulo</w:t>
      </w:r>
    </w:p>
    <w:p>
      <w:pPr>
        <w:pStyle w:val="Normal"/>
        <w:rPr>
          <w:lang w:val="en-US"/>
        </w:rPr>
      </w:pPr>
      <w:r>
        <w:rPr>
          <w:lang w:val="en-US"/>
        </w:rPr>
        <w:t>En este capítulo se proponen nuevos indicadores para la evaluación de los resúmenes lingüísticos, de los cuales se concluye que:</w:t>
      </w:r>
    </w:p>
    <w:p>
      <w:pPr>
        <w:pStyle w:val="ListParagraph"/>
        <w:numPr>
          <w:ilvl w:val="0"/>
          <w:numId w:val="85"/>
        </w:numPr>
        <w:ind w:left="426" w:hanging="360"/>
        <w:rPr>
          <w:lang w:val="en-US"/>
        </w:rPr>
      </w:pPr>
      <w:r>
        <w:rPr>
          <w:lang w:val="en-US"/>
        </w:rPr>
        <w:t>Los indicadores que se proponen en este capítulo extienden a los indicadores tradicionales propuestos en la bibliografía, combinando elementos de la teoría neutrosófica que posibilitan el tratamiento de la certidumbre, la indeterminación y la falsedad en la evaluación de los resúmenes.</w:t>
      </w:r>
    </w:p>
    <w:p>
      <w:pPr>
        <w:pStyle w:val="ListParagraph"/>
        <w:numPr>
          <w:ilvl w:val="0"/>
          <w:numId w:val="85"/>
        </w:numPr>
        <w:ind w:left="426" w:hanging="360"/>
        <w:rPr/>
      </w:pPr>
      <w:r>
        <w:rPr>
          <w:lang w:val="es-ES"/>
        </w:rPr>
        <w:t xml:space="preserve">La introducción de conceptos como: el parámetro </w:t>
      </w:r>
      <w:r>
        <w:rPr>
          <w:rFonts w:eastAsia="Symbol" w:cs="Symbol" w:ascii="Symbol" w:hAnsi="Symbol"/>
          <w:i/>
          <w:iCs/>
        </w:rPr>
        <w:t></w:t>
      </w:r>
      <w:r>
        <w:rPr>
          <w:i/>
          <w:iCs/>
          <w:lang w:val="en-US"/>
        </w:rPr>
        <w:t>-corte</w:t>
      </w:r>
      <w:r>
        <w:rPr>
          <w:lang w:val="en-US"/>
        </w:rPr>
        <w:t>, la aproximación superior y aproximación inferior, permite manejar con mayor flexibilidad el nivel de rigor en la evaluación de los resúmenes lingüísticos.</w:t>
      </w:r>
    </w:p>
    <w:p>
      <w:pPr>
        <w:pStyle w:val="ListParagraph"/>
        <w:numPr>
          <w:ilvl w:val="0"/>
          <w:numId w:val="85"/>
        </w:numPr>
        <w:ind w:left="426" w:hanging="360"/>
        <w:rPr/>
      </w:pPr>
      <w:r>
        <w:rPr>
          <w:lang w:val="en-US"/>
        </w:rPr>
        <w:t xml:space="preserve">En la medición del </w:t>
      </w:r>
      <w:r>
        <w:rPr>
          <w:iCs/>
          <w:lang w:val="en-US"/>
        </w:rPr>
        <w:t>grado de verdad</w:t>
      </w:r>
      <w:r>
        <w:rPr>
          <w:i/>
          <w:lang w:val="en-US"/>
        </w:rPr>
        <w:t xml:space="preserve"> </w:t>
      </w:r>
      <w:r>
        <w:rPr>
          <w:lang w:val="en-US"/>
        </w:rPr>
        <w:t xml:space="preserve">de los resúmenes lingüísticos, la extensión </w:t>
      </w:r>
      <w:r>
        <w:rPr>
          <w:i/>
        </w:rPr>
        <w:t>Te</w:t>
      </w:r>
      <w:r>
        <w:rPr>
          <w:i/>
          <w:vertAlign w:val="subscript"/>
        </w:rPr>
        <w:t>1a</w:t>
      </w:r>
      <w:r>
        <w:rPr/>
        <w:t xml:space="preserve"> reportó un comportamiento significativamente mejor que la variante tradicional </w:t>
      </w:r>
      <w:r>
        <w:rPr>
          <w:i/>
        </w:rPr>
        <w:t>T</w:t>
      </w:r>
      <w:r>
        <w:rPr>
          <w:i/>
          <w:vertAlign w:val="subscript"/>
        </w:rPr>
        <w:t>1</w:t>
      </w:r>
      <w:r>
        <w:rPr/>
        <w:t xml:space="preserve"> en las clases de prueba analizadas</w:t>
      </w:r>
      <w:r>
        <w:rPr>
          <w:lang w:val="en-US"/>
        </w:rPr>
        <w:t xml:space="preserve">. </w:t>
      </w:r>
    </w:p>
    <w:p>
      <w:pPr>
        <w:pStyle w:val="ListParagraph"/>
        <w:numPr>
          <w:ilvl w:val="0"/>
          <w:numId w:val="85"/>
        </w:numPr>
        <w:ind w:left="426" w:hanging="360"/>
        <w:rPr/>
      </w:pPr>
      <w:r>
        <w:rPr>
          <w:lang w:val="en-US"/>
        </w:rPr>
        <w:t xml:space="preserve">El indicador </w:t>
      </w:r>
      <w:r>
        <w:rPr>
          <w:i/>
        </w:rPr>
        <w:t>T</w:t>
      </w:r>
      <w:r>
        <w:rPr>
          <w:i/>
          <w:vertAlign w:val="subscript"/>
        </w:rPr>
        <w:t>2</w:t>
      </w:r>
      <w:r>
        <w:rPr>
          <w:i/>
        </w:rPr>
        <w:t xml:space="preserve"> </w:t>
      </w:r>
      <w:r>
        <w:rPr>
          <w:lang w:val="en-US"/>
        </w:rPr>
        <w:t xml:space="preserve">es complementado con otros cuatro indicadores que ayudan a medir la imprecisión del resumen, pues se mide con mayor precisión los grados de indeterminación y falsedad a través de los indicadores </w:t>
      </w:r>
      <w:r>
        <w:rPr>
          <w:i/>
        </w:rPr>
        <w:t>Te</w:t>
      </w:r>
      <w:r>
        <w:rPr>
          <w:i/>
          <w:vertAlign w:val="subscript"/>
        </w:rPr>
        <w:t>2c</w:t>
      </w:r>
      <w:r>
        <w:rPr>
          <w:lang w:val="en-US"/>
        </w:rPr>
        <w:t xml:space="preserve"> y </w:t>
      </w:r>
      <w:r>
        <w:rPr>
          <w:i/>
        </w:rPr>
        <w:t>Te</w:t>
      </w:r>
      <w:r>
        <w:rPr>
          <w:i/>
          <w:vertAlign w:val="subscript"/>
        </w:rPr>
        <w:t>2d</w:t>
      </w:r>
      <w:r>
        <w:rPr>
          <w:lang w:val="en-US"/>
        </w:rPr>
        <w:t xml:space="preserve"> respectivamente. Por otra parte, los indicadores </w:t>
      </w:r>
      <w:r>
        <w:rPr>
          <w:i/>
        </w:rPr>
        <w:t>Te</w:t>
      </w:r>
      <w:r>
        <w:rPr>
          <w:i/>
          <w:vertAlign w:val="subscript"/>
        </w:rPr>
        <w:t>2a</w:t>
      </w:r>
      <w:r>
        <w:rPr>
          <w:lang w:val="en-US"/>
        </w:rPr>
        <w:t xml:space="preserve"> y </w:t>
      </w:r>
      <w:r>
        <w:rPr>
          <w:i/>
        </w:rPr>
        <w:t>Te</w:t>
      </w:r>
      <w:r>
        <w:rPr>
          <w:i/>
          <w:vertAlign w:val="subscript"/>
        </w:rPr>
        <w:t>2b</w:t>
      </w:r>
      <w:r>
        <w:rPr>
          <w:lang w:val="en-US"/>
        </w:rPr>
        <w:t xml:space="preserve"> brindan dos formas de medir la incertidumbre al combinar los grados de certeza, indeterminación y falsedad en una única medida.</w:t>
      </w:r>
    </w:p>
    <w:p>
      <w:pPr>
        <w:pStyle w:val="ListParagraph"/>
        <w:numPr>
          <w:ilvl w:val="0"/>
          <w:numId w:val="85"/>
        </w:numPr>
        <w:ind w:left="426" w:hanging="360"/>
        <w:rPr/>
      </w:pPr>
      <w:r>
        <w:rPr>
          <w:lang w:val="en-US"/>
        </w:rPr>
        <w:t xml:space="preserve">Respecto al </w:t>
      </w:r>
      <w:r>
        <w:rPr>
          <w:iCs/>
          <w:lang w:val="en-US"/>
        </w:rPr>
        <w:t>grado de cobertura</w:t>
      </w:r>
      <w:r>
        <w:rPr>
          <w:lang w:val="en-US"/>
        </w:rPr>
        <w:t xml:space="preserve">, </w:t>
      </w:r>
      <w:r>
        <w:rPr/>
        <w:t xml:space="preserve">se puede decir que el </w:t>
      </w:r>
      <w:r>
        <w:rPr>
          <w:i/>
        </w:rPr>
        <w:t>Te</w:t>
      </w:r>
      <w:r>
        <w:rPr>
          <w:i/>
          <w:vertAlign w:val="subscript"/>
        </w:rPr>
        <w:t>3</w:t>
      </w:r>
      <w:r>
        <w:rPr>
          <w:i/>
        </w:rPr>
        <w:t xml:space="preserve"> </w:t>
      </w:r>
      <w:r>
        <w:rPr/>
        <w:t xml:space="preserve">extendido es más estricto que el </w:t>
      </w:r>
      <w:r>
        <w:rPr>
          <w:i/>
        </w:rPr>
        <w:t>T</w:t>
      </w:r>
      <w:r>
        <w:rPr>
          <w:i/>
          <w:vertAlign w:val="subscript"/>
        </w:rPr>
        <w:t>3</w:t>
      </w:r>
      <w:r>
        <w:rPr/>
        <w:t xml:space="preserve"> tradicional</w:t>
      </w:r>
      <w:r>
        <w:rPr>
          <w:lang w:val="es-ES"/>
        </w:rPr>
        <w:t>,</w:t>
      </w:r>
      <w:r>
        <w:rPr/>
        <w:t xml:space="preserve"> permite diferenciar mejor los escenarios representados por las clases de prueba.</w:t>
      </w:r>
      <w:r>
        <w:rPr>
          <w:lang w:val="es-ES"/>
        </w:rPr>
        <w:t xml:space="preserve"> </w:t>
      </w:r>
    </w:p>
    <w:p>
      <w:pPr>
        <w:pStyle w:val="ListParagraph"/>
        <w:numPr>
          <w:ilvl w:val="0"/>
          <w:numId w:val="85"/>
        </w:numPr>
        <w:ind w:left="426" w:hanging="360"/>
        <w:rPr/>
      </w:pPr>
      <w:r>
        <w:rPr>
          <w:lang w:val="es-ES"/>
        </w:rPr>
        <w:t>Así mismo, e</w:t>
      </w:r>
      <w:r>
        <w:rPr/>
        <w:t xml:space="preserve">n el </w:t>
      </w:r>
      <w:r>
        <w:rPr>
          <w:iCs/>
        </w:rPr>
        <w:t>grado de adecuación</w:t>
      </w:r>
      <w:r>
        <w:rPr>
          <w:lang w:val="es-ES"/>
        </w:rPr>
        <w:t>,</w:t>
      </w:r>
      <w:r>
        <w:rPr/>
        <w:t xml:space="preserve"> el </w:t>
      </w:r>
      <w:r>
        <w:rPr>
          <w:i/>
        </w:rPr>
        <w:t>Te</w:t>
      </w:r>
      <w:r>
        <w:rPr>
          <w:i/>
          <w:vertAlign w:val="subscript"/>
        </w:rPr>
        <w:t>4</w:t>
      </w:r>
      <w:r>
        <w:rPr>
          <w:i/>
        </w:rPr>
        <w:t xml:space="preserve"> </w:t>
      </w:r>
      <w:r>
        <w:rPr/>
        <w:t xml:space="preserve">tiene una mayor diferenciación de los escenarios representados por las clases de prueba respecto al </w:t>
      </w:r>
      <w:r>
        <w:rPr>
          <w:i/>
        </w:rPr>
        <w:t>T</w:t>
      </w:r>
      <w:r>
        <w:rPr>
          <w:i/>
          <w:vertAlign w:val="subscript"/>
        </w:rPr>
        <w:t>4</w:t>
      </w:r>
      <w:r>
        <w:rPr>
          <w:lang w:val="es-ES"/>
        </w:rPr>
        <w:t xml:space="preserve">, </w:t>
      </w:r>
      <w:r>
        <w:rPr/>
        <w:t xml:space="preserve">porque promueve la identificación de relaciones peculiares entre variables, </w:t>
      </w:r>
      <w:r>
        <w:rPr>
          <w:lang w:val="es-ES"/>
        </w:rPr>
        <w:t xml:space="preserve">como las </w:t>
      </w:r>
      <w:r>
        <w:rPr/>
        <w:t xml:space="preserve">relaciones que no están presentes en la mayoría de los objetos de la base de datos pero que son fuertes en </w:t>
      </w:r>
      <w:r>
        <w:rPr>
          <w:lang w:val="es-ES"/>
        </w:rPr>
        <w:t xml:space="preserve">aquellos </w:t>
      </w:r>
      <w:r>
        <w:rPr/>
        <w:t xml:space="preserve">objetos donde aparecen. El nuevo indicador complementa al original </w:t>
      </w:r>
      <w:r>
        <w:rPr>
          <w:lang w:val="es-ES"/>
        </w:rPr>
        <w:t xml:space="preserve">al brindar una medida de adecuación que combina el grado de certidumbre con la </w:t>
      </w:r>
      <w:r>
        <w:rPr/>
        <w:t xml:space="preserve">indeterminación y </w:t>
      </w:r>
      <w:r>
        <w:rPr>
          <w:lang w:val="es-ES"/>
        </w:rPr>
        <w:t>la falsedad</w:t>
      </w:r>
      <w:r>
        <w:rPr/>
        <w:t>.</w:t>
      </w:r>
    </w:p>
    <w:p>
      <w:pPr>
        <w:pStyle w:val="ListParagraph"/>
        <w:numPr>
          <w:ilvl w:val="0"/>
          <w:numId w:val="85"/>
        </w:numPr>
        <w:ind w:left="426" w:hanging="360"/>
        <w:rPr/>
      </w:pPr>
      <w:r>
        <w:rPr>
          <w:lang w:val="es-ES"/>
        </w:rPr>
        <w:t xml:space="preserve">Respecto a los </w:t>
      </w:r>
      <w:r>
        <w:rPr/>
        <w:t>indicador</w:t>
      </w:r>
      <w:r>
        <w:rPr>
          <w:lang w:val="es-ES"/>
        </w:rPr>
        <w:t>es</w:t>
      </w:r>
      <w:r>
        <w:rPr/>
        <w:t xml:space="preserve"> </w:t>
      </w:r>
      <w:r>
        <w:rPr>
          <w:lang w:val="es-ES"/>
        </w:rPr>
        <w:t xml:space="preserve">para medir la </w:t>
      </w:r>
      <w:r>
        <w:rPr/>
        <w:t>longitud de un resumen</w:t>
      </w:r>
      <w:r>
        <w:rPr>
          <w:lang w:val="es-ES"/>
        </w:rPr>
        <w:t xml:space="preserve">, el </w:t>
      </w:r>
      <w:r>
        <w:rPr>
          <w:i/>
        </w:rPr>
        <w:t>T</w:t>
      </w:r>
      <w:r>
        <w:rPr>
          <w:i/>
          <w:vertAlign w:val="subscript"/>
        </w:rPr>
        <w:t>5</w:t>
      </w:r>
      <w:r>
        <w:rPr/>
        <w:t xml:space="preserve"> tradicional </w:t>
      </w:r>
      <w:r>
        <w:rPr>
          <w:lang w:val="es-ES"/>
        </w:rPr>
        <w:t xml:space="preserve">tiene un comportamiento </w:t>
      </w:r>
      <w:r>
        <w:rPr>
          <w:lang w:eastAsia="en-US"/>
        </w:rPr>
        <w:t>abrupt</w:t>
      </w:r>
      <w:r>
        <w:rPr>
          <w:lang w:val="es-ES" w:eastAsia="en-US"/>
        </w:rPr>
        <w:t xml:space="preserve">o, de modo que </w:t>
      </w:r>
      <w:r>
        <w:rPr/>
        <w:t>cae</w:t>
      </w:r>
      <w:r>
        <w:rPr>
          <w:lang w:val="es-ES"/>
        </w:rPr>
        <w:t xml:space="preserve"> </w:t>
      </w:r>
      <w:r>
        <w:rPr>
          <w:lang w:eastAsia="en-US"/>
        </w:rPr>
        <w:t>abrupta</w:t>
      </w:r>
      <w:r>
        <w:rPr>
          <w:lang w:val="es-ES" w:eastAsia="en-US"/>
        </w:rPr>
        <w:t>mente</w:t>
      </w:r>
      <w:r>
        <w:rPr>
          <w:lang w:eastAsia="en-US"/>
        </w:rPr>
        <w:t xml:space="preserve"> desde resúmenes de longitud 1 a resúmenes de longitud </w:t>
      </w:r>
      <w:r>
        <w:rPr>
          <w:lang w:val="es-ES" w:eastAsia="en-US"/>
        </w:rPr>
        <w:t xml:space="preserve">3. Mientras que su propuesta de reemplazo, el </w:t>
      </w:r>
      <w:r>
        <w:rPr>
          <w:i/>
        </w:rPr>
        <w:t>Te</w:t>
      </w:r>
      <w:r>
        <w:rPr>
          <w:vertAlign w:val="subscript"/>
        </w:rPr>
        <w:t>5</w:t>
      </w:r>
      <w:r>
        <w:rPr/>
        <w:t xml:space="preserve"> </w:t>
      </w:r>
      <w:r>
        <w:rPr>
          <w:lang w:eastAsia="en-US"/>
        </w:rPr>
        <w:t>extendido</w:t>
      </w:r>
      <w:r>
        <w:rPr>
          <w:lang w:val="es-ES" w:eastAsia="en-US"/>
        </w:rPr>
        <w:t xml:space="preserve">, muestra </w:t>
      </w:r>
      <w:r>
        <w:rPr>
          <w:lang w:eastAsia="en-US"/>
        </w:rPr>
        <w:t>una curva más suave</w:t>
      </w:r>
      <w:r>
        <w:rPr>
          <w:lang w:val="es-ES" w:eastAsia="en-US"/>
        </w:rPr>
        <w:t xml:space="preserve"> que favorece a los resúmenes de longitud 2 y 3 con un comportamiento más deseado.</w:t>
      </w:r>
    </w:p>
    <w:p>
      <w:pPr>
        <w:pStyle w:val="Heading1"/>
        <w:numPr>
          <w:ilvl w:val="0"/>
          <w:numId w:val="80"/>
        </w:numPr>
        <w:rPr/>
      </w:pPr>
      <w:bookmarkStart w:id="1560" w:name="_Toc84598942"/>
      <w:bookmarkStart w:id="1561" w:name="_Toc503785605"/>
      <w:bookmarkStart w:id="1562" w:name="_Toc509425793"/>
      <w:bookmarkStart w:id="1563" w:name="_Toc534990050"/>
      <w:bookmarkStart w:id="1564" w:name="_Toc535010875"/>
      <w:bookmarkStart w:id="1565" w:name="_Toc535013889"/>
      <w:bookmarkStart w:id="1566" w:name="_Toc535014328"/>
      <w:bookmarkStart w:id="1567" w:name="_Toc535040094"/>
      <w:bookmarkStart w:id="1568" w:name="_Toc50464274"/>
      <w:bookmarkStart w:id="1569" w:name="_Toc50464275"/>
      <w:bookmarkStart w:id="1570" w:name="_Toc4764761331"/>
      <w:bookmarkStart w:id="1571" w:name="_Toc4842938831"/>
      <w:bookmarkEnd w:id="1560"/>
      <w:bookmarkEnd w:id="1561"/>
      <w:bookmarkEnd w:id="1562"/>
      <w:bookmarkEnd w:id="1563"/>
      <w:bookmarkEnd w:id="1564"/>
      <w:bookmarkEnd w:id="1565"/>
      <w:bookmarkEnd w:id="1566"/>
      <w:bookmarkEnd w:id="1567"/>
      <w:bookmarkEnd w:id="1568"/>
      <w:bookmarkEnd w:id="1569"/>
      <w:bookmarkEnd w:id="1570"/>
      <w:bookmarkEnd w:id="1571"/>
      <w:r>
        <w:rPr/>
        <w:t>Capítulo 4 Validación de la eficacia de los algoritmos propuestos</w:t>
      </w:r>
    </w:p>
    <w:p>
      <w:pPr>
        <w:pStyle w:val="Normal"/>
        <w:rPr/>
      </w:pPr>
      <w:bookmarkStart w:id="1572" w:name="_Toc68721167"/>
      <w:bookmarkStart w:id="1573" w:name="_Toc68721558"/>
      <w:bookmarkStart w:id="1574" w:name="_Toc68721837"/>
      <w:bookmarkStart w:id="1575" w:name="_Toc68722192"/>
      <w:bookmarkStart w:id="1576" w:name="_Toc68722266"/>
      <w:bookmarkStart w:id="1577" w:name="_Toc68932998"/>
      <w:bookmarkStart w:id="1578" w:name="_Toc68946364"/>
      <w:bookmarkStart w:id="1579" w:name="_Toc68721168"/>
      <w:bookmarkStart w:id="1580" w:name="_Toc68721559"/>
      <w:bookmarkStart w:id="1581" w:name="_Toc68721838"/>
      <w:bookmarkStart w:id="1582" w:name="_Toc68722193"/>
      <w:bookmarkStart w:id="1583" w:name="_Toc68722267"/>
      <w:bookmarkStart w:id="1584" w:name="_Toc68932999"/>
      <w:bookmarkStart w:id="1585" w:name="_Toc68946365"/>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r>
        <w:rPr/>
        <w:t xml:space="preserve">En este capítulo, se aplica una estrategia de validación para la comparación de los algoritmos propuestos con algunos de los reportados en la bibliografía, aplicando métodos </w:t>
      </w:r>
      <w:r>
        <w:rPr>
          <w:lang w:val="en-US"/>
        </w:rPr>
        <w:t>cuantitativos del diseño de experimentos</w:t>
      </w:r>
      <w:r>
        <w:rPr/>
        <w:t>. Para este análisis de comparación, se tienen en cuenta los indicadores para evaluar la calidad de los resúmenes lingüísticos referenciados en la bibliografía, los extendidos propuestos en el capítulo 3, y otros indicadores como el “cubrimiento” de las diferentes situaciones en la base de datos, la “fortaleza de las relaciones que descubren”</w:t>
      </w:r>
      <w:r>
        <w:rPr>
          <w:rStyle w:val="FootnoteAnchor"/>
        </w:rPr>
        <w:footnoteReference w:id="12"/>
      </w:r>
      <w:r>
        <w:rPr/>
        <w:t xml:space="preserve"> y el tiempo de ejecución.</w:t>
      </w:r>
    </w:p>
    <w:p>
      <w:pPr>
        <w:pStyle w:val="Normal"/>
        <w:rPr/>
      </w:pPr>
      <w:bookmarkStart w:id="1586" w:name="_Toc68722194"/>
      <w:bookmarkStart w:id="1587" w:name="_Toc68722268"/>
      <w:bookmarkStart w:id="1588" w:name="_Toc68933000"/>
      <w:bookmarkStart w:id="1589" w:name="_Toc68946366"/>
      <w:bookmarkStart w:id="1590" w:name="_Toc68972836"/>
      <w:bookmarkStart w:id="1591" w:name="_Toc68974339"/>
      <w:bookmarkStart w:id="1592" w:name="_Toc68975210"/>
      <w:bookmarkStart w:id="1593" w:name="_Toc68978858"/>
      <w:bookmarkStart w:id="1594" w:name="_Toc70273139"/>
      <w:bookmarkStart w:id="1595" w:name="_Toc70274308"/>
      <w:bookmarkStart w:id="1596" w:name="_Toc70274357"/>
      <w:bookmarkStart w:id="1597" w:name="_Toc79055689"/>
      <w:bookmarkStart w:id="1598" w:name="_Toc79055846"/>
      <w:bookmarkStart w:id="1599" w:name="_Toc7907833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r>
        <w:rPr/>
        <w:t>Posteriormente se analiza el desempeño global de los algoritmos, considerando el comportamiento de todos los indicadores empleados en las comparaciones. Se demuestra a través de un caso de estudio la aplicabilidad de los algoritmos propuestos. Finalmente se presentan las conclusiones del capítulo.</w:t>
      </w:r>
    </w:p>
    <w:p>
      <w:pPr>
        <w:pStyle w:val="Normal"/>
        <w:rPr>
          <w:rFonts w:eastAsia="MS Gothic"/>
          <w:b/>
          <w:b/>
          <w:bCs w:val="false"/>
          <w:caps/>
          <w:vanish/>
          <w:color w:val="00000A"/>
          <w:sz w:val="32"/>
          <w:szCs w:val="28"/>
          <w:lang w:eastAsia="ja-JP"/>
        </w:rPr>
      </w:pPr>
      <w:r>
        <w:rPr>
          <w:rFonts w:eastAsia="MS Gothic"/>
          <w:b/>
          <w:bCs w:val="false"/>
          <w:caps/>
          <w:vanish/>
          <w:color w:val="00000A"/>
          <w:sz w:val="32"/>
          <w:szCs w:val="28"/>
          <w:lang w:eastAsia="ja-JP"/>
        </w:rPr>
      </w:r>
    </w:p>
    <w:p>
      <w:pPr>
        <w:pStyle w:val="Heading2"/>
        <w:numPr>
          <w:ilvl w:val="1"/>
          <w:numId w:val="80"/>
        </w:numPr>
        <w:rPr>
          <w:lang w:val="en-US"/>
        </w:rPr>
      </w:pPr>
      <w:bookmarkStart w:id="1600" w:name="_Toc84598943"/>
      <w:bookmarkStart w:id="1601" w:name="_Toc79055690"/>
      <w:bookmarkStart w:id="1602" w:name="_Toc79055847"/>
      <w:bookmarkStart w:id="1603" w:name="_Toc79078336"/>
      <w:bookmarkEnd w:id="1600"/>
      <w:bookmarkEnd w:id="1601"/>
      <w:bookmarkEnd w:id="1602"/>
      <w:bookmarkEnd w:id="1603"/>
      <w:r>
        <w:rPr>
          <w:lang w:val="en-US"/>
        </w:rPr>
        <w:t>Parámetros de algoritmos y bases de datos empleadas en la experimentación</w:t>
      </w:r>
    </w:p>
    <w:p>
      <w:pPr>
        <w:pStyle w:val="Normal"/>
        <w:rPr>
          <w:lang w:val="en-US"/>
        </w:rPr>
      </w:pPr>
      <w:r>
        <w:rPr>
          <w:lang w:val="en-US"/>
        </w:rPr>
        <w:t xml:space="preserve">En la definición de los parámetros para las corridas experimentales, se establece como principio que los parámetros que son comunes a varios algoritmos se fijan con un valor para mitigar sesgo en la experimentación. Se emplean los siguientes parámetros: </w:t>
      </w:r>
    </w:p>
    <w:p>
      <w:pPr>
        <w:pStyle w:val="ListParagraph"/>
        <w:numPr>
          <w:ilvl w:val="0"/>
          <w:numId w:val="16"/>
        </w:numPr>
        <w:ind w:left="567" w:hanging="360"/>
        <w:rPr/>
      </w:pPr>
      <w:r>
        <w:rPr>
          <w:i/>
          <w:iCs/>
        </w:rPr>
        <w:t>LV</w:t>
      </w:r>
      <w:r>
        <w:rPr>
          <w:i/>
          <w:iCs/>
          <w:vertAlign w:val="subscript"/>
        </w:rPr>
        <w:t>Q</w:t>
      </w:r>
      <w:r>
        <w:rPr>
          <w:lang w:val="en-US"/>
        </w:rPr>
        <w:t xml:space="preserve">: se emplean las funciones triangulares definidas en la </w:t>
      </w:r>
      <w:r>
        <w:rPr>
          <w:lang w:val="en-US"/>
        </w:rPr>
        <w:fldChar w:fldCharType="begin"/>
      </w:r>
      <w:r>
        <w:instrText> REF _Ref68935582 \h </w:instrText>
      </w:r>
      <w:r>
        <w:fldChar w:fldCharType="separate"/>
      </w:r>
      <w:r>
        <w:t>Tabla 4</w:t>
      </w:r>
      <w:r>
        <w:fldChar w:fldCharType="end"/>
      </w:r>
      <w:r>
        <w:rPr>
          <w:lang w:val="en-US"/>
        </w:rPr>
        <w:t xml:space="preserve"> de la sección 2.2 sobre las notaciones, esta decisión se tomó para lograr mayor simplicidad en las pruebas.</w:t>
      </w:r>
    </w:p>
    <w:p>
      <w:pPr>
        <w:pStyle w:val="ListParagraph"/>
        <w:numPr>
          <w:ilvl w:val="0"/>
          <w:numId w:val="16"/>
        </w:numPr>
        <w:ind w:left="567" w:hanging="360"/>
        <w:rPr>
          <w:lang w:val="en-US"/>
        </w:rPr>
      </w:pPr>
      <w:r>
        <w:rPr>
          <w:i/>
          <w:iCs/>
        </w:rPr>
        <w:t>A</w:t>
      </w:r>
      <w:r>
        <w:rPr>
          <w:i/>
          <w:iCs/>
          <w:vertAlign w:val="subscript"/>
        </w:rPr>
        <w:t>LV</w:t>
      </w:r>
      <w:r>
        <w:rPr>
          <w:i/>
          <w:iCs/>
          <w:lang w:val="es-ES"/>
        </w:rPr>
        <w:t xml:space="preserve">: </w:t>
      </w:r>
      <w:r>
        <w:rPr>
          <w:lang w:val="es-ES"/>
        </w:rPr>
        <w:t>se construye un conjunto de variables lingüísticas por cada base de datos que es empleado por todos los algoritmos.</w:t>
      </w:r>
    </w:p>
    <w:p>
      <w:pPr>
        <w:pStyle w:val="ListParagraph"/>
        <w:numPr>
          <w:ilvl w:val="0"/>
          <w:numId w:val="16"/>
        </w:numPr>
        <w:ind w:left="567" w:hanging="360"/>
        <w:rPr>
          <w:lang w:val="en-US"/>
        </w:rPr>
      </w:pPr>
      <w:r>
        <w:rPr>
          <w:rFonts w:eastAsia="Symbol" w:cs="Symbol" w:ascii="Symbol" w:hAnsi="Symbol"/>
          <w:i/>
          <w:iCs/>
        </w:rPr>
        <w:t></w:t>
      </w:r>
      <w:r>
        <w:rPr>
          <w:i/>
          <w:iCs/>
          <w:lang w:val="es-ES"/>
        </w:rPr>
        <w:t xml:space="preserve">: </w:t>
      </w:r>
      <w:r>
        <w:rPr>
          <w:lang w:val="es-ES"/>
        </w:rPr>
        <w:t xml:space="preserve">se fija el valor 0.33 y es aplicado por igual a todos los algoritmos.   </w:t>
      </w:r>
      <w:r>
        <w:rPr>
          <w:lang w:val="en-US"/>
        </w:rPr>
        <w:t xml:space="preserve"> </w:t>
      </w:r>
    </w:p>
    <w:p>
      <w:pPr>
        <w:pStyle w:val="ListParagraph"/>
        <w:numPr>
          <w:ilvl w:val="0"/>
          <w:numId w:val="16"/>
        </w:numPr>
        <w:ind w:left="567" w:hanging="360"/>
        <w:rPr/>
      </w:pPr>
      <w:r>
        <w:rPr>
          <w:i/>
          <w:iCs/>
          <w:lang w:val="fr-FR"/>
        </w:rPr>
        <w:t>percentil_component y percentil_elbow</w:t>
      </w:r>
      <w:r>
        <w:rPr>
          <w:lang w:val="fr-FR"/>
        </w:rPr>
        <w:t xml:space="preserve">: se fijan con valores 0.2 y 0.1 respectivamente. Son usados por el algoritmo </w:t>
      </w:r>
      <w:r>
        <w:rPr>
          <w:i/>
          <w:iCs/>
          <w:lang w:val="fr-FR"/>
        </w:rPr>
        <w:t xml:space="preserve">PCA_LDS. </w:t>
      </w:r>
      <w:r>
        <w:rPr>
          <w:lang w:val="fr-FR"/>
        </w:rPr>
        <w:t xml:space="preserve">Se toman valores sobre lo bajo para no afectar significativamente la extensión de la búsqueda en el algoritmo durante la experimentación. </w:t>
      </w:r>
    </w:p>
    <w:p>
      <w:pPr>
        <w:pStyle w:val="ListParagraph"/>
        <w:numPr>
          <w:ilvl w:val="0"/>
          <w:numId w:val="16"/>
        </w:numPr>
        <w:ind w:left="567" w:hanging="360"/>
        <w:rPr/>
      </w:pPr>
      <w:r>
        <w:rPr>
          <w:i/>
          <w:iCs/>
          <w:lang w:val="fr-FR"/>
        </w:rPr>
        <w:t>support</w:t>
      </w:r>
      <w:r>
        <w:rPr>
          <w:lang w:val="fr-FR"/>
        </w:rPr>
        <w:t xml:space="preserve"> y </w:t>
      </w:r>
      <w:r>
        <w:rPr>
          <w:i/>
          <w:iCs/>
          <w:lang w:val="fr-FR"/>
        </w:rPr>
        <w:t>confidence</w:t>
      </w:r>
      <w:r>
        <w:rPr>
          <w:lang w:val="fr-FR"/>
        </w:rPr>
        <w:t xml:space="preserve">: son parámetros empleados en los algoritmos </w:t>
      </w:r>
      <w:r>
        <w:rPr>
          <w:i/>
          <w:iCs/>
          <w:lang w:val="fr-FR"/>
        </w:rPr>
        <w:t>PCA_LDS</w:t>
      </w:r>
      <w:r>
        <w:rPr>
          <w:lang w:val="fr-FR"/>
        </w:rPr>
        <w:t xml:space="preserve"> y </w:t>
      </w:r>
      <w:r>
        <w:rPr>
          <w:i/>
          <w:iCs/>
          <w:lang w:val="fr-FR"/>
        </w:rPr>
        <w:t>Apriori_LDS</w:t>
      </w:r>
      <w:r>
        <w:rPr>
          <w:lang w:val="fr-FR"/>
        </w:rPr>
        <w:t xml:space="preserve">, estos valores se fijan en un valor medio. </w:t>
      </w:r>
    </w:p>
    <w:p>
      <w:pPr>
        <w:pStyle w:val="ListParagraph"/>
        <w:numPr>
          <w:ilvl w:val="0"/>
          <w:numId w:val="16"/>
        </w:numPr>
        <w:ind w:left="567" w:hanging="360"/>
        <w:rPr/>
      </w:pPr>
      <w:r>
        <w:rPr>
          <w:rFonts w:eastAsia="Symbol" w:cs="Symbol" w:ascii="Symbol" w:hAnsi="Symbol"/>
        </w:rPr>
        <w:t></w:t>
      </w:r>
      <w:r>
        <w:rPr>
          <w:i/>
          <w:iCs/>
          <w:sz w:val="20"/>
          <w:szCs w:val="20"/>
          <w:vertAlign w:val="subscript"/>
        </w:rPr>
        <w:t>k1</w:t>
      </w:r>
      <w:r>
        <w:rPr>
          <w:i/>
          <w:iCs/>
          <w:sz w:val="20"/>
          <w:szCs w:val="20"/>
          <w:lang w:val="es-ES"/>
        </w:rPr>
        <w:t xml:space="preserve"> </w:t>
      </w:r>
      <w:r>
        <w:rPr>
          <w:sz w:val="20"/>
          <w:szCs w:val="20"/>
          <w:lang w:val="es-ES"/>
        </w:rPr>
        <w:t>y</w:t>
      </w:r>
      <w:r>
        <w:rPr>
          <w:i/>
          <w:iCs/>
          <w:sz w:val="20"/>
          <w:szCs w:val="20"/>
          <w:lang w:val="es-ES"/>
        </w:rPr>
        <w:t xml:space="preserve"> </w:t>
      </w:r>
      <w:r>
        <w:rPr>
          <w:rFonts w:eastAsia="Symbol" w:cs="Symbol" w:ascii="Symbol" w:hAnsi="Symbol"/>
          <w:i/>
          <w:iCs/>
          <w:szCs w:val="20"/>
        </w:rPr>
        <w:t></w:t>
      </w:r>
      <w:r>
        <w:rPr>
          <w:i/>
          <w:iCs/>
          <w:sz w:val="20"/>
          <w:szCs w:val="20"/>
          <w:vertAlign w:val="subscript"/>
        </w:rPr>
        <w:t>k2</w:t>
      </w:r>
      <w:r>
        <w:rPr>
          <w:i/>
          <w:iCs/>
          <w:sz w:val="20"/>
          <w:szCs w:val="20"/>
          <w:lang w:val="es-ES"/>
        </w:rPr>
        <w:t xml:space="preserve">: </w:t>
      </w:r>
      <w:r>
        <w:rPr>
          <w:lang w:val="fr-FR"/>
        </w:rPr>
        <w:t xml:space="preserve">se fijan en los valores 0.9 y 0.8 respectivamente. Son empleados por el algoritmo </w:t>
      </w:r>
      <w:r>
        <w:rPr>
          <w:i/>
          <w:iCs/>
          <w:lang w:val="fr-FR"/>
        </w:rPr>
        <w:t>RST_LDS.</w:t>
      </w:r>
      <w:r>
        <w:rPr>
          <w:lang w:val="fr-FR"/>
        </w:rPr>
        <w:t xml:space="preserve"> Se consideran valores medianamente altos, para no restringir demasiado la extensión del proceso de búsqueda.</w:t>
      </w:r>
    </w:p>
    <w:p>
      <w:pPr>
        <w:pStyle w:val="ListParagraph"/>
        <w:numPr>
          <w:ilvl w:val="0"/>
          <w:numId w:val="16"/>
        </w:numPr>
        <w:ind w:left="567" w:hanging="360"/>
        <w:rPr/>
      </w:pPr>
      <w:r>
        <w:rPr>
          <w:i/>
          <w:iCs/>
          <w:lang w:val="fr-FR"/>
        </w:rPr>
        <w:t>percentil</w:t>
      </w:r>
      <w:r>
        <w:rPr>
          <w:lang w:val="fr-FR"/>
        </w:rPr>
        <w:t xml:space="preserve">: parámetro usado en el </w:t>
      </w:r>
      <w:r>
        <w:rPr>
          <w:lang w:val="fr-FR"/>
        </w:rPr>
        <w:fldChar w:fldCharType="begin"/>
      </w:r>
      <w:r>
        <w:instrText> REF _Ref68272707 \h </w:instrText>
      </w:r>
      <w:r>
        <w:fldChar w:fldCharType="separate"/>
      </w:r>
      <w:r>
        <w:t>Algoritmo 6</w:t>
      </w:r>
      <w:r>
        <w:fldChar w:fldCharType="end"/>
      </w:r>
      <w:r>
        <w:rPr>
          <w:lang w:val="fr-FR"/>
        </w:rPr>
        <w:t xml:space="preserve"> </w:t>
      </w:r>
      <w:r>
        <w:rPr>
          <w:i/>
          <w:iCs/>
          <w:lang w:val="fr-FR"/>
        </w:rPr>
        <w:t>Outlier_LDS</w:t>
      </w:r>
      <w:r>
        <w:rPr>
          <w:lang w:val="fr-FR"/>
        </w:rPr>
        <w:t xml:space="preserve">. Se fija en 0.92 considerando los resultados reportados en </w:t>
      </w:r>
      <w:r>
        <w:fldChar w:fldCharType="begin"/>
      </w:r>
      <w:r>
        <w:instrText>ADDIN ZOTERO_ITEM CSL_CITATION {"citationID":"EHQ4HvRc","properties":{"formattedCitation":"(Castro Aguilar 2017)","plainCitation":"(Castro Aguilar 2017)","noteIndex":0},"citationItems":[{"id":"NJclqhNX/FJ27pKB2","uris":["http://zotero.org/users/local/rsuvzjK6/items/NUCICDAI"],"uri":["http://zotero.org/users/local/rsuvzjK6/items/NUCICDAI"],"itemData":{"id":3493,"type":"thesis","abstract":"El incremento de la competitividad en los mercados globales ha provocado la necesidad de mejoras en las organizaciones orientadas a proyectos, dirigidas a mejorar la salud financiera y los ingresos de las mismas. En este contexto, surge el aseguramiento de ingresos, como un campo interdisciplinar que combina técnicas de estadística, bases de datos, soft computing y minería de datos anómalos, orientado a la reducción de los costos y la maximización de los ingresos en las organizaciones que los apliquen. Se propone en este trabajo un modelo para el aseguramiento de ingresos para organizaciones orientadas a proyectos, que permita la detección de errores de planificación y la maximización de los ingresos durante el desarrollo de proyectos. Como parte de la novedad del trabajo el modelo propuesto combina técnicas de gestión de riesgos, alcance, tiempo, minería de datos anómalos y técnicas de soft computing. En el trabajo se realizan pruebas de validación cruzada comparando diferentes técnicas, para la detección de situaciones anómalas, en la planificación de los proyectos. En la comparación se emplean bases de datos de gestión de proyectos de desarrollo de soluciones informáticas. El modelo propuesto se introduce como un módulo en la plataforma para la dirección integrada de proyectos GESPRO y se presentan los resultados de su aplicación.","event-place":"La Habana, Cuba","genre":"Doctoral","language":"spa","note":"Accepted: 2019-05-20T19:52:00Z\npublisher: Universidad de las Ciencias Informaticas. Facultad-4.","publisher":"Universidad de las Ciencias Informáticas","publisher-place":"La Habana, Cuba","source":"repositorio.uci.cu","title":"Modelo para el aseguramiento de ingresos en organizaciones orientadas a proyectos basado en minería de datos anómalos","URL":"https://repositorio.uci.cu/jspui/handle/123456789/7933","author":[{"family":"Castro Aguilar","given":"Gilberto Fernando"}],"accessed":{"date-parts":[["2021",4,2]]},"issued":{"date-parts":[["2017"]]}}}],"schema":"https://github.com/citation-style-language/schema/raw/master/csl-citation.json"}</w:instrText>
      </w:r>
      <w:r>
        <w:fldChar w:fldCharType="separate"/>
      </w:r>
      <w:bookmarkStart w:id="1604" w:name="__Fieldmark__13230_2067855929"/>
      <w:r>
        <w:rPr>
          <w:lang w:val="fr-FR"/>
        </w:rPr>
      </w:r>
      <w:r>
        <w:rPr>
          <w:rFonts w:cs="Arial"/>
          <w:lang w:val="fr-FR"/>
        </w:rPr>
        <w:t>(</w:t>
      </w:r>
      <w:bookmarkStart w:id="1605" w:name="__Fieldmark__11692_498839314"/>
      <w:r>
        <w:rPr>
          <w:rFonts w:cs="Arial"/>
          <w:lang w:val="fr-FR"/>
        </w:rPr>
        <w:t>C</w:t>
      </w:r>
      <w:bookmarkStart w:id="1606" w:name="__Fieldmark__10640_998588997"/>
      <w:r>
        <w:rPr>
          <w:rFonts w:cs="Arial"/>
          <w:lang w:val="fr-FR"/>
        </w:rPr>
        <w:t>a</w:t>
      </w:r>
      <w:bookmarkStart w:id="1607" w:name="__Fieldmark__15805_118561941"/>
      <w:r>
        <w:rPr>
          <w:rFonts w:cs="Arial"/>
          <w:lang w:val="fr-FR"/>
        </w:rPr>
        <w:t>stro Aguilar 2017)</w:t>
      </w:r>
      <w:r>
        <w:rPr>
          <w:lang w:val="fr-FR"/>
        </w:rPr>
      </w:r>
      <w:r>
        <w:fldChar w:fldCharType="end"/>
      </w:r>
      <w:bookmarkEnd w:id="1604"/>
      <w:bookmarkEnd w:id="1605"/>
      <w:bookmarkEnd w:id="1606"/>
      <w:bookmarkEnd w:id="1607"/>
      <w:r>
        <w:rPr>
          <w:lang w:val="fr-FR"/>
        </w:rPr>
        <w:t>.</w:t>
      </w:r>
    </w:p>
    <w:p>
      <w:pPr>
        <w:pStyle w:val="Caption1"/>
        <w:keepNext/>
        <w:ind w:left="0" w:hanging="0"/>
        <w:jc w:val="both"/>
        <w:rPr/>
      </w:pPr>
      <w:r>
        <w:rPr>
          <w:rFonts w:cs="Arial"/>
          <w:sz w:val="22"/>
          <w:lang w:val="en-US"/>
        </w:rPr>
        <w:t xml:space="preserve">Para la corrida de los algoritmos, se utilizaron bases de datos de tres entornos que se describen a continuación y que se muestran de forma detallada en </w:t>
      </w:r>
      <w:r>
        <w:rPr>
          <w:rFonts w:cs="Arial"/>
          <w:sz w:val="22"/>
          <w:lang w:val="en-US"/>
        </w:rPr>
        <w:fldChar w:fldCharType="begin"/>
      </w:r>
      <w:r>
        <w:instrText> REF _Ref68936431 \h </w:instrText>
      </w:r>
      <w:r>
        <w:fldChar w:fldCharType="separate"/>
      </w:r>
      <w:r>
        <w:t>Tabla 24</w:t>
      </w:r>
      <w:r>
        <w:fldChar w:fldCharType="end"/>
      </w:r>
      <w:r>
        <w:rPr>
          <w:rFonts w:cs="Arial"/>
          <w:sz w:val="22"/>
          <w:lang w:val="en-US"/>
        </w:rPr>
        <w:t xml:space="preserve"> del </w:t>
      </w:r>
      <w:r>
        <w:rPr>
          <w:rFonts w:cs="Arial"/>
          <w:sz w:val="22"/>
          <w:lang w:val="en-US"/>
        </w:rPr>
        <w:fldChar w:fldCharType="begin"/>
      </w:r>
      <w:r>
        <w:instrText> REF _Ref79489285 \h </w:instrText>
      </w:r>
      <w:r>
        <w:fldChar w:fldCharType="separate"/>
      </w:r>
      <w:r>
        <w:t>Anexo 8</w:t>
      </w:r>
      <w:r>
        <w:fldChar w:fldCharType="end"/>
      </w:r>
      <w:r>
        <w:rPr>
          <w:rFonts w:cs="Arial"/>
          <w:sz w:val="22"/>
          <w:lang w:val="en-US"/>
        </w:rPr>
        <w:t xml:space="preserve">. </w:t>
      </w:r>
    </w:p>
    <w:p>
      <w:pPr>
        <w:pStyle w:val="Normal"/>
        <w:rPr/>
      </w:pPr>
      <w:r>
        <w:rPr>
          <w:lang w:val="en-US"/>
        </w:rPr>
        <w:t xml:space="preserve">Bases de datos asociadas a la evaluación y toma de decisiones en gestión de proyectos, tomadas del repositorio publicado en </w:t>
      </w:r>
      <w:r>
        <w:fldChar w:fldCharType="begin"/>
      </w:r>
      <w:r>
        <w:instrText>ADDIN ZOTERO_ITEM CSL_CITATION {"citationID":"a1p7vqrmgqe","properties":{"formattedCitation":"(P\\uc0\\u233{}rez Pupo 2021)","plainCitation":"(Pérez Pupo 2021)","noteIndex":0},"citationItems":[{"id":3437,"uris":["http://zotero.org/users/local/EJ15hJE2/items/QG9IWYVP"],"uri":["http://zotero.org/users/local/EJ15hJE2/items/QG9IWYVP"],"itemData":{"id":3437,"type":"webpage","title":"Repositorio de investigaciones en gestión de proyectos","URL":"https://gespro.uci.cu/projects/repositorio-de-investigaciones-en-gestion-de-proyectos/dmsf","author":[{"family":"Pérez Pupo","given":"Iliana"}],"issued":{"date-parts":[["2021"]]}}}],"schema":"https://github.com/citation-style-language/schema/raw/master/csl-citation.json"}</w:instrText>
      </w:r>
      <w:r>
        <w:fldChar w:fldCharType="separate"/>
      </w:r>
      <w:bookmarkStart w:id="1608" w:name="__Fieldmark__13256_2067855929"/>
      <w:r>
        <w:rPr>
          <w:lang w:val="en-US"/>
        </w:rPr>
      </w:r>
      <w:r>
        <w:rPr>
          <w:szCs w:val="24"/>
          <w:lang w:val="en-US"/>
        </w:rPr>
        <w:t>(</w:t>
      </w:r>
      <w:bookmarkStart w:id="1609" w:name="__Fieldmark__11713_498839314"/>
      <w:r>
        <w:rPr>
          <w:szCs w:val="24"/>
          <w:lang w:val="en-US"/>
        </w:rPr>
        <w:t>P</w:t>
      </w:r>
      <w:bookmarkStart w:id="1610" w:name="__Fieldmark__10657_998588997"/>
      <w:r>
        <w:rPr>
          <w:szCs w:val="24"/>
          <w:lang w:val="en-US"/>
        </w:rPr>
        <w:t>é</w:t>
      </w:r>
      <w:bookmarkStart w:id="1611" w:name="__Fieldmark__15831_118561941"/>
      <w:r>
        <w:rPr>
          <w:szCs w:val="24"/>
          <w:lang w:val="en-US"/>
        </w:rPr>
        <w:t>rez Pupo 2021)</w:t>
      </w:r>
      <w:r>
        <w:rPr>
          <w:lang w:val="en-US"/>
        </w:rPr>
      </w:r>
      <w:r>
        <w:fldChar w:fldCharType="end"/>
      </w:r>
      <w:bookmarkEnd w:id="1608"/>
      <w:bookmarkEnd w:id="1609"/>
      <w:bookmarkEnd w:id="1610"/>
      <w:bookmarkEnd w:id="1611"/>
      <w:r>
        <w:rPr>
          <w:lang w:val="en-US"/>
        </w:rPr>
        <w:t xml:space="preserve"> </w:t>
      </w:r>
      <w:r>
        <w:fldChar w:fldCharType="begin"/>
      </w:r>
      <w:r>
        <w:instrText>ADDIN ZOTERO_ITEM CSL_CITATION {"citationID":"a2gr3bi7hg7","properties":{"formattedCitation":"(Pi\\uc0\\u241{}ero et\\uc0\\u160{}al. 2019)","plainCitation":"(Piñero et al. 2019)","noteIndex":0},"citationItems":[{"id":"NJclqhNX/j2L6UaC9","uris":["http://zotero.org/users/local/rsuvzjK6/items/WYIWE43D"],"uri":["http://zotero.org/users/local/rsuvzjK6/items/WYIWE43D"],"itemData":{"id":2198,"type":"article-journal","container-title":"Revista Cubana de Ciencias Informáticas","ISSN":"2227-1899","issue":"1","page":"176–191","title":"Repositorio de datos para investigaciones en gestión de proyectos","volume":"13","author":[{"family":"Piñero","given":"Pedro"},{"family":"Pupo","given":"Iliana"},{"family":"Rivero Hechavarría","given":"Claudia Celeste"},{"family":"Rojas","given":"Clarisbel"},{"family":"Sosa","given":"Rosel"},{"family":"Torres","given":"Surayne"}],"issued":{"date-parts":[["2019"]]}}}],"schema":"https://github.com/citation-style-language/schema/raw/master/csl-citation.json"}</w:instrText>
      </w:r>
      <w:r>
        <w:fldChar w:fldCharType="separate"/>
      </w:r>
      <w:bookmarkStart w:id="1612" w:name="__Fieldmark__13271_2067855929"/>
      <w:r>
        <w:rPr>
          <w:lang w:val="en-US"/>
        </w:rPr>
      </w:r>
      <w:r>
        <w:rPr>
          <w:szCs w:val="24"/>
          <w:lang w:val="en-US"/>
        </w:rPr>
        <w:t>(</w:t>
      </w:r>
      <w:bookmarkStart w:id="1613" w:name="__Fieldmark__11724_498839314"/>
      <w:r>
        <w:rPr>
          <w:szCs w:val="24"/>
          <w:lang w:val="en-US"/>
        </w:rPr>
        <w:t>P</w:t>
      </w:r>
      <w:bookmarkStart w:id="1614" w:name="__Fieldmark__10664_998588997"/>
      <w:r>
        <w:rPr>
          <w:szCs w:val="24"/>
          <w:lang w:val="en-US"/>
        </w:rPr>
        <w:t>i</w:t>
      </w:r>
      <w:bookmarkStart w:id="1615" w:name="__Fieldmark__15836_118561941"/>
      <w:r>
        <w:rPr>
          <w:szCs w:val="24"/>
          <w:lang w:val="en-US"/>
        </w:rPr>
        <w:t>ñero et al. 2019)</w:t>
      </w:r>
      <w:r>
        <w:rPr>
          <w:lang w:val="en-US"/>
        </w:rPr>
      </w:r>
      <w:r>
        <w:fldChar w:fldCharType="end"/>
      </w:r>
      <w:bookmarkEnd w:id="1612"/>
      <w:bookmarkEnd w:id="1613"/>
      <w:bookmarkEnd w:id="1614"/>
      <w:bookmarkEnd w:id="1615"/>
      <w:r>
        <w:rPr>
          <w:lang w:val="en-US"/>
        </w:rPr>
        <w:t>:</w:t>
      </w:r>
    </w:p>
    <w:p>
      <w:pPr>
        <w:pStyle w:val="ListParagraph"/>
        <w:numPr>
          <w:ilvl w:val="0"/>
          <w:numId w:val="19"/>
        </w:numPr>
        <w:rPr>
          <w:lang w:val="es-ES"/>
        </w:rPr>
      </w:pPr>
      <w:r>
        <w:rPr>
          <w:i/>
        </w:rPr>
        <w:t>BD_gp_eval_proy_hard</w:t>
      </w:r>
      <w:r>
        <w:rPr>
          <w:iCs/>
          <w:lang w:val="es-ES"/>
        </w:rPr>
        <w:t>:</w:t>
      </w:r>
      <w:r>
        <w:rPr>
          <w:lang w:val="es-ES"/>
        </w:rPr>
        <w:t xml:space="preserve"> base de datos con 229 registros y 8 indicadores que representan casos reales de evaluación de proyectos en diferentes cortes</w:t>
      </w:r>
      <w:r>
        <w:rPr>
          <w:lang w:val="en-US"/>
        </w:rPr>
        <w:t>.</w:t>
      </w:r>
    </w:p>
    <w:p>
      <w:pPr>
        <w:pStyle w:val="ListParagraph"/>
        <w:numPr>
          <w:ilvl w:val="0"/>
          <w:numId w:val="19"/>
        </w:numPr>
        <w:rPr>
          <w:lang w:val="en-US"/>
        </w:rPr>
      </w:pPr>
      <w:r>
        <w:rPr>
          <w:i/>
        </w:rPr>
        <w:t>BD_gp_eval_proy_integral</w:t>
      </w:r>
      <w:r>
        <w:rPr>
          <w:iCs/>
          <w:lang w:val="es-ES"/>
        </w:rPr>
        <w:t>:</w:t>
      </w:r>
      <w:r>
        <w:rPr>
          <w:i/>
          <w:lang w:val="es-ES"/>
        </w:rPr>
        <w:t xml:space="preserve"> </w:t>
      </w:r>
      <w:r>
        <w:rPr>
          <w:lang w:val="en-US"/>
        </w:rPr>
        <w:t>base de datos</w:t>
      </w:r>
      <w:r>
        <w:rPr>
          <w:lang w:val="es-ES"/>
        </w:rPr>
        <w:t xml:space="preserve"> con 8 430 registros y </w:t>
      </w:r>
      <w:r>
        <w:rPr>
          <w:lang w:val="en-US"/>
        </w:rPr>
        <w:t>19 atributos</w:t>
      </w:r>
      <w:r>
        <w:rPr>
          <w:lang w:val="es-ES"/>
        </w:rPr>
        <w:t xml:space="preserve"> que representan a la evaluación integral de proyectos</w:t>
      </w:r>
      <w:r>
        <w:rPr>
          <w:lang w:val="en-US"/>
        </w:rPr>
        <w:t>.</w:t>
      </w:r>
    </w:p>
    <w:p>
      <w:pPr>
        <w:pStyle w:val="ListParagraph"/>
        <w:numPr>
          <w:ilvl w:val="0"/>
          <w:numId w:val="19"/>
        </w:numPr>
        <w:rPr>
          <w:lang w:val="es-ES"/>
        </w:rPr>
      </w:pPr>
      <w:r>
        <w:rPr>
          <w:i/>
        </w:rPr>
        <w:t>BD_gp_indicadores</w:t>
      </w:r>
      <w:r>
        <w:rPr>
          <w:lang w:val="es-ES"/>
        </w:rPr>
        <w:t xml:space="preserve">: </w:t>
      </w:r>
      <w:r>
        <w:rPr>
          <w:lang w:val="en-US"/>
        </w:rPr>
        <w:t>base de datos</w:t>
      </w:r>
      <w:r>
        <w:rPr>
          <w:lang w:val="es-ES"/>
        </w:rPr>
        <w:t xml:space="preserve"> formada por 174 registros y </w:t>
      </w:r>
      <w:r>
        <w:rPr>
          <w:lang w:val="en-US"/>
        </w:rPr>
        <w:t>14 atributos</w:t>
      </w:r>
      <w:r>
        <w:rPr>
          <w:lang w:val="es-ES"/>
        </w:rPr>
        <w:t xml:space="preserve"> asociados a la evaluación de programas de proyectos</w:t>
      </w:r>
      <w:r>
        <w:rPr>
          <w:lang w:val="en-US"/>
        </w:rPr>
        <w:t>.</w:t>
      </w:r>
    </w:p>
    <w:p>
      <w:pPr>
        <w:pStyle w:val="ListParagraph"/>
        <w:numPr>
          <w:ilvl w:val="0"/>
          <w:numId w:val="19"/>
        </w:numPr>
        <w:rPr>
          <w:lang w:val="en-US"/>
        </w:rPr>
      </w:pPr>
      <w:r>
        <w:rPr>
          <w:i/>
          <w:lang w:val="en-US"/>
        </w:rPr>
        <w:t>BD_gp_competencias</w:t>
      </w:r>
      <w:r>
        <w:rPr>
          <w:lang w:val="en-US"/>
        </w:rPr>
        <w:t>: base de datos formada por 20 574 instancias y 12 atributos que representan la evaluación de las competencias de los participantes en proyectos.</w:t>
      </w:r>
    </w:p>
    <w:p>
      <w:pPr>
        <w:pStyle w:val="ListParagraph"/>
        <w:numPr>
          <w:ilvl w:val="0"/>
          <w:numId w:val="19"/>
        </w:numPr>
        <w:rPr>
          <w:lang w:val="en-US"/>
        </w:rPr>
      </w:pPr>
      <w:r>
        <w:rPr>
          <w:i/>
          <w:lang w:val="en-US"/>
        </w:rPr>
        <w:t>BD_gp_rrhh</w:t>
      </w:r>
      <w:r>
        <w:rPr>
          <w:iCs/>
          <w:lang w:val="en-US"/>
        </w:rPr>
        <w:t xml:space="preserve">: </w:t>
      </w:r>
      <w:r>
        <w:rPr>
          <w:lang w:val="en-US"/>
        </w:rPr>
        <w:t>base de datos de 3 931 instancias y 9 atributos asociados a la evaluación de recursos humanos en los cortes de un proyecto.</w:t>
      </w:r>
    </w:p>
    <w:p>
      <w:pPr>
        <w:pStyle w:val="ListParagraph"/>
        <w:numPr>
          <w:ilvl w:val="0"/>
          <w:numId w:val="19"/>
        </w:numPr>
        <w:rPr>
          <w:lang w:val="en-US"/>
        </w:rPr>
      </w:pPr>
      <w:r>
        <w:rPr>
          <w:i/>
          <w:lang w:val="en-US"/>
        </w:rPr>
        <w:t>BD_gp_requerimientos</w:t>
      </w:r>
      <w:r>
        <w:rPr>
          <w:iCs/>
          <w:lang w:val="en-US"/>
        </w:rPr>
        <w:t>:</w:t>
      </w:r>
      <w:r>
        <w:rPr>
          <w:i/>
          <w:lang w:val="en-US"/>
        </w:rPr>
        <w:t xml:space="preserve"> </w:t>
      </w:r>
      <w:r>
        <w:rPr>
          <w:iCs/>
          <w:lang w:val="en-US"/>
        </w:rPr>
        <w:t>base de datos asociada a la g</w:t>
      </w:r>
      <w:r>
        <w:rPr>
          <w:lang w:val="en-US"/>
        </w:rPr>
        <w:t>estión de requerimientos de un proyecto formada por 1 310 instancias y 7 atributos.</w:t>
      </w:r>
    </w:p>
    <w:p>
      <w:pPr>
        <w:pStyle w:val="ListParagraph"/>
        <w:numPr>
          <w:ilvl w:val="0"/>
          <w:numId w:val="19"/>
        </w:numPr>
        <w:rPr>
          <w:lang w:val="en-US"/>
        </w:rPr>
      </w:pPr>
      <w:r>
        <w:rPr>
          <w:i/>
          <w:lang w:val="en-US"/>
        </w:rPr>
        <w:t>BD_gp_toma_decisiones</w:t>
      </w:r>
      <w:r>
        <w:rPr>
          <w:iCs/>
          <w:lang w:val="en-US"/>
        </w:rPr>
        <w:t>:</w:t>
      </w:r>
      <w:r>
        <w:rPr>
          <w:i/>
          <w:lang w:val="en-US"/>
        </w:rPr>
        <w:t xml:space="preserve"> </w:t>
      </w:r>
      <w:r>
        <w:rPr>
          <w:iCs/>
          <w:lang w:val="en-US"/>
        </w:rPr>
        <w:t xml:space="preserve">base de datos asociada a la </w:t>
      </w:r>
      <w:r>
        <w:rPr>
          <w:lang w:val="en-US"/>
        </w:rPr>
        <w:t>toma de decisiones en gestión de proyectos y formada por 1 011 instancias y 17 atributos.</w:t>
      </w:r>
    </w:p>
    <w:p>
      <w:pPr>
        <w:pStyle w:val="Normal"/>
        <w:rPr>
          <w:lang w:val="en-US"/>
        </w:rPr>
      </w:pPr>
      <w:r>
        <w:rPr>
          <w:lang w:val="en-US"/>
        </w:rPr>
        <w:t>Bases de datos asociadas a procesos de auditorías suministradas por la Contraloría General de la República a partir de las comprobaciones nacionales de los años 2017 y 2018:</w:t>
      </w:r>
    </w:p>
    <w:p>
      <w:pPr>
        <w:pStyle w:val="ListParagraph"/>
        <w:numPr>
          <w:ilvl w:val="1"/>
          <w:numId w:val="19"/>
        </w:numPr>
        <w:ind w:left="709" w:hanging="283"/>
        <w:rPr>
          <w:lang w:val="en-US"/>
        </w:rPr>
      </w:pPr>
      <w:r>
        <w:rPr>
          <w:i/>
          <w:lang w:val="en-US"/>
        </w:rPr>
        <w:t>BD_audit_sinOrganismos</w:t>
      </w:r>
      <w:r>
        <w:rPr>
          <w:lang w:val="en-US"/>
        </w:rPr>
        <w:t>: formada por 1 778 instancias y 16 atributos que registran daños económicos detectados en instituciones, así como el impacto del daño económico en las monedas CUP, CUC y USD y otras monedas.</w:t>
      </w:r>
    </w:p>
    <w:p>
      <w:pPr>
        <w:pStyle w:val="ListParagraph"/>
        <w:numPr>
          <w:ilvl w:val="1"/>
          <w:numId w:val="19"/>
        </w:numPr>
        <w:ind w:left="709" w:hanging="283"/>
        <w:rPr>
          <w:lang w:val="en-US"/>
        </w:rPr>
      </w:pPr>
      <w:r>
        <w:rPr>
          <w:i/>
          <w:lang w:val="en-US"/>
        </w:rPr>
        <w:t>BD_audit_sinProvMinistInstit</w:t>
      </w:r>
      <w:r>
        <w:rPr>
          <w:lang w:val="en-US"/>
        </w:rPr>
        <w:t>: formada por 1 778 instancias y 16 atributos que registra daños económicos detectados en diferentes instituciones, organismos y ministerios, así como el impacto del daño económico en CUP, CUC, USD y otras monedas.</w:t>
      </w:r>
    </w:p>
    <w:p>
      <w:pPr>
        <w:pStyle w:val="Normal"/>
        <w:rPr/>
      </w:pPr>
      <w:r>
        <w:rPr>
          <w:lang w:val="en-US"/>
        </w:rPr>
        <w:t>Bases de datos asociadas a toma de decisiones médicas. Las dos primeras asociadas a registros clínicos de embarazadas cardiópatas, ofrecidos por los expertos médicos (</w:t>
      </w:r>
      <w:r>
        <w:rPr>
          <w:lang w:val="en-US"/>
        </w:rPr>
        <w:fldChar w:fldCharType="begin"/>
      </w:r>
      <w:r>
        <w:instrText> REF _Ref75873658 \h </w:instrText>
      </w:r>
      <w:r>
        <w:fldChar w:fldCharType="separate"/>
      </w:r>
      <w:r>
        <w:t>Tabla 26</w:t>
      </w:r>
      <w:r>
        <w:fldChar w:fldCharType="end"/>
      </w:r>
      <w:r>
        <w:rPr/>
        <w:t xml:space="preserve"> del </w:t>
      </w:r>
      <w:r>
        <w:rPr/>
        <w:fldChar w:fldCharType="begin"/>
      </w:r>
      <w:r>
        <w:instrText> REF _Ref75873631 \h </w:instrText>
      </w:r>
      <w:r>
        <w:fldChar w:fldCharType="separate"/>
      </w:r>
      <w:r>
        <w:t>Anexo 11</w:t>
      </w:r>
      <w:r>
        <w:fldChar w:fldCharType="end"/>
      </w:r>
      <w:r>
        <w:rPr/>
        <w:t xml:space="preserve">) </w:t>
      </w:r>
      <w:r>
        <w:rPr>
          <w:lang w:val="en-US"/>
        </w:rPr>
        <w:t xml:space="preserve">que laboran en el Hospital Docente Ginecobstétrico “Ramón González Coro” y en el Instituto de Cardiología y Cirugía Cardiovascular en La Habana. La tercera base de datos es sobre casos de covid-19 en Cuba, publicado por el Ministerios de Salud Pública. </w:t>
      </w:r>
    </w:p>
    <w:p>
      <w:pPr>
        <w:pStyle w:val="ListParagraph"/>
        <w:numPr>
          <w:ilvl w:val="0"/>
          <w:numId w:val="19"/>
        </w:numPr>
        <w:rPr>
          <w:lang w:val="en-US"/>
        </w:rPr>
      </w:pPr>
      <w:r>
        <w:rPr>
          <w:i/>
          <w:lang w:val="en-US"/>
        </w:rPr>
        <w:t>BD_med_congenito</w:t>
      </w:r>
      <w:r>
        <w:rPr>
          <w:iCs/>
          <w:lang w:val="en-US"/>
        </w:rPr>
        <w:t>:</w:t>
      </w:r>
      <w:r>
        <w:rPr>
          <w:i/>
          <w:lang w:val="en-US"/>
        </w:rPr>
        <w:t xml:space="preserve"> </w:t>
      </w:r>
      <w:r>
        <w:rPr>
          <w:lang w:val="en-US"/>
        </w:rPr>
        <w:t>base de datos creada a partir de registros clínicos sobre síntomas, diagnósticos, tratamientos y pronósticos de embarazadas cardiópatas con enfermedades congénitas. Está formada por 464 instancias y 20 atributos.</w:t>
      </w:r>
    </w:p>
    <w:p>
      <w:pPr>
        <w:pStyle w:val="ListParagraph"/>
        <w:numPr>
          <w:ilvl w:val="0"/>
          <w:numId w:val="19"/>
        </w:numPr>
        <w:rPr>
          <w:lang w:val="en-US"/>
        </w:rPr>
      </w:pPr>
      <w:r>
        <w:rPr>
          <w:i/>
          <w:lang w:val="en-US"/>
        </w:rPr>
        <w:t>BD_med_valvular</w:t>
      </w:r>
      <w:r>
        <w:rPr>
          <w:lang w:val="en-US"/>
        </w:rPr>
        <w:t>: base de datos creada a partir de registros clínicos sobre sobre síntomas, diagnósticos, tratamientos y pronósticos de embarazadas cardiópatas con enfermedades valvulares. Formada por 304 instancias y 17 atributos.</w:t>
      </w:r>
    </w:p>
    <w:p>
      <w:pPr>
        <w:pStyle w:val="ListParagraph"/>
        <w:numPr>
          <w:ilvl w:val="0"/>
          <w:numId w:val="19"/>
        </w:numPr>
        <w:rPr>
          <w:lang w:val="en-US"/>
        </w:rPr>
      </w:pPr>
      <w:r>
        <w:rPr>
          <w:i/>
          <w:lang w:val="en-US"/>
        </w:rPr>
        <w:t>BD_med_covidCuba</w:t>
      </w:r>
      <w:r>
        <w:rPr>
          <w:lang w:val="en-US"/>
        </w:rPr>
        <w:t xml:space="preserve">: base de datos publicada por el Ministerio de Salud Pública de Cuba asociada a casos de covid-19 en Cuba que registra el sexo, la edad, el país de procedencia de los casos, municipio, provincia y tipo de contagio de algunos de los enfermos por covid-19. </w:t>
      </w:r>
      <w:r>
        <w:rPr>
          <w:lang w:val="es-ES"/>
        </w:rPr>
        <w:t xml:space="preserve">Incluye </w:t>
      </w:r>
      <w:r>
        <w:rPr>
          <w:lang w:val="en-US"/>
        </w:rPr>
        <w:t>18 151 instancias y 6 atributos.</w:t>
      </w:r>
    </w:p>
    <w:p>
      <w:pPr>
        <w:pStyle w:val="Heading2"/>
        <w:numPr>
          <w:ilvl w:val="1"/>
          <w:numId w:val="80"/>
        </w:numPr>
        <w:rPr/>
      </w:pPr>
      <w:bookmarkStart w:id="1616" w:name="_Toc84598944"/>
      <w:bookmarkEnd w:id="1616"/>
      <w:r>
        <w:rPr/>
        <w:t>Conjunto de pruebas 2: validación de variable independiente respecto a la dimensión indicadores de calidad de los resúmenes lingüísticos.</w:t>
      </w:r>
    </w:p>
    <w:p>
      <w:pPr>
        <w:pStyle w:val="Normal"/>
        <w:rPr/>
      </w:pPr>
      <w:r>
        <w:rPr>
          <w:lang w:val="en-US"/>
        </w:rPr>
        <w:t xml:space="preserve">En </w:t>
      </w:r>
      <w:r>
        <w:rPr>
          <w:lang w:val="en-US"/>
        </w:rPr>
        <w:fldChar w:fldCharType="begin"/>
      </w:r>
      <w:r>
        <w:instrText> REF _Ref68937391 \h </w:instrText>
      </w:r>
      <w:r>
        <w:fldChar w:fldCharType="separate"/>
      </w:r>
      <w:r>
        <w:t>Tabla 30</w:t>
      </w:r>
      <w:r>
        <w:fldChar w:fldCharType="end"/>
      </w:r>
      <w:r>
        <w:rPr>
          <w:lang w:val="en-US"/>
        </w:rPr>
        <w:t xml:space="preserve">, </w:t>
      </w:r>
      <w:r>
        <w:rPr>
          <w:lang w:val="en-US"/>
        </w:rPr>
        <w:fldChar w:fldCharType="begin"/>
      </w:r>
      <w:r>
        <w:instrText> REF _Ref68937394 \h </w:instrText>
      </w:r>
      <w:r>
        <w:fldChar w:fldCharType="separate"/>
      </w:r>
      <w:r>
        <w:t>Tabla 31</w:t>
      </w:r>
      <w:r>
        <w:fldChar w:fldCharType="end"/>
      </w:r>
      <w:r>
        <w:rPr>
          <w:lang w:val="en-US"/>
        </w:rPr>
        <w:t xml:space="preserve"> y </w:t>
      </w:r>
      <w:r>
        <w:rPr>
          <w:lang w:val="en-US"/>
        </w:rPr>
        <w:fldChar w:fldCharType="begin"/>
      </w:r>
      <w:r>
        <w:instrText> REF _Ref68937396 \h </w:instrText>
      </w:r>
      <w:r>
        <w:fldChar w:fldCharType="separate"/>
      </w:r>
      <w:r>
        <w:t>Tabla 32</w:t>
      </w:r>
      <w:r>
        <w:fldChar w:fldCharType="end"/>
      </w:r>
      <w:r>
        <w:rPr>
          <w:lang w:val="en-US"/>
        </w:rPr>
        <w:t xml:space="preserve"> del </w:t>
      </w:r>
      <w:r>
        <w:rPr>
          <w:lang w:val="en-US"/>
        </w:rPr>
        <w:fldChar w:fldCharType="begin"/>
      </w:r>
      <w:r>
        <w:instrText> REF _Ref79479501 \h </w:instrText>
      </w:r>
      <w:r>
        <w:fldChar w:fldCharType="separate"/>
      </w:r>
      <w:r>
        <w:t>Anexo 13</w:t>
      </w:r>
      <w:r>
        <w:fldChar w:fldCharType="end"/>
      </w:r>
      <w:r>
        <w:rPr>
          <w:lang w:val="en-US"/>
        </w:rPr>
        <w:t xml:space="preserve"> se muestran los datos utilizados en las corridas de los experimentos realizados en la validación.</w:t>
      </w:r>
    </w:p>
    <w:p>
      <w:pPr>
        <w:pStyle w:val="Heading3"/>
        <w:numPr>
          <w:ilvl w:val="2"/>
          <w:numId w:val="80"/>
        </w:numPr>
        <w:rPr/>
      </w:pPr>
      <w:r>
        <w:rPr/>
        <w:t>Comparación de los algoritmos respecto al indicador T</w:t>
      </w:r>
      <w:r>
        <w:rPr>
          <w:vertAlign w:val="subscript"/>
        </w:rPr>
        <w:t>1</w:t>
      </w:r>
    </w:p>
    <w:p>
      <w:pPr>
        <w:pStyle w:val="Normal"/>
        <w:rPr>
          <w:rFonts w:ascii="Courier New" w:hAnsi="Courier New" w:cs="Courier New"/>
          <w:szCs w:val="20"/>
        </w:rPr>
      </w:pPr>
      <w:r>
        <mc:AlternateContent>
          <mc:Choice Requires="wps">
            <w:drawing>
              <wp:anchor behindDoc="0" distT="45720" distB="45720" distL="114300" distR="114300" simplePos="0" locked="0" layoutInCell="1" allowOverlap="1" relativeHeight="19" wp14:anchorId="2F7D73F3">
                <wp:simplePos x="0" y="0"/>
                <wp:positionH relativeFrom="column">
                  <wp:posOffset>2764155</wp:posOffset>
                </wp:positionH>
                <wp:positionV relativeFrom="paragraph">
                  <wp:posOffset>22225</wp:posOffset>
                </wp:positionV>
                <wp:extent cx="3214370" cy="2955290"/>
                <wp:effectExtent l="0" t="0" r="7620" b="0"/>
                <wp:wrapSquare wrapText="bothSides"/>
                <wp:docPr id="20" name="Cuadro de texto 2"/>
                <a:graphic xmlns:a="http://schemas.openxmlformats.org/drawingml/2006/main">
                  <a:graphicData uri="http://schemas.microsoft.com/office/word/2010/wordprocessingShape">
                    <wps:wsp>
                      <wps:cNvSpPr/>
                      <wps:spPr>
                        <a:xfrm>
                          <a:off x="0" y="0"/>
                          <a:ext cx="3213720" cy="2954520"/>
                        </a:xfrm>
                        <a:prstGeom prst="rect">
                          <a:avLst/>
                        </a:prstGeom>
                        <a:solidFill>
                          <a:srgbClr val="ffffff"/>
                        </a:solidFill>
                        <a:ln w="9360">
                          <a:noFill/>
                        </a:ln>
                      </wps:spPr>
                      <wps:style>
                        <a:lnRef idx="0"/>
                        <a:fillRef idx="0"/>
                        <a:effectRef idx="0"/>
                        <a:fontRef idx="minor"/>
                      </wps:style>
                      <wps:txbx>
                        <w:txbxContent>
                          <w:p>
                            <w:pPr>
                              <w:pStyle w:val="FrameContents"/>
                              <w:spacing w:before="80" w:after="60"/>
                              <w:rPr>
                                <w:sz w:val="20"/>
                              </w:rPr>
                            </w:pPr>
                            <w:bookmarkStart w:id="1617" w:name="_Ref65781312"/>
                            <w:bookmarkStart w:id="1618" w:name="_Ref65781344"/>
                            <w:r>
                              <w:rPr/>
                              <w:drawing>
                                <wp:inline distT="0" distB="0" distL="0" distR="0">
                                  <wp:extent cx="2695575" cy="2466975"/>
                                  <wp:effectExtent l="0" t="0" r="0" b="0"/>
                                  <wp:docPr id="22" name="Chart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art 74" descr=""/>
                                          <pic:cNvPicPr>
                                            <a:picLocks noChangeAspect="1" noChangeArrowheads="1"/>
                                          </pic:cNvPicPr>
                                        </pic:nvPicPr>
                                        <pic:blipFill>
                                          <a:blip r:embed="rId13"/>
                                          <a:stretch>
                                            <a:fillRect/>
                                          </a:stretch>
                                        </pic:blipFill>
                                        <pic:spPr bwMode="auto">
                                          <a:xfrm>
                                            <a:off x="0" y="0"/>
                                            <a:ext cx="2695575" cy="2466975"/>
                                          </a:xfrm>
                                          <a:prstGeom prst="rect">
                                            <a:avLst/>
                                          </a:prstGeom>
                                        </pic:spPr>
                                      </pic:pic>
                                    </a:graphicData>
                                  </a:graphic>
                                </wp:inline>
                              </w:drawing>
                            </w:r>
                          </w:p>
                          <w:p>
                            <w:pPr>
                              <w:pStyle w:val="FrameContents"/>
                              <w:rPr>
                                <w:sz w:val="2"/>
                                <w:szCs w:val="2"/>
                              </w:rPr>
                            </w:pPr>
                            <w:r>
                              <w:rPr>
                                <w:sz w:val="2"/>
                                <w:szCs w:val="2"/>
                              </w:rPr>
                            </w:r>
                          </w:p>
                          <w:p>
                            <w:pPr>
                              <w:pStyle w:val="FrameContents"/>
                              <w:spacing w:before="80" w:after="60"/>
                              <w:rPr/>
                            </w:pPr>
                            <w:bookmarkStart w:id="1619" w:name="_Toc84599017"/>
                            <w:bookmarkStart w:id="1620" w:name="_Ref68969328"/>
                            <w:r>
                              <w:rPr>
                                <w:sz w:val="20"/>
                                <w:szCs w:val="20"/>
                              </w:rPr>
                              <w:t xml:space="preserve">Figura </w:t>
                            </w:r>
                            <w:r>
                              <w:rPr>
                                <w:sz w:val="20"/>
                                <w:szCs w:val="20"/>
                              </w:rPr>
                              <w:fldChar w:fldCharType="begin"/>
                            </w:r>
                            <w:r>
                              <w:instrText> SEQ Figura \* ARABIC </w:instrText>
                            </w:r>
                            <w:r>
                              <w:fldChar w:fldCharType="separate"/>
                            </w:r>
                            <w:r>
                              <w:t>10</w:t>
                            </w:r>
                            <w:r>
                              <w:fldChar w:fldCharType="end"/>
                            </w:r>
                            <w:bookmarkEnd w:id="1618"/>
                            <w:bookmarkEnd w:id="1620"/>
                            <w:r>
                              <w:rPr>
                                <w:sz w:val="20"/>
                                <w:szCs w:val="20"/>
                              </w:rPr>
                              <w:t xml:space="preserve">: Media aritmética del indicador </w:t>
                            </w:r>
                            <w:r>
                              <w:rPr>
                                <w:i/>
                                <w:iCs/>
                                <w:sz w:val="20"/>
                                <w:szCs w:val="20"/>
                              </w:rPr>
                              <w:t>T</w:t>
                            </w:r>
                            <w:r>
                              <w:rPr>
                                <w:i/>
                                <w:iCs/>
                                <w:sz w:val="20"/>
                                <w:szCs w:val="20"/>
                                <w:vertAlign w:val="subscript"/>
                              </w:rPr>
                              <w:t>1</w:t>
                            </w:r>
                            <w:bookmarkEnd w:id="1617"/>
                            <w:bookmarkEnd w:id="1619"/>
                            <w:r>
                              <w:rPr>
                                <w:sz w:val="20"/>
                                <w:szCs w:val="20"/>
                              </w:rPr>
                              <w:t>.</w:t>
                            </w:r>
                          </w:p>
                        </w:txbxContent>
                      </wps:txbx>
                      <wps:bodyPr lIns="90000" rIns="90000" tIns="45000" bIns="45000">
                        <a:noAutofit/>
                      </wps:bodyPr>
                    </wps:wsp>
                  </a:graphicData>
                </a:graphic>
              </wp:anchor>
            </w:drawing>
          </mc:Choice>
          <mc:Fallback>
            <w:pict>
              <v:rect id="shape_0" ID="Cuadro de texto 2" fillcolor="white" stroked="f" style="position:absolute;margin-left:217.65pt;margin-top:1.75pt;width:253pt;height:232.6pt" wp14:anchorId="2F7D73F3">
                <w10:wrap type="square"/>
                <v:fill o:detectmouseclick="t" type="solid" color2="black"/>
                <v:stroke color="#3465a4" weight="9360" joinstyle="round" endcap="flat"/>
                <v:textbox>
                  <w:txbxContent>
                    <w:p>
                      <w:pPr>
                        <w:pStyle w:val="FrameContents"/>
                        <w:spacing w:before="80" w:after="60"/>
                        <w:rPr>
                          <w:sz w:val="20"/>
                        </w:rPr>
                      </w:pPr>
                      <w:bookmarkStart w:id="1621" w:name="_Ref65781312"/>
                      <w:bookmarkStart w:id="1622" w:name="_Ref65781344"/>
                      <w:r>
                        <w:rPr/>
                        <w:drawing>
                          <wp:inline distT="0" distB="0" distL="0" distR="0">
                            <wp:extent cx="2695575" cy="2466975"/>
                            <wp:effectExtent l="0" t="0" r="0" b="0"/>
                            <wp:docPr id="23" name="Chart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art 74" descr=""/>
                                    <pic:cNvPicPr>
                                      <a:picLocks noChangeAspect="1" noChangeArrowheads="1"/>
                                    </pic:cNvPicPr>
                                  </pic:nvPicPr>
                                  <pic:blipFill>
                                    <a:blip r:embed="rId13"/>
                                    <a:stretch>
                                      <a:fillRect/>
                                    </a:stretch>
                                  </pic:blipFill>
                                  <pic:spPr bwMode="auto">
                                    <a:xfrm>
                                      <a:off x="0" y="0"/>
                                      <a:ext cx="2695575" cy="2466975"/>
                                    </a:xfrm>
                                    <a:prstGeom prst="rect">
                                      <a:avLst/>
                                    </a:prstGeom>
                                  </pic:spPr>
                                </pic:pic>
                              </a:graphicData>
                            </a:graphic>
                          </wp:inline>
                        </w:drawing>
                      </w:r>
                    </w:p>
                    <w:p>
                      <w:pPr>
                        <w:pStyle w:val="FrameContents"/>
                        <w:rPr>
                          <w:sz w:val="2"/>
                          <w:szCs w:val="2"/>
                        </w:rPr>
                      </w:pPr>
                      <w:r>
                        <w:rPr>
                          <w:sz w:val="2"/>
                          <w:szCs w:val="2"/>
                        </w:rPr>
                      </w:r>
                    </w:p>
                    <w:p>
                      <w:pPr>
                        <w:pStyle w:val="FrameContents"/>
                        <w:spacing w:before="80" w:after="60"/>
                        <w:rPr/>
                      </w:pPr>
                      <w:bookmarkStart w:id="1623" w:name="_Toc84599017"/>
                      <w:bookmarkStart w:id="1624" w:name="_Ref68969328"/>
                      <w:r>
                        <w:rPr>
                          <w:sz w:val="20"/>
                          <w:szCs w:val="20"/>
                        </w:rPr>
                        <w:t xml:space="preserve">Figura </w:t>
                      </w:r>
                      <w:r>
                        <w:rPr>
                          <w:sz w:val="20"/>
                          <w:szCs w:val="20"/>
                        </w:rPr>
                        <w:fldChar w:fldCharType="begin"/>
                      </w:r>
                      <w:r>
                        <w:instrText> SEQ Figura \* ARABIC </w:instrText>
                      </w:r>
                      <w:r>
                        <w:fldChar w:fldCharType="separate"/>
                      </w:r>
                      <w:r>
                        <w:t>10</w:t>
                      </w:r>
                      <w:r>
                        <w:fldChar w:fldCharType="end"/>
                      </w:r>
                      <w:bookmarkEnd w:id="1622"/>
                      <w:bookmarkEnd w:id="1624"/>
                      <w:r>
                        <w:rPr>
                          <w:sz w:val="20"/>
                          <w:szCs w:val="20"/>
                        </w:rPr>
                        <w:t xml:space="preserve">: Media aritmética del indicador </w:t>
                      </w:r>
                      <w:r>
                        <w:rPr>
                          <w:i/>
                          <w:iCs/>
                          <w:sz w:val="20"/>
                          <w:szCs w:val="20"/>
                        </w:rPr>
                        <w:t>T</w:t>
                      </w:r>
                      <w:r>
                        <w:rPr>
                          <w:i/>
                          <w:iCs/>
                          <w:sz w:val="20"/>
                          <w:szCs w:val="20"/>
                          <w:vertAlign w:val="subscript"/>
                        </w:rPr>
                        <w:t>1</w:t>
                      </w:r>
                      <w:bookmarkEnd w:id="1621"/>
                      <w:bookmarkEnd w:id="1623"/>
                      <w:r>
                        <w:rPr>
                          <w:sz w:val="20"/>
                          <w:szCs w:val="20"/>
                        </w:rPr>
                        <w:t>.</w:t>
                      </w:r>
                    </w:p>
                  </w:txbxContent>
                </v:textbox>
              </v:rect>
            </w:pict>
          </mc:Fallback>
        </mc:AlternateContent>
      </w:r>
      <w:r>
        <w:rPr>
          <w:lang w:val="en-US"/>
        </w:rPr>
        <w:t xml:space="preserve">Respecto a la media aritmética del indicador </w:t>
      </w:r>
      <w:r>
        <w:rPr>
          <w:i/>
          <w:lang w:val="en-US"/>
        </w:rPr>
        <w:t>T</w:t>
      </w:r>
      <w:r>
        <w:rPr>
          <w:i/>
          <w:vertAlign w:val="subscript"/>
          <w:lang w:val="en-US"/>
        </w:rPr>
        <w:t>1</w:t>
      </w:r>
      <w:r>
        <w:rPr>
          <w:lang w:val="en-US"/>
        </w:rPr>
        <w:t xml:space="preserve">, los algoritmos quedan ubicados en el siguiente orden: </w:t>
      </w:r>
      <w:r>
        <w:rPr>
          <w:rFonts w:cs="Courier New" w:ascii="Courier New" w:hAnsi="Courier New"/>
          <w:szCs w:val="20"/>
        </w:rPr>
        <w:t>GA_LDS</w:t>
      </w:r>
      <w:r>
        <w:rPr>
          <w:lang w:val="en-US"/>
        </w:rPr>
        <w:t>,</w:t>
      </w:r>
      <w:r>
        <w:rPr>
          <w:rFonts w:cs="Courier New" w:ascii="Courier New" w:hAnsi="Courier New"/>
          <w:szCs w:val="20"/>
        </w:rPr>
        <w:t xml:space="preserve"> PCA_LDS</w:t>
      </w:r>
      <w:r>
        <w:rPr>
          <w:lang w:val="en-US"/>
        </w:rPr>
        <w:t xml:space="preserve">, </w:t>
      </w:r>
      <w:r>
        <w:rPr>
          <w:rFonts w:cs="Courier New" w:ascii="Courier New" w:hAnsi="Courier New"/>
          <w:szCs w:val="20"/>
        </w:rPr>
        <w:t>Apriori_LDS</w:t>
      </w:r>
      <w:r>
        <w:rPr>
          <w:lang w:val="en-US"/>
        </w:rPr>
        <w:t xml:space="preserve">, </w:t>
      </w:r>
      <w:r>
        <w:rPr>
          <w:rFonts w:cs="Courier New" w:ascii="Courier New" w:hAnsi="Courier New"/>
          <w:szCs w:val="20"/>
        </w:rPr>
        <w:t>RST_LDS</w:t>
      </w:r>
      <w:r>
        <w:rPr>
          <w:lang w:val="en-US"/>
        </w:rPr>
        <w:t>,</w:t>
      </w:r>
      <w:r>
        <w:rPr>
          <w:rFonts w:cs="Courier New" w:ascii="Courier New" w:hAnsi="Courier New"/>
          <w:szCs w:val="20"/>
        </w:rPr>
        <w:t xml:space="preserve"> ACO_LDS</w:t>
      </w:r>
      <w:r>
        <w:rPr>
          <w:lang w:val="en-US"/>
        </w:rPr>
        <w:t xml:space="preserve"> y </w:t>
      </w:r>
      <w:r>
        <w:rPr>
          <w:rFonts w:cs="Courier New" w:ascii="Courier New" w:hAnsi="Courier New"/>
          <w:szCs w:val="20"/>
        </w:rPr>
        <w:t>LPA_LDS</w:t>
      </w:r>
      <w:r>
        <w:rPr>
          <w:lang w:val="en-US"/>
        </w:rPr>
        <w:t>.</w:t>
      </w:r>
    </w:p>
    <w:p>
      <w:pPr>
        <w:pStyle w:val="Normal"/>
        <w:rPr/>
      </w:pPr>
      <w:r>
        <w:rPr>
          <w:lang w:val="en-US"/>
        </w:rPr>
        <w:t xml:space="preserve">En el análisis se identifica que los resultados no cumplen con una distribución normal, ver </w:t>
      </w:r>
      <w:r>
        <w:rPr>
          <w:lang w:val="en-US"/>
        </w:rPr>
        <w:fldChar w:fldCharType="begin"/>
      </w:r>
      <w:r>
        <w:instrText> REF _Ref64611491 \h </w:instrText>
      </w:r>
      <w:r>
        <w:fldChar w:fldCharType="separate"/>
      </w:r>
      <w:r>
        <w:t>Tabla 8</w:t>
      </w:r>
      <w:r>
        <w:fldChar w:fldCharType="end"/>
      </w:r>
      <w:r>
        <w:rPr>
          <w:lang w:val="en-US"/>
        </w:rPr>
        <w:t xml:space="preserve">. Se comparan los algoritmos empleando pruebas no paramétricas. Para la comparación se aplicó el test no paramétrico </w:t>
      </w:r>
      <w:r>
        <w:rPr>
          <w:i/>
          <w:lang w:val="en-US"/>
        </w:rPr>
        <w:t>Wilcoxon</w:t>
      </w:r>
      <w:r>
        <w:rPr>
          <w:lang w:val="en-US"/>
        </w:rPr>
        <w:t xml:space="preserve"> y se demuestra que el algoritmo </w:t>
      </w:r>
      <w:r>
        <w:rPr>
          <w:rFonts w:cs="Courier New" w:ascii="Courier New" w:hAnsi="Courier New"/>
          <w:szCs w:val="20"/>
        </w:rPr>
        <w:t>GA_LDS</w:t>
      </w:r>
      <w:r>
        <w:rPr>
          <w:i/>
          <w:sz w:val="28"/>
          <w:lang w:val="en-US"/>
        </w:rPr>
        <w:t xml:space="preserve"> </w:t>
      </w:r>
      <w:r>
        <w:rPr>
          <w:lang w:val="en-US"/>
        </w:rPr>
        <w:t>reporta resultados significativamente mejores que el resto de los algoritmos, está ubicado</w:t>
      </w:r>
      <w:r>
        <w:rPr>
          <w:i/>
          <w:lang w:val="en-US"/>
        </w:rPr>
        <w:t xml:space="preserve"> </w:t>
      </w:r>
      <w:r>
        <w:rPr>
          <w:lang w:val="en-US"/>
        </w:rPr>
        <w:t>en el</w:t>
      </w:r>
      <w:r>
        <w:rPr>
          <w:i/>
          <w:lang w:val="en-US"/>
        </w:rPr>
        <w:t xml:space="preserve"> </w:t>
      </w:r>
      <w:r>
        <w:rPr>
          <w:lang w:val="en-US"/>
        </w:rPr>
        <w:t xml:space="preserve">“grupo A”. Luego se ubican los algoritmos </w:t>
      </w:r>
      <w:r>
        <w:rPr>
          <w:rFonts w:cs="Courier New" w:ascii="Courier New" w:hAnsi="Courier New"/>
        </w:rPr>
        <w:t>PCA_LDS</w:t>
      </w:r>
      <w:r>
        <w:rPr>
          <w:lang w:val="en-US"/>
        </w:rPr>
        <w:t xml:space="preserve"> y </w:t>
      </w:r>
      <w:r>
        <w:rPr>
          <w:rFonts w:cs="Courier New" w:ascii="Courier New" w:hAnsi="Courier New"/>
          <w:szCs w:val="20"/>
        </w:rPr>
        <w:t>Apriori</w:t>
      </w:r>
      <w:r>
        <w:rPr>
          <w:rFonts w:cs="Courier New" w:ascii="Courier New" w:hAnsi="Courier New"/>
        </w:rPr>
        <w:t>_LDS</w:t>
      </w:r>
      <w:r>
        <w:rPr>
          <w:lang w:val="en-US"/>
        </w:rPr>
        <w:t xml:space="preserve"> en los grupos B y C respectivamente. No se encontraron diferencias significativas en los algoritmos </w:t>
      </w:r>
      <w:r>
        <w:rPr>
          <w:rFonts w:cs="Courier New" w:ascii="Courier New" w:hAnsi="Courier New"/>
        </w:rPr>
        <w:t>RST_LDS</w:t>
      </w:r>
      <w:r>
        <w:rPr>
          <w:lang w:val="en-US"/>
        </w:rPr>
        <w:t xml:space="preserve"> y </w:t>
      </w:r>
      <w:r>
        <w:rPr>
          <w:rFonts w:cs="Courier New" w:ascii="Courier New" w:hAnsi="Courier New"/>
        </w:rPr>
        <w:t>ACO_LDS</w:t>
      </w:r>
      <w:r>
        <w:rPr>
          <w:lang w:val="en-US"/>
        </w:rPr>
        <w:t xml:space="preserve">, que quedaron ubicados en el “grupo D”. El algoritmo de peor resultado fue el </w:t>
      </w:r>
      <w:r>
        <w:rPr>
          <w:rFonts w:cs="Courier New" w:ascii="Courier New" w:hAnsi="Courier New"/>
          <w:szCs w:val="20"/>
        </w:rPr>
        <w:t>LPA_LDS</w:t>
      </w:r>
      <w:r>
        <w:rPr>
          <w:lang w:val="en-US"/>
        </w:rPr>
        <w:t xml:space="preserve"> ubicado en el “grupo E”.</w:t>
      </w:r>
    </w:p>
    <w:p>
      <w:pPr>
        <w:pStyle w:val="Normal"/>
        <w:rPr/>
      </w:pPr>
      <w:r>
        <w:rPr>
          <w:lang w:val="en-US"/>
        </w:rPr>
        <w:t xml:space="preserve">La </w:t>
      </w:r>
      <w:r>
        <w:rPr>
          <w:lang w:val="en-US"/>
        </w:rPr>
        <w:fldChar w:fldCharType="begin"/>
      </w:r>
      <w:r>
        <w:instrText> REF _Ref68969328 \h </w:instrText>
      </w:r>
      <w:r>
        <w:fldChar w:fldCharType="separate"/>
      </w:r>
      <w:r>
        <w:t>Figura 10</w:t>
      </w:r>
      <w:r>
        <w:fldChar w:fldCharType="end"/>
      </w:r>
      <w:r>
        <w:rPr>
          <w:lang w:val="en-US"/>
        </w:rPr>
        <w:t xml:space="preserve"> evidencia los resultados de las pruebas estadísticas, presentando el </w:t>
      </w:r>
      <w:r>
        <w:rPr>
          <w:rFonts w:cs="Courier New" w:ascii="Courier New" w:hAnsi="Courier New"/>
          <w:szCs w:val="20"/>
        </w:rPr>
        <w:t>GA_LDS</w:t>
      </w:r>
      <w:r>
        <w:rPr>
          <w:i/>
          <w:sz w:val="28"/>
          <w:lang w:val="en-US"/>
        </w:rPr>
        <w:t xml:space="preserve"> </w:t>
      </w:r>
      <w:r>
        <w:rPr>
          <w:lang w:val="en-US"/>
        </w:rPr>
        <w:t>como el algoritmo con mejores resultados.</w:t>
      </w:r>
    </w:p>
    <w:p>
      <w:pPr>
        <w:pStyle w:val="TablaFigura"/>
        <w:numPr>
          <w:ilvl w:val="0"/>
          <w:numId w:val="2"/>
        </w:numPr>
        <w:ind w:left="431" w:hanging="431"/>
        <w:rPr/>
      </w:pPr>
      <w:bookmarkStart w:id="1625" w:name="_Toc84598978"/>
      <w:bookmarkStart w:id="1626" w:name="_Ref64611491"/>
      <w:r>
        <w:rPr/>
        <w:t xml:space="preserve">Tabla </w:t>
      </w:r>
      <w:r>
        <w:rPr/>
        <w:fldChar w:fldCharType="begin"/>
      </w:r>
      <w:r>
        <w:instrText> SEQ Tabla \* ARABIC </w:instrText>
      </w:r>
      <w:r>
        <w:fldChar w:fldCharType="separate"/>
      </w:r>
      <w:r>
        <w:t>8</w:t>
      </w:r>
      <w:r>
        <w:fldChar w:fldCharType="end"/>
      </w:r>
      <w:bookmarkEnd w:id="1626"/>
      <w:r>
        <w:rPr/>
        <w:t xml:space="preserve">: Comparación de los algoritmos respecto a la media aritmética del </w:t>
      </w:r>
      <w:r>
        <w:rPr>
          <w:i/>
        </w:rPr>
        <w:t>T</w:t>
      </w:r>
      <w:r>
        <w:rPr>
          <w:i/>
          <w:vertAlign w:val="subscript"/>
        </w:rPr>
        <w:t>1</w:t>
      </w:r>
      <w:bookmarkEnd w:id="1625"/>
      <w:r>
        <w:rPr/>
        <w:t>.</w:t>
      </w:r>
    </w:p>
    <w:p>
      <w:pPr>
        <w:pStyle w:val="Normal"/>
        <w:rPr>
          <w:i/>
          <w:i/>
          <w:lang w:val="en-US"/>
        </w:rPr>
      </w:pPr>
      <w:r>
        <w:rPr>
          <w:i/>
          <w:lang w:val="en-US"/>
        </w:rPr>
        <mc:AlternateContent>
          <mc:Choice Requires="wps">
            <w:drawing>
              <wp:anchor behindDoc="0" distT="0" distB="0" distL="114300" distR="114300" simplePos="0" locked="0" layoutInCell="1" allowOverlap="1" relativeHeight="33">
                <wp:simplePos x="0" y="0"/>
                <wp:positionH relativeFrom="margin">
                  <wp:align>center</wp:align>
                </wp:positionH>
                <wp:positionV relativeFrom="paragraph">
                  <wp:posOffset>35560</wp:posOffset>
                </wp:positionV>
                <wp:extent cx="2082800" cy="1685925"/>
                <wp:effectExtent l="0" t="0" r="0" b="0"/>
                <wp:wrapSquare wrapText="bothSides"/>
                <wp:docPr id="24" name="Frame6"/>
                <a:graphic xmlns:a="http://schemas.openxmlformats.org/drawingml/2006/main">
                  <a:graphicData uri="http://schemas.microsoft.com/office/word/2010/wordprocessingShape">
                    <wps:wsp>
                      <wps:cNvSpPr/>
                      <wps:spPr>
                        <a:xfrm>
                          <a:off x="0" y="0"/>
                          <a:ext cx="2082240" cy="1685160"/>
                        </a:xfrm>
                        <a:prstGeom prst="rect">
                          <a:avLst/>
                        </a:prstGeom>
                        <a:noFill/>
                        <a:ln>
                          <a:noFill/>
                        </a:ln>
                      </wps:spPr>
                      <wps:style>
                        <a:lnRef idx="0"/>
                        <a:fillRef idx="0"/>
                        <a:effectRef idx="0"/>
                        <a:fontRef idx="minor"/>
                      </wps:style>
                      <wps:txbx>
                        <w:txbxContent>
                          <w:tbl>
                            <w:tblPr>
                              <w:tblW w:w="3277" w:type="dxa"/>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1314"/>
                              <w:gridCol w:w="1141"/>
                              <w:gridCol w:w="802"/>
                              <w:gridCol w:w="19"/>
                            </w:tblGrid>
                            <w:tr>
                              <w:trPr>
                                <w:cantSplit w:val="true"/>
                              </w:trPr>
                              <w:tc>
                                <w:tcPr>
                                  <w:tcW w:w="1314"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jc w:val="center"/>
                                    <w:rPr/>
                                  </w:pPr>
                                  <w:bookmarkStart w:id="1627" w:name="__UnoMark__16299_118561941"/>
                                  <w:bookmarkEnd w:id="1627"/>
                                  <w:r>
                                    <w:rPr>
                                      <w:color w:val="00000A"/>
                                      <w:sz w:val="18"/>
                                      <w:szCs w:val="18"/>
                                    </w:rPr>
                                    <w:t>Algoritmos</w:t>
                                  </w:r>
                                </w:p>
                              </w:tc>
                              <w:tc>
                                <w:tcPr>
                                  <w:tcW w:w="1141"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1628" w:name="__UnoMark__16300_118561941"/>
                                  <w:bookmarkEnd w:id="1628"/>
                                  <w:r>
                                    <w:rPr>
                                      <w:color w:val="00000A"/>
                                      <w:sz w:val="18"/>
                                      <w:szCs w:val="18"/>
                                    </w:rPr>
                                    <w:t>Kolmogorov-Smirnov</w:t>
                                  </w:r>
                                  <w:r>
                                    <w:rPr>
                                      <w:color w:val="00000A"/>
                                      <w:sz w:val="18"/>
                                      <w:szCs w:val="18"/>
                                      <w:vertAlign w:val="superscript"/>
                                    </w:rPr>
                                    <w:t>a</w:t>
                                  </w:r>
                                  <w:bookmarkStart w:id="1629" w:name="__UnoMark__16301_118561941"/>
                                  <w:bookmarkEnd w:id="1629"/>
                                  <w:r>
                                    <w:rPr>
                                      <w:color w:val="00000A"/>
                                      <w:sz w:val="18"/>
                                      <w:szCs w:val="18"/>
                                    </w:rPr>
                                    <w:t xml:space="preserve"> Sig.</w:t>
                                  </w:r>
                                </w:p>
                              </w:tc>
                              <w:tc>
                                <w:tcPr>
                                  <w:tcW w:w="802"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1630" w:name="__UnoMark__16303_118561941"/>
                                  <w:bookmarkStart w:id="1631" w:name="__UnoMark__16302_118561941"/>
                                  <w:bookmarkEnd w:id="1630"/>
                                  <w:bookmarkEnd w:id="1631"/>
                                  <w:r>
                                    <w:rPr>
                                      <w:color w:val="00000A"/>
                                      <w:sz w:val="18"/>
                                      <w:szCs w:val="18"/>
                                    </w:rPr>
                                    <w:t>Shapiro-Wilk Sig.</w:t>
                                  </w:r>
                                </w:p>
                              </w:tc>
                              <w:tc>
                                <w:tcPr>
                                  <w:tcW w:w="19"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color w:val="00000A"/>
                                      <w:sz w:val="18"/>
                                      <w:szCs w:val="18"/>
                                    </w:rPr>
                                  </w:pPr>
                                  <w:bookmarkStart w:id="1632" w:name="__UnoMark__16304_118561941"/>
                                  <w:bookmarkStart w:id="1633" w:name="__UnoMark__16305_118561941"/>
                                  <w:bookmarkStart w:id="1634" w:name="__UnoMark__16304_118561941"/>
                                  <w:bookmarkStart w:id="1635" w:name="__UnoMark__16305_118561941"/>
                                  <w:bookmarkEnd w:id="1634"/>
                                  <w:bookmarkEnd w:id="1635"/>
                                  <w:r>
                                    <w:rPr>
                                      <w:color w:val="00000A"/>
                                      <w:sz w:val="18"/>
                                      <w:szCs w:val="18"/>
                                    </w:rPr>
                                  </w:r>
                                </w:p>
                              </w:tc>
                            </w:tr>
                            <w:tr>
                              <w:trPr>
                                <w:cantSplit w:val="true"/>
                              </w:trPr>
                              <w:tc>
                                <w:tcPr>
                                  <w:tcW w:w="1314"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1636" w:name="__UnoMark__16307_118561941"/>
                                  <w:bookmarkStart w:id="1637" w:name="__UnoMark__16306_118561941"/>
                                  <w:bookmarkEnd w:id="1636"/>
                                  <w:bookmarkEnd w:id="1637"/>
                                  <w:r>
                                    <w:rPr>
                                      <w:color w:val="00000A"/>
                                      <w:sz w:val="18"/>
                                      <w:szCs w:val="18"/>
                                    </w:rPr>
                                    <w:t>RST_LDS</w:t>
                                  </w:r>
                                </w:p>
                              </w:tc>
                              <w:tc>
                                <w:tcPr>
                                  <w:tcW w:w="1141"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638" w:name="__UnoMark__16309_118561941"/>
                                  <w:bookmarkStart w:id="1639" w:name="__UnoMark__16308_118561941"/>
                                  <w:bookmarkEnd w:id="1638"/>
                                  <w:bookmarkEnd w:id="1639"/>
                                  <w:r>
                                    <w:rPr>
                                      <w:color w:val="00000A"/>
                                      <w:sz w:val="18"/>
                                      <w:szCs w:val="18"/>
                                    </w:rPr>
                                    <w:t>.017</w:t>
                                  </w:r>
                                </w:p>
                              </w:tc>
                              <w:tc>
                                <w:tcPr>
                                  <w:tcW w:w="802"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640" w:name="__UnoMark__16311_118561941"/>
                                  <w:bookmarkStart w:id="1641" w:name="__UnoMark__16310_118561941"/>
                                  <w:bookmarkEnd w:id="1640"/>
                                  <w:bookmarkEnd w:id="1641"/>
                                  <w:r>
                                    <w:rPr>
                                      <w:color w:val="00000A"/>
                                      <w:sz w:val="18"/>
                                      <w:szCs w:val="18"/>
                                    </w:rPr>
                                    <w:t>.002</w:t>
                                  </w:r>
                                </w:p>
                              </w:tc>
                              <w:tc>
                                <w:tcPr>
                                  <w:tcW w:w="19"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color w:val="00000A"/>
                                      <w:sz w:val="18"/>
                                      <w:szCs w:val="18"/>
                                    </w:rPr>
                                  </w:pPr>
                                  <w:bookmarkStart w:id="1642" w:name="__UnoMark__16312_118561941"/>
                                  <w:bookmarkStart w:id="1643" w:name="__UnoMark__16313_118561941"/>
                                  <w:bookmarkStart w:id="1644" w:name="__UnoMark__16312_118561941"/>
                                  <w:bookmarkStart w:id="1645" w:name="__UnoMark__16313_118561941"/>
                                  <w:bookmarkEnd w:id="1644"/>
                                  <w:bookmarkEnd w:id="1645"/>
                                  <w:r>
                                    <w:rPr>
                                      <w:color w:val="00000A"/>
                                      <w:sz w:val="18"/>
                                      <w:szCs w:val="18"/>
                                    </w:rPr>
                                  </w:r>
                                </w:p>
                              </w:tc>
                            </w:tr>
                            <w:tr>
                              <w:trPr>
                                <w:cantSplit w:val="true"/>
                              </w:trPr>
                              <w:tc>
                                <w:tcPr>
                                  <w:tcW w:w="1314"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1646" w:name="__UnoMark__16315_118561941"/>
                                  <w:bookmarkStart w:id="1647" w:name="__UnoMark__16314_118561941"/>
                                  <w:bookmarkEnd w:id="1646"/>
                                  <w:bookmarkEnd w:id="1647"/>
                                  <w:r>
                                    <w:rPr>
                                      <w:color w:val="00000A"/>
                                      <w:sz w:val="18"/>
                                      <w:szCs w:val="18"/>
                                    </w:rPr>
                                    <w:t>LPA_LDS</w:t>
                                  </w:r>
                                </w:p>
                              </w:tc>
                              <w:tc>
                                <w:tcPr>
                                  <w:tcW w:w="1141"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648" w:name="__UnoMark__16317_118561941"/>
                                  <w:bookmarkStart w:id="1649" w:name="__UnoMark__16316_118561941"/>
                                  <w:bookmarkEnd w:id="1648"/>
                                  <w:bookmarkEnd w:id="1649"/>
                                  <w:r>
                                    <w:rPr>
                                      <w:color w:val="00000A"/>
                                      <w:sz w:val="18"/>
                                      <w:szCs w:val="18"/>
                                    </w:rPr>
                                    <w:t>.000</w:t>
                                  </w:r>
                                </w:p>
                              </w:tc>
                              <w:tc>
                                <w:tcPr>
                                  <w:tcW w:w="802"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650" w:name="__UnoMark__16319_118561941"/>
                                  <w:bookmarkStart w:id="1651" w:name="__UnoMark__16318_118561941"/>
                                  <w:bookmarkEnd w:id="1650"/>
                                  <w:bookmarkEnd w:id="1651"/>
                                  <w:r>
                                    <w:rPr>
                                      <w:color w:val="00000A"/>
                                      <w:sz w:val="18"/>
                                      <w:szCs w:val="18"/>
                                    </w:rPr>
                                    <w:t>.000</w:t>
                                  </w:r>
                                </w:p>
                              </w:tc>
                              <w:tc>
                                <w:tcPr>
                                  <w:tcW w:w="19"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color w:val="00000A"/>
                                      <w:sz w:val="18"/>
                                      <w:szCs w:val="18"/>
                                    </w:rPr>
                                  </w:pPr>
                                  <w:bookmarkStart w:id="1652" w:name="__UnoMark__16320_118561941"/>
                                  <w:bookmarkStart w:id="1653" w:name="__UnoMark__16321_118561941"/>
                                  <w:bookmarkStart w:id="1654" w:name="__UnoMark__16320_118561941"/>
                                  <w:bookmarkStart w:id="1655" w:name="__UnoMark__16321_118561941"/>
                                  <w:bookmarkEnd w:id="1654"/>
                                  <w:bookmarkEnd w:id="1655"/>
                                  <w:r>
                                    <w:rPr>
                                      <w:color w:val="00000A"/>
                                      <w:sz w:val="18"/>
                                      <w:szCs w:val="18"/>
                                    </w:rPr>
                                  </w:r>
                                </w:p>
                              </w:tc>
                            </w:tr>
                            <w:tr>
                              <w:trPr>
                                <w:cantSplit w:val="true"/>
                              </w:trPr>
                              <w:tc>
                                <w:tcPr>
                                  <w:tcW w:w="1314"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1656" w:name="__UnoMark__16323_118561941"/>
                                  <w:bookmarkStart w:id="1657" w:name="__UnoMark__16322_118561941"/>
                                  <w:bookmarkEnd w:id="1656"/>
                                  <w:bookmarkEnd w:id="1657"/>
                                  <w:r>
                                    <w:rPr>
                                      <w:color w:val="00000A"/>
                                      <w:sz w:val="18"/>
                                      <w:szCs w:val="18"/>
                                    </w:rPr>
                                    <w:t>PCA_LDS</w:t>
                                  </w:r>
                                </w:p>
                              </w:tc>
                              <w:tc>
                                <w:tcPr>
                                  <w:tcW w:w="1141"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658" w:name="__UnoMark__16324_118561941"/>
                                  <w:bookmarkEnd w:id="1658"/>
                                  <w:r>
                                    <w:rPr>
                                      <w:color w:val="00000A"/>
                                      <w:sz w:val="18"/>
                                      <w:szCs w:val="18"/>
                                    </w:rPr>
                                    <w:t>.200</w:t>
                                  </w:r>
                                  <w:bookmarkStart w:id="1659" w:name="__UnoMark__16325_118561941"/>
                                  <w:bookmarkEnd w:id="1659"/>
                                  <w:r>
                                    <w:rPr>
                                      <w:color w:val="00000A"/>
                                      <w:sz w:val="18"/>
                                      <w:szCs w:val="18"/>
                                      <w:vertAlign w:val="superscript"/>
                                    </w:rPr>
                                    <w:t>*</w:t>
                                  </w:r>
                                </w:p>
                              </w:tc>
                              <w:tc>
                                <w:tcPr>
                                  <w:tcW w:w="802"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660" w:name="__UnoMark__16327_118561941"/>
                                  <w:bookmarkStart w:id="1661" w:name="__UnoMark__16326_118561941"/>
                                  <w:bookmarkEnd w:id="1660"/>
                                  <w:bookmarkEnd w:id="1661"/>
                                  <w:r>
                                    <w:rPr>
                                      <w:color w:val="00000A"/>
                                      <w:sz w:val="18"/>
                                      <w:szCs w:val="18"/>
                                    </w:rPr>
                                    <w:t>.026</w:t>
                                  </w:r>
                                </w:p>
                              </w:tc>
                              <w:tc>
                                <w:tcPr>
                                  <w:tcW w:w="19"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color w:val="00000A"/>
                                      <w:sz w:val="18"/>
                                      <w:szCs w:val="18"/>
                                    </w:rPr>
                                  </w:pPr>
                                  <w:bookmarkStart w:id="1662" w:name="__UnoMark__16328_118561941"/>
                                  <w:bookmarkStart w:id="1663" w:name="__UnoMark__16329_118561941"/>
                                  <w:bookmarkStart w:id="1664" w:name="__UnoMark__16328_118561941"/>
                                  <w:bookmarkStart w:id="1665" w:name="__UnoMark__16329_118561941"/>
                                  <w:bookmarkEnd w:id="1664"/>
                                  <w:bookmarkEnd w:id="1665"/>
                                  <w:r>
                                    <w:rPr>
                                      <w:color w:val="00000A"/>
                                      <w:sz w:val="18"/>
                                      <w:szCs w:val="18"/>
                                    </w:rPr>
                                  </w:r>
                                </w:p>
                              </w:tc>
                            </w:tr>
                            <w:tr>
                              <w:trPr>
                                <w:cantSplit w:val="true"/>
                              </w:trPr>
                              <w:tc>
                                <w:tcPr>
                                  <w:tcW w:w="1314"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1666" w:name="__UnoMark__16331_118561941"/>
                                  <w:bookmarkStart w:id="1667" w:name="__UnoMark__16330_118561941"/>
                                  <w:bookmarkEnd w:id="1666"/>
                                  <w:bookmarkEnd w:id="1667"/>
                                  <w:r>
                                    <w:rPr>
                                      <w:color w:val="00000A"/>
                                      <w:sz w:val="18"/>
                                      <w:szCs w:val="18"/>
                                    </w:rPr>
                                    <w:t>ACO_LDS</w:t>
                                  </w:r>
                                </w:p>
                              </w:tc>
                              <w:tc>
                                <w:tcPr>
                                  <w:tcW w:w="1141"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668" w:name="__UnoMark__16332_118561941"/>
                                  <w:bookmarkEnd w:id="1668"/>
                                  <w:r>
                                    <w:rPr>
                                      <w:color w:val="00000A"/>
                                      <w:sz w:val="18"/>
                                      <w:szCs w:val="18"/>
                                    </w:rPr>
                                    <w:t>.200</w:t>
                                  </w:r>
                                  <w:bookmarkStart w:id="1669" w:name="__UnoMark__16333_118561941"/>
                                  <w:bookmarkEnd w:id="1669"/>
                                  <w:r>
                                    <w:rPr>
                                      <w:color w:val="00000A"/>
                                      <w:sz w:val="18"/>
                                      <w:szCs w:val="18"/>
                                      <w:vertAlign w:val="superscript"/>
                                    </w:rPr>
                                    <w:t>*</w:t>
                                  </w:r>
                                </w:p>
                              </w:tc>
                              <w:tc>
                                <w:tcPr>
                                  <w:tcW w:w="802"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670" w:name="__UnoMark__16335_118561941"/>
                                  <w:bookmarkStart w:id="1671" w:name="__UnoMark__16334_118561941"/>
                                  <w:bookmarkEnd w:id="1670"/>
                                  <w:bookmarkEnd w:id="1671"/>
                                  <w:r>
                                    <w:rPr>
                                      <w:color w:val="00000A"/>
                                      <w:sz w:val="18"/>
                                      <w:szCs w:val="18"/>
                                    </w:rPr>
                                    <w:t>.180</w:t>
                                  </w:r>
                                </w:p>
                              </w:tc>
                              <w:tc>
                                <w:tcPr>
                                  <w:tcW w:w="19"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color w:val="00000A"/>
                                      <w:sz w:val="18"/>
                                      <w:szCs w:val="18"/>
                                    </w:rPr>
                                  </w:pPr>
                                  <w:bookmarkStart w:id="1672" w:name="__UnoMark__16336_118561941"/>
                                  <w:bookmarkStart w:id="1673" w:name="__UnoMark__16337_118561941"/>
                                  <w:bookmarkStart w:id="1674" w:name="__UnoMark__16336_118561941"/>
                                  <w:bookmarkStart w:id="1675" w:name="__UnoMark__16337_118561941"/>
                                  <w:bookmarkEnd w:id="1674"/>
                                  <w:bookmarkEnd w:id="1675"/>
                                  <w:r>
                                    <w:rPr>
                                      <w:color w:val="00000A"/>
                                      <w:sz w:val="18"/>
                                      <w:szCs w:val="18"/>
                                    </w:rPr>
                                  </w:r>
                                </w:p>
                              </w:tc>
                            </w:tr>
                            <w:tr>
                              <w:trPr>
                                <w:cantSplit w:val="true"/>
                              </w:trPr>
                              <w:tc>
                                <w:tcPr>
                                  <w:tcW w:w="1314"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1676" w:name="__UnoMark__16339_118561941"/>
                                  <w:bookmarkStart w:id="1677" w:name="__UnoMark__16338_118561941"/>
                                  <w:bookmarkEnd w:id="1676"/>
                                  <w:bookmarkEnd w:id="1677"/>
                                  <w:r>
                                    <w:rPr>
                                      <w:color w:val="00000A"/>
                                      <w:sz w:val="18"/>
                                      <w:szCs w:val="18"/>
                                    </w:rPr>
                                    <w:t>GA_LDS</w:t>
                                  </w:r>
                                </w:p>
                              </w:tc>
                              <w:tc>
                                <w:tcPr>
                                  <w:tcW w:w="1141"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678" w:name="__UnoMark__16341_118561941"/>
                                  <w:bookmarkStart w:id="1679" w:name="__UnoMark__16340_118561941"/>
                                  <w:bookmarkEnd w:id="1678"/>
                                  <w:bookmarkEnd w:id="1679"/>
                                  <w:r>
                                    <w:rPr>
                                      <w:color w:val="00000A"/>
                                      <w:sz w:val="18"/>
                                      <w:szCs w:val="18"/>
                                    </w:rPr>
                                    <w:t>.016</w:t>
                                  </w:r>
                                </w:p>
                              </w:tc>
                              <w:tc>
                                <w:tcPr>
                                  <w:tcW w:w="802"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680" w:name="__UnoMark__16343_118561941"/>
                                  <w:bookmarkStart w:id="1681" w:name="__UnoMark__16342_118561941"/>
                                  <w:bookmarkEnd w:id="1680"/>
                                  <w:bookmarkEnd w:id="1681"/>
                                  <w:r>
                                    <w:rPr>
                                      <w:color w:val="00000A"/>
                                      <w:sz w:val="18"/>
                                      <w:szCs w:val="18"/>
                                    </w:rPr>
                                    <w:t>.001</w:t>
                                  </w:r>
                                </w:p>
                              </w:tc>
                              <w:tc>
                                <w:tcPr>
                                  <w:tcW w:w="19"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color w:val="00000A"/>
                                      <w:sz w:val="18"/>
                                      <w:szCs w:val="18"/>
                                    </w:rPr>
                                  </w:pPr>
                                  <w:bookmarkStart w:id="1682" w:name="__UnoMark__16344_118561941"/>
                                  <w:bookmarkStart w:id="1683" w:name="__UnoMark__16345_118561941"/>
                                  <w:bookmarkStart w:id="1684" w:name="__UnoMark__16344_118561941"/>
                                  <w:bookmarkStart w:id="1685" w:name="__UnoMark__16345_118561941"/>
                                  <w:bookmarkEnd w:id="1684"/>
                                  <w:bookmarkEnd w:id="1685"/>
                                  <w:r>
                                    <w:rPr>
                                      <w:color w:val="00000A"/>
                                      <w:sz w:val="18"/>
                                      <w:szCs w:val="18"/>
                                    </w:rPr>
                                  </w:r>
                                </w:p>
                              </w:tc>
                            </w:tr>
                            <w:tr>
                              <w:trPr>
                                <w:cantSplit w:val="true"/>
                              </w:trPr>
                              <w:tc>
                                <w:tcPr>
                                  <w:tcW w:w="1314"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1686" w:name="__UnoMark__16347_118561941"/>
                                  <w:bookmarkStart w:id="1687" w:name="__UnoMark__16346_118561941"/>
                                  <w:bookmarkEnd w:id="1686"/>
                                  <w:bookmarkEnd w:id="1687"/>
                                  <w:r>
                                    <w:rPr>
                                      <w:color w:val="00000A"/>
                                      <w:sz w:val="18"/>
                                      <w:szCs w:val="18"/>
                                    </w:rPr>
                                    <w:t>Apriori_LDS</w:t>
                                  </w:r>
                                </w:p>
                              </w:tc>
                              <w:tc>
                                <w:tcPr>
                                  <w:tcW w:w="1141"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688" w:name="__UnoMark__16348_118561941"/>
                                  <w:bookmarkEnd w:id="1688"/>
                                  <w:r>
                                    <w:rPr>
                                      <w:color w:val="00000A"/>
                                      <w:sz w:val="18"/>
                                      <w:szCs w:val="18"/>
                                    </w:rPr>
                                    <w:t>.200</w:t>
                                  </w:r>
                                  <w:bookmarkStart w:id="1689" w:name="__UnoMark__16349_118561941"/>
                                  <w:bookmarkEnd w:id="1689"/>
                                  <w:r>
                                    <w:rPr>
                                      <w:color w:val="00000A"/>
                                      <w:sz w:val="18"/>
                                      <w:szCs w:val="18"/>
                                      <w:vertAlign w:val="superscript"/>
                                    </w:rPr>
                                    <w:t>*</w:t>
                                  </w:r>
                                </w:p>
                              </w:tc>
                              <w:tc>
                                <w:tcPr>
                                  <w:tcW w:w="802"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690" w:name="__UnoMark__16351_118561941"/>
                                  <w:bookmarkStart w:id="1691" w:name="__UnoMark__16350_118561941"/>
                                  <w:bookmarkEnd w:id="1690"/>
                                  <w:bookmarkEnd w:id="1691"/>
                                  <w:r>
                                    <w:rPr>
                                      <w:color w:val="00000A"/>
                                      <w:sz w:val="18"/>
                                      <w:szCs w:val="18"/>
                                    </w:rPr>
                                    <w:t>.029</w:t>
                                  </w:r>
                                </w:p>
                              </w:tc>
                              <w:tc>
                                <w:tcPr>
                                  <w:tcW w:w="19"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color w:val="00000A"/>
                                      <w:sz w:val="18"/>
                                      <w:szCs w:val="18"/>
                                    </w:rPr>
                                  </w:pPr>
                                  <w:bookmarkStart w:id="1692" w:name="__UnoMark__16352_118561941"/>
                                  <w:bookmarkStart w:id="1693" w:name="__UnoMark__16352_118561941"/>
                                  <w:bookmarkEnd w:id="1693"/>
                                  <w:r>
                                    <w:rPr>
                                      <w:color w:val="00000A"/>
                                      <w:sz w:val="18"/>
                                      <w:szCs w:val="18"/>
                                    </w:rPr>
                                  </w:r>
                                </w:p>
                              </w:tc>
                            </w:tr>
                          </w:tbl>
                          <w:p>
                            <w:pPr>
                              <w:pStyle w:val="FrameContents"/>
                              <w:spacing w:before="80" w:after="60"/>
                              <w:rPr>
                                <w:color w:val="000000"/>
                              </w:rPr>
                            </w:pPr>
                            <w:r>
                              <w:rPr>
                                <w:color w:val="000000"/>
                              </w:rPr>
                            </w:r>
                          </w:p>
                        </w:txbxContent>
                      </wps:txbx>
                      <wps:bodyPr lIns="0" rIns="0" tIns="0" bIns="0">
                        <a:spAutoFit/>
                      </wps:bodyPr>
                    </wps:wsp>
                  </a:graphicData>
                </a:graphic>
              </wp:anchor>
            </w:drawing>
          </mc:Choice>
          <mc:Fallback>
            <w:pict>
              <v:rect id="shape_0" ID="Frame6" stroked="f" style="position:absolute;margin-left:142.45pt;margin-top:2.8pt;width:163.9pt;height:132.65pt;mso-position-horizontal:center;mso-position-horizontal-relative:margin">
                <w10:wrap type="none"/>
                <v:fill o:detectmouseclick="t" on="false"/>
                <v:stroke color="#3465a4" joinstyle="round" endcap="flat"/>
                <v:textbox>
                  <w:txbxContent>
                    <w:tbl>
                      <w:tblPr>
                        <w:tblW w:w="3277" w:type="dxa"/>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1314"/>
                        <w:gridCol w:w="1141"/>
                        <w:gridCol w:w="802"/>
                        <w:gridCol w:w="19"/>
                      </w:tblGrid>
                      <w:tr>
                        <w:trPr>
                          <w:cantSplit w:val="true"/>
                        </w:trPr>
                        <w:tc>
                          <w:tcPr>
                            <w:tcW w:w="1314"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jc w:val="center"/>
                              <w:rPr/>
                            </w:pPr>
                            <w:bookmarkStart w:id="1694" w:name="__UnoMark__16299_118561941"/>
                            <w:bookmarkEnd w:id="1694"/>
                            <w:r>
                              <w:rPr>
                                <w:color w:val="00000A"/>
                                <w:sz w:val="18"/>
                                <w:szCs w:val="18"/>
                              </w:rPr>
                              <w:t>Algoritmos</w:t>
                            </w:r>
                          </w:p>
                        </w:tc>
                        <w:tc>
                          <w:tcPr>
                            <w:tcW w:w="1141"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1695" w:name="__UnoMark__16300_118561941"/>
                            <w:bookmarkEnd w:id="1695"/>
                            <w:r>
                              <w:rPr>
                                <w:color w:val="00000A"/>
                                <w:sz w:val="18"/>
                                <w:szCs w:val="18"/>
                              </w:rPr>
                              <w:t>Kolmogorov-Smirnov</w:t>
                            </w:r>
                            <w:r>
                              <w:rPr>
                                <w:color w:val="00000A"/>
                                <w:sz w:val="18"/>
                                <w:szCs w:val="18"/>
                                <w:vertAlign w:val="superscript"/>
                              </w:rPr>
                              <w:t>a</w:t>
                            </w:r>
                            <w:bookmarkStart w:id="1696" w:name="__UnoMark__16301_118561941"/>
                            <w:bookmarkEnd w:id="1696"/>
                            <w:r>
                              <w:rPr>
                                <w:color w:val="00000A"/>
                                <w:sz w:val="18"/>
                                <w:szCs w:val="18"/>
                              </w:rPr>
                              <w:t xml:space="preserve"> Sig.</w:t>
                            </w:r>
                          </w:p>
                        </w:tc>
                        <w:tc>
                          <w:tcPr>
                            <w:tcW w:w="802"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1697" w:name="__UnoMark__16303_118561941"/>
                            <w:bookmarkStart w:id="1698" w:name="__UnoMark__16302_118561941"/>
                            <w:bookmarkEnd w:id="1697"/>
                            <w:bookmarkEnd w:id="1698"/>
                            <w:r>
                              <w:rPr>
                                <w:color w:val="00000A"/>
                                <w:sz w:val="18"/>
                                <w:szCs w:val="18"/>
                              </w:rPr>
                              <w:t>Shapiro-Wilk Sig.</w:t>
                            </w:r>
                          </w:p>
                        </w:tc>
                        <w:tc>
                          <w:tcPr>
                            <w:tcW w:w="19"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color w:val="00000A"/>
                                <w:sz w:val="18"/>
                                <w:szCs w:val="18"/>
                              </w:rPr>
                            </w:pPr>
                            <w:bookmarkStart w:id="1699" w:name="__UnoMark__16304_118561941"/>
                            <w:bookmarkStart w:id="1700" w:name="__UnoMark__16305_118561941"/>
                            <w:bookmarkStart w:id="1701" w:name="__UnoMark__16304_118561941"/>
                            <w:bookmarkStart w:id="1702" w:name="__UnoMark__16305_118561941"/>
                            <w:bookmarkEnd w:id="1701"/>
                            <w:bookmarkEnd w:id="1702"/>
                            <w:r>
                              <w:rPr>
                                <w:color w:val="00000A"/>
                                <w:sz w:val="18"/>
                                <w:szCs w:val="18"/>
                              </w:rPr>
                            </w:r>
                          </w:p>
                        </w:tc>
                      </w:tr>
                      <w:tr>
                        <w:trPr>
                          <w:cantSplit w:val="true"/>
                        </w:trPr>
                        <w:tc>
                          <w:tcPr>
                            <w:tcW w:w="1314"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1703" w:name="__UnoMark__16307_118561941"/>
                            <w:bookmarkStart w:id="1704" w:name="__UnoMark__16306_118561941"/>
                            <w:bookmarkEnd w:id="1703"/>
                            <w:bookmarkEnd w:id="1704"/>
                            <w:r>
                              <w:rPr>
                                <w:color w:val="00000A"/>
                                <w:sz w:val="18"/>
                                <w:szCs w:val="18"/>
                              </w:rPr>
                              <w:t>RST_LDS</w:t>
                            </w:r>
                          </w:p>
                        </w:tc>
                        <w:tc>
                          <w:tcPr>
                            <w:tcW w:w="1141"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705" w:name="__UnoMark__16309_118561941"/>
                            <w:bookmarkStart w:id="1706" w:name="__UnoMark__16308_118561941"/>
                            <w:bookmarkEnd w:id="1705"/>
                            <w:bookmarkEnd w:id="1706"/>
                            <w:r>
                              <w:rPr>
                                <w:color w:val="00000A"/>
                                <w:sz w:val="18"/>
                                <w:szCs w:val="18"/>
                              </w:rPr>
                              <w:t>.017</w:t>
                            </w:r>
                          </w:p>
                        </w:tc>
                        <w:tc>
                          <w:tcPr>
                            <w:tcW w:w="802"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707" w:name="__UnoMark__16311_118561941"/>
                            <w:bookmarkStart w:id="1708" w:name="__UnoMark__16310_118561941"/>
                            <w:bookmarkEnd w:id="1707"/>
                            <w:bookmarkEnd w:id="1708"/>
                            <w:r>
                              <w:rPr>
                                <w:color w:val="00000A"/>
                                <w:sz w:val="18"/>
                                <w:szCs w:val="18"/>
                              </w:rPr>
                              <w:t>.002</w:t>
                            </w:r>
                          </w:p>
                        </w:tc>
                        <w:tc>
                          <w:tcPr>
                            <w:tcW w:w="19"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color w:val="00000A"/>
                                <w:sz w:val="18"/>
                                <w:szCs w:val="18"/>
                              </w:rPr>
                            </w:pPr>
                            <w:bookmarkStart w:id="1709" w:name="__UnoMark__16312_118561941"/>
                            <w:bookmarkStart w:id="1710" w:name="__UnoMark__16313_118561941"/>
                            <w:bookmarkStart w:id="1711" w:name="__UnoMark__16312_118561941"/>
                            <w:bookmarkStart w:id="1712" w:name="__UnoMark__16313_118561941"/>
                            <w:bookmarkEnd w:id="1711"/>
                            <w:bookmarkEnd w:id="1712"/>
                            <w:r>
                              <w:rPr>
                                <w:color w:val="00000A"/>
                                <w:sz w:val="18"/>
                                <w:szCs w:val="18"/>
                              </w:rPr>
                            </w:r>
                          </w:p>
                        </w:tc>
                      </w:tr>
                      <w:tr>
                        <w:trPr>
                          <w:cantSplit w:val="true"/>
                        </w:trPr>
                        <w:tc>
                          <w:tcPr>
                            <w:tcW w:w="1314"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1713" w:name="__UnoMark__16315_118561941"/>
                            <w:bookmarkStart w:id="1714" w:name="__UnoMark__16314_118561941"/>
                            <w:bookmarkEnd w:id="1713"/>
                            <w:bookmarkEnd w:id="1714"/>
                            <w:r>
                              <w:rPr>
                                <w:color w:val="00000A"/>
                                <w:sz w:val="18"/>
                                <w:szCs w:val="18"/>
                              </w:rPr>
                              <w:t>LPA_LDS</w:t>
                            </w:r>
                          </w:p>
                        </w:tc>
                        <w:tc>
                          <w:tcPr>
                            <w:tcW w:w="1141"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715" w:name="__UnoMark__16317_118561941"/>
                            <w:bookmarkStart w:id="1716" w:name="__UnoMark__16316_118561941"/>
                            <w:bookmarkEnd w:id="1715"/>
                            <w:bookmarkEnd w:id="1716"/>
                            <w:r>
                              <w:rPr>
                                <w:color w:val="00000A"/>
                                <w:sz w:val="18"/>
                                <w:szCs w:val="18"/>
                              </w:rPr>
                              <w:t>.000</w:t>
                            </w:r>
                          </w:p>
                        </w:tc>
                        <w:tc>
                          <w:tcPr>
                            <w:tcW w:w="802"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717" w:name="__UnoMark__16319_118561941"/>
                            <w:bookmarkStart w:id="1718" w:name="__UnoMark__16318_118561941"/>
                            <w:bookmarkEnd w:id="1717"/>
                            <w:bookmarkEnd w:id="1718"/>
                            <w:r>
                              <w:rPr>
                                <w:color w:val="00000A"/>
                                <w:sz w:val="18"/>
                                <w:szCs w:val="18"/>
                              </w:rPr>
                              <w:t>.000</w:t>
                            </w:r>
                          </w:p>
                        </w:tc>
                        <w:tc>
                          <w:tcPr>
                            <w:tcW w:w="19"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color w:val="00000A"/>
                                <w:sz w:val="18"/>
                                <w:szCs w:val="18"/>
                              </w:rPr>
                            </w:pPr>
                            <w:bookmarkStart w:id="1719" w:name="__UnoMark__16320_118561941"/>
                            <w:bookmarkStart w:id="1720" w:name="__UnoMark__16321_118561941"/>
                            <w:bookmarkStart w:id="1721" w:name="__UnoMark__16320_118561941"/>
                            <w:bookmarkStart w:id="1722" w:name="__UnoMark__16321_118561941"/>
                            <w:bookmarkEnd w:id="1721"/>
                            <w:bookmarkEnd w:id="1722"/>
                            <w:r>
                              <w:rPr>
                                <w:color w:val="00000A"/>
                                <w:sz w:val="18"/>
                                <w:szCs w:val="18"/>
                              </w:rPr>
                            </w:r>
                          </w:p>
                        </w:tc>
                      </w:tr>
                      <w:tr>
                        <w:trPr>
                          <w:cantSplit w:val="true"/>
                        </w:trPr>
                        <w:tc>
                          <w:tcPr>
                            <w:tcW w:w="1314"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1723" w:name="__UnoMark__16323_118561941"/>
                            <w:bookmarkStart w:id="1724" w:name="__UnoMark__16322_118561941"/>
                            <w:bookmarkEnd w:id="1723"/>
                            <w:bookmarkEnd w:id="1724"/>
                            <w:r>
                              <w:rPr>
                                <w:color w:val="00000A"/>
                                <w:sz w:val="18"/>
                                <w:szCs w:val="18"/>
                              </w:rPr>
                              <w:t>PCA_LDS</w:t>
                            </w:r>
                          </w:p>
                        </w:tc>
                        <w:tc>
                          <w:tcPr>
                            <w:tcW w:w="1141"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725" w:name="__UnoMark__16324_118561941"/>
                            <w:bookmarkEnd w:id="1725"/>
                            <w:r>
                              <w:rPr>
                                <w:color w:val="00000A"/>
                                <w:sz w:val="18"/>
                                <w:szCs w:val="18"/>
                              </w:rPr>
                              <w:t>.200</w:t>
                            </w:r>
                            <w:bookmarkStart w:id="1726" w:name="__UnoMark__16325_118561941"/>
                            <w:bookmarkEnd w:id="1726"/>
                            <w:r>
                              <w:rPr>
                                <w:color w:val="00000A"/>
                                <w:sz w:val="18"/>
                                <w:szCs w:val="18"/>
                                <w:vertAlign w:val="superscript"/>
                              </w:rPr>
                              <w:t>*</w:t>
                            </w:r>
                          </w:p>
                        </w:tc>
                        <w:tc>
                          <w:tcPr>
                            <w:tcW w:w="802"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727" w:name="__UnoMark__16327_118561941"/>
                            <w:bookmarkStart w:id="1728" w:name="__UnoMark__16326_118561941"/>
                            <w:bookmarkEnd w:id="1727"/>
                            <w:bookmarkEnd w:id="1728"/>
                            <w:r>
                              <w:rPr>
                                <w:color w:val="00000A"/>
                                <w:sz w:val="18"/>
                                <w:szCs w:val="18"/>
                              </w:rPr>
                              <w:t>.026</w:t>
                            </w:r>
                          </w:p>
                        </w:tc>
                        <w:tc>
                          <w:tcPr>
                            <w:tcW w:w="19"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color w:val="00000A"/>
                                <w:sz w:val="18"/>
                                <w:szCs w:val="18"/>
                              </w:rPr>
                            </w:pPr>
                            <w:bookmarkStart w:id="1729" w:name="__UnoMark__16328_118561941"/>
                            <w:bookmarkStart w:id="1730" w:name="__UnoMark__16329_118561941"/>
                            <w:bookmarkStart w:id="1731" w:name="__UnoMark__16328_118561941"/>
                            <w:bookmarkStart w:id="1732" w:name="__UnoMark__16329_118561941"/>
                            <w:bookmarkEnd w:id="1731"/>
                            <w:bookmarkEnd w:id="1732"/>
                            <w:r>
                              <w:rPr>
                                <w:color w:val="00000A"/>
                                <w:sz w:val="18"/>
                                <w:szCs w:val="18"/>
                              </w:rPr>
                            </w:r>
                          </w:p>
                        </w:tc>
                      </w:tr>
                      <w:tr>
                        <w:trPr>
                          <w:cantSplit w:val="true"/>
                        </w:trPr>
                        <w:tc>
                          <w:tcPr>
                            <w:tcW w:w="1314"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1733" w:name="__UnoMark__16331_118561941"/>
                            <w:bookmarkStart w:id="1734" w:name="__UnoMark__16330_118561941"/>
                            <w:bookmarkEnd w:id="1733"/>
                            <w:bookmarkEnd w:id="1734"/>
                            <w:r>
                              <w:rPr>
                                <w:color w:val="00000A"/>
                                <w:sz w:val="18"/>
                                <w:szCs w:val="18"/>
                              </w:rPr>
                              <w:t>ACO_LDS</w:t>
                            </w:r>
                          </w:p>
                        </w:tc>
                        <w:tc>
                          <w:tcPr>
                            <w:tcW w:w="1141"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735" w:name="__UnoMark__16332_118561941"/>
                            <w:bookmarkEnd w:id="1735"/>
                            <w:r>
                              <w:rPr>
                                <w:color w:val="00000A"/>
                                <w:sz w:val="18"/>
                                <w:szCs w:val="18"/>
                              </w:rPr>
                              <w:t>.200</w:t>
                            </w:r>
                            <w:bookmarkStart w:id="1736" w:name="__UnoMark__16333_118561941"/>
                            <w:bookmarkEnd w:id="1736"/>
                            <w:r>
                              <w:rPr>
                                <w:color w:val="00000A"/>
                                <w:sz w:val="18"/>
                                <w:szCs w:val="18"/>
                                <w:vertAlign w:val="superscript"/>
                              </w:rPr>
                              <w:t>*</w:t>
                            </w:r>
                          </w:p>
                        </w:tc>
                        <w:tc>
                          <w:tcPr>
                            <w:tcW w:w="802"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737" w:name="__UnoMark__16335_118561941"/>
                            <w:bookmarkStart w:id="1738" w:name="__UnoMark__16334_118561941"/>
                            <w:bookmarkEnd w:id="1737"/>
                            <w:bookmarkEnd w:id="1738"/>
                            <w:r>
                              <w:rPr>
                                <w:color w:val="00000A"/>
                                <w:sz w:val="18"/>
                                <w:szCs w:val="18"/>
                              </w:rPr>
                              <w:t>.180</w:t>
                            </w:r>
                          </w:p>
                        </w:tc>
                        <w:tc>
                          <w:tcPr>
                            <w:tcW w:w="19"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color w:val="00000A"/>
                                <w:sz w:val="18"/>
                                <w:szCs w:val="18"/>
                              </w:rPr>
                            </w:pPr>
                            <w:bookmarkStart w:id="1739" w:name="__UnoMark__16336_118561941"/>
                            <w:bookmarkStart w:id="1740" w:name="__UnoMark__16337_118561941"/>
                            <w:bookmarkStart w:id="1741" w:name="__UnoMark__16336_118561941"/>
                            <w:bookmarkStart w:id="1742" w:name="__UnoMark__16337_118561941"/>
                            <w:bookmarkEnd w:id="1741"/>
                            <w:bookmarkEnd w:id="1742"/>
                            <w:r>
                              <w:rPr>
                                <w:color w:val="00000A"/>
                                <w:sz w:val="18"/>
                                <w:szCs w:val="18"/>
                              </w:rPr>
                            </w:r>
                          </w:p>
                        </w:tc>
                      </w:tr>
                      <w:tr>
                        <w:trPr>
                          <w:cantSplit w:val="true"/>
                        </w:trPr>
                        <w:tc>
                          <w:tcPr>
                            <w:tcW w:w="1314"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1743" w:name="__UnoMark__16339_118561941"/>
                            <w:bookmarkStart w:id="1744" w:name="__UnoMark__16338_118561941"/>
                            <w:bookmarkEnd w:id="1743"/>
                            <w:bookmarkEnd w:id="1744"/>
                            <w:r>
                              <w:rPr>
                                <w:color w:val="00000A"/>
                                <w:sz w:val="18"/>
                                <w:szCs w:val="18"/>
                              </w:rPr>
                              <w:t>GA_LDS</w:t>
                            </w:r>
                          </w:p>
                        </w:tc>
                        <w:tc>
                          <w:tcPr>
                            <w:tcW w:w="1141"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745" w:name="__UnoMark__16341_118561941"/>
                            <w:bookmarkStart w:id="1746" w:name="__UnoMark__16340_118561941"/>
                            <w:bookmarkEnd w:id="1745"/>
                            <w:bookmarkEnd w:id="1746"/>
                            <w:r>
                              <w:rPr>
                                <w:color w:val="00000A"/>
                                <w:sz w:val="18"/>
                                <w:szCs w:val="18"/>
                              </w:rPr>
                              <w:t>.016</w:t>
                            </w:r>
                          </w:p>
                        </w:tc>
                        <w:tc>
                          <w:tcPr>
                            <w:tcW w:w="802"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747" w:name="__UnoMark__16343_118561941"/>
                            <w:bookmarkStart w:id="1748" w:name="__UnoMark__16342_118561941"/>
                            <w:bookmarkEnd w:id="1747"/>
                            <w:bookmarkEnd w:id="1748"/>
                            <w:r>
                              <w:rPr>
                                <w:color w:val="00000A"/>
                                <w:sz w:val="18"/>
                                <w:szCs w:val="18"/>
                              </w:rPr>
                              <w:t>.001</w:t>
                            </w:r>
                          </w:p>
                        </w:tc>
                        <w:tc>
                          <w:tcPr>
                            <w:tcW w:w="19"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color w:val="00000A"/>
                                <w:sz w:val="18"/>
                                <w:szCs w:val="18"/>
                              </w:rPr>
                            </w:pPr>
                            <w:bookmarkStart w:id="1749" w:name="__UnoMark__16344_118561941"/>
                            <w:bookmarkStart w:id="1750" w:name="__UnoMark__16345_118561941"/>
                            <w:bookmarkStart w:id="1751" w:name="__UnoMark__16344_118561941"/>
                            <w:bookmarkStart w:id="1752" w:name="__UnoMark__16345_118561941"/>
                            <w:bookmarkEnd w:id="1751"/>
                            <w:bookmarkEnd w:id="1752"/>
                            <w:r>
                              <w:rPr>
                                <w:color w:val="00000A"/>
                                <w:sz w:val="18"/>
                                <w:szCs w:val="18"/>
                              </w:rPr>
                            </w:r>
                          </w:p>
                        </w:tc>
                      </w:tr>
                      <w:tr>
                        <w:trPr>
                          <w:cantSplit w:val="true"/>
                        </w:trPr>
                        <w:tc>
                          <w:tcPr>
                            <w:tcW w:w="1314"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1753" w:name="__UnoMark__16347_118561941"/>
                            <w:bookmarkStart w:id="1754" w:name="__UnoMark__16346_118561941"/>
                            <w:bookmarkEnd w:id="1753"/>
                            <w:bookmarkEnd w:id="1754"/>
                            <w:r>
                              <w:rPr>
                                <w:color w:val="00000A"/>
                                <w:sz w:val="18"/>
                                <w:szCs w:val="18"/>
                              </w:rPr>
                              <w:t>Apriori_LDS</w:t>
                            </w:r>
                          </w:p>
                        </w:tc>
                        <w:tc>
                          <w:tcPr>
                            <w:tcW w:w="1141"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755" w:name="__UnoMark__16348_118561941"/>
                            <w:bookmarkEnd w:id="1755"/>
                            <w:r>
                              <w:rPr>
                                <w:color w:val="00000A"/>
                                <w:sz w:val="18"/>
                                <w:szCs w:val="18"/>
                              </w:rPr>
                              <w:t>.200</w:t>
                            </w:r>
                            <w:bookmarkStart w:id="1756" w:name="__UnoMark__16349_118561941"/>
                            <w:bookmarkEnd w:id="1756"/>
                            <w:r>
                              <w:rPr>
                                <w:color w:val="00000A"/>
                                <w:sz w:val="18"/>
                                <w:szCs w:val="18"/>
                                <w:vertAlign w:val="superscript"/>
                              </w:rPr>
                              <w:t>*</w:t>
                            </w:r>
                          </w:p>
                        </w:tc>
                        <w:tc>
                          <w:tcPr>
                            <w:tcW w:w="802"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757" w:name="__UnoMark__16351_118561941"/>
                            <w:bookmarkStart w:id="1758" w:name="__UnoMark__16350_118561941"/>
                            <w:bookmarkEnd w:id="1757"/>
                            <w:bookmarkEnd w:id="1758"/>
                            <w:r>
                              <w:rPr>
                                <w:color w:val="00000A"/>
                                <w:sz w:val="18"/>
                                <w:szCs w:val="18"/>
                              </w:rPr>
                              <w:t>.029</w:t>
                            </w:r>
                          </w:p>
                        </w:tc>
                        <w:tc>
                          <w:tcPr>
                            <w:tcW w:w="19"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color w:val="00000A"/>
                                <w:sz w:val="18"/>
                                <w:szCs w:val="18"/>
                              </w:rPr>
                            </w:pPr>
                            <w:bookmarkStart w:id="1759" w:name="__UnoMark__16352_118561941"/>
                            <w:bookmarkStart w:id="1760" w:name="__UnoMark__16352_118561941"/>
                            <w:bookmarkEnd w:id="1760"/>
                            <w:r>
                              <w:rPr>
                                <w:color w:val="00000A"/>
                                <w:sz w:val="18"/>
                                <w:szCs w:val="18"/>
                              </w:rPr>
                            </w:r>
                          </w:p>
                        </w:tc>
                      </w:tr>
                    </w:tbl>
                    <w:p>
                      <w:pPr>
                        <w:pStyle w:val="FrameContents"/>
                        <w:spacing w:before="80" w:after="60"/>
                        <w:rPr>
                          <w:color w:val="000000"/>
                        </w:rPr>
                      </w:pPr>
                      <w:r>
                        <w:rPr>
                          <w:color w:val="000000"/>
                        </w:rPr>
                      </w:r>
                    </w:p>
                  </w:txbxContent>
                </v:textbox>
              </v:rect>
            </w:pict>
          </mc:Fallback>
        </mc:AlternateContent>
      </w:r>
    </w:p>
    <w:p>
      <w:pPr>
        <w:pStyle w:val="Normal"/>
        <w:rPr>
          <w:lang w:val="en-US"/>
        </w:rPr>
      </w:pPr>
      <w:r>
        <w:rPr>
          <w:lang w:val="en-US"/>
        </w:rPr>
        <mc:AlternateContent>
          <mc:Choice Requires="wps">
            <w:drawing>
              <wp:anchor behindDoc="0" distT="0" distB="0" distL="114300" distR="114300" simplePos="0" locked="0" layoutInCell="1" allowOverlap="1" relativeHeight="34">
                <wp:simplePos x="0" y="0"/>
                <wp:positionH relativeFrom="margin">
                  <wp:align>center</wp:align>
                </wp:positionH>
                <wp:positionV relativeFrom="paragraph">
                  <wp:posOffset>-83185</wp:posOffset>
                </wp:positionV>
                <wp:extent cx="5701665" cy="2592705"/>
                <wp:effectExtent l="0" t="0" r="0" b="0"/>
                <wp:wrapSquare wrapText="bothSides"/>
                <wp:docPr id="26" name="Frame7"/>
                <a:graphic xmlns:a="http://schemas.openxmlformats.org/drawingml/2006/main">
                  <a:graphicData uri="http://schemas.microsoft.com/office/word/2010/wordprocessingShape">
                    <wps:wsp>
                      <wps:cNvSpPr/>
                      <wps:spPr>
                        <a:xfrm>
                          <a:off x="0" y="0"/>
                          <a:ext cx="5700960" cy="2592000"/>
                        </a:xfrm>
                        <a:prstGeom prst="rect">
                          <a:avLst/>
                        </a:prstGeom>
                        <a:noFill/>
                        <a:ln>
                          <a:noFill/>
                        </a:ln>
                      </wps:spPr>
                      <wps:style>
                        <a:lnRef idx="0"/>
                        <a:fillRef idx="0"/>
                        <a:effectRef idx="0"/>
                        <a:fontRef idx="minor"/>
                      </wps:style>
                      <wps:txbx>
                        <w:txbxContent>
                          <w:tbl>
                            <w:tblPr>
                              <w:tblW w:w="5000" w:type="pct"/>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4444"/>
                              <w:gridCol w:w="1726"/>
                              <w:gridCol w:w="2810"/>
                            </w:tblGrid>
                            <w:tr>
                              <w:trPr>
                                <w:cantSplit w:val="true"/>
                              </w:trPr>
                              <w:tc>
                                <w:tcPr>
                                  <w:tcW w:w="444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pPr>
                                  <w:bookmarkStart w:id="1761" w:name="__UnoMark__16440_118561941"/>
                                  <w:bookmarkEnd w:id="1761"/>
                                  <w:r>
                                    <w:rPr>
                                      <w:sz w:val="18"/>
                                      <w:szCs w:val="18"/>
                                      <w:lang w:val="en-US"/>
                                    </w:rPr>
                                    <w:t xml:space="preserve">Algoritmos </w:t>
                                  </w:r>
                                </w:p>
                              </w:tc>
                              <w:tc>
                                <w:tcPr>
                                  <w:tcW w:w="1726"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pPr>
                                  <w:bookmarkStart w:id="1762" w:name="__UnoMark__16442_118561941"/>
                                  <w:bookmarkStart w:id="1763" w:name="__UnoMark__16441_118561941"/>
                                  <w:bookmarkEnd w:id="1762"/>
                                  <w:bookmarkEnd w:id="1763"/>
                                  <w:r>
                                    <w:rPr>
                                      <w:sz w:val="18"/>
                                      <w:szCs w:val="18"/>
                                      <w:lang w:val="en-US"/>
                                    </w:rPr>
                                    <w:t>p-value</w:t>
                                  </w:r>
                                </w:p>
                              </w:tc>
                              <w:tc>
                                <w:tcPr>
                                  <w:tcW w:w="281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pPr>
                                  <w:bookmarkStart w:id="1764" w:name="__UnoMark__16444_118561941"/>
                                  <w:bookmarkStart w:id="1765" w:name="__UnoMark__16443_118561941"/>
                                  <w:bookmarkEnd w:id="1764"/>
                                  <w:bookmarkEnd w:id="1765"/>
                                  <w:r>
                                    <w:rPr>
                                      <w:sz w:val="18"/>
                                      <w:szCs w:val="18"/>
                                      <w:lang w:val="en-US"/>
                                    </w:rPr>
                                    <w:t>Resultados</w:t>
                                  </w:r>
                                </w:p>
                              </w:tc>
                            </w:tr>
                            <w:tr>
                              <w:trPr>
                                <w:trHeight w:val="345" w:hRule="atLeast"/>
                                <w:cantSplit w:val="true"/>
                              </w:trPr>
                              <w:tc>
                                <w:tcPr>
                                  <w:tcW w:w="444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pPr>
                                  <w:bookmarkStart w:id="1766" w:name="__UnoMark__16445_118561941"/>
                                  <w:bookmarkEnd w:id="1766"/>
                                  <w:r>
                                    <w:rPr>
                                      <w:i/>
                                      <w:sz w:val="18"/>
                                      <w:szCs w:val="18"/>
                                      <w:lang w:val="en-US"/>
                                    </w:rPr>
                                    <w:t xml:space="preserve">Wilcoxon test </w:t>
                                  </w:r>
                                </w:p>
                                <w:p>
                                  <w:pPr>
                                    <w:pStyle w:val="FrameContents"/>
                                    <w:spacing w:lineRule="auto" w:line="240" w:before="0" w:after="0"/>
                                    <w:jc w:val="left"/>
                                    <w:rPr/>
                                  </w:pPr>
                                  <w:r>
                                    <w:rPr>
                                      <w:sz w:val="18"/>
                                      <w:szCs w:val="18"/>
                                      <w:lang w:val="en-US"/>
                                    </w:rPr>
                                    <w:t xml:space="preserve">GA_LDS (grupo A) – </w:t>
                                  </w:r>
                                </w:p>
                                <w:p>
                                  <w:pPr>
                                    <w:pStyle w:val="FrameContents"/>
                                    <w:spacing w:lineRule="auto" w:line="240" w:before="0" w:after="0"/>
                                    <w:jc w:val="left"/>
                                    <w:rPr/>
                                  </w:pPr>
                                  <w:bookmarkStart w:id="1767" w:name="__UnoMark__16446_118561941"/>
                                  <w:bookmarkEnd w:id="1767"/>
                                  <w:r>
                                    <w:rPr>
                                      <w:sz w:val="18"/>
                                      <w:szCs w:val="18"/>
                                    </w:rPr>
                                    <w:t>PCA_LDS (grupo B)</w:t>
                                  </w:r>
                                </w:p>
                              </w:tc>
                              <w:tc>
                                <w:tcPr>
                                  <w:tcW w:w="1726"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ind w:left="62" w:right="62" w:hanging="0"/>
                                    <w:jc w:val="center"/>
                                    <w:rPr>
                                      <w:color w:val="000000" w:themeColor="text1"/>
                                      <w:sz w:val="18"/>
                                      <w:szCs w:val="18"/>
                                    </w:rPr>
                                  </w:pPr>
                                  <w:bookmarkStart w:id="1768" w:name="__UnoMark__16447_118561941"/>
                                  <w:bookmarkStart w:id="1769" w:name="__UnoMark__16447_118561941"/>
                                  <w:bookmarkEnd w:id="1769"/>
                                  <w:r>
                                    <w:rPr>
                                      <w:color w:val="000000" w:themeColor="text1"/>
                                      <w:sz w:val="18"/>
                                      <w:szCs w:val="18"/>
                                    </w:rPr>
                                  </w:r>
                                </w:p>
                                <w:p>
                                  <w:pPr>
                                    <w:pStyle w:val="FrameContents"/>
                                    <w:spacing w:lineRule="auto" w:line="240" w:before="0" w:after="0"/>
                                    <w:ind w:left="62" w:right="62" w:hanging="0"/>
                                    <w:jc w:val="center"/>
                                    <w:rPr/>
                                  </w:pPr>
                                  <w:bookmarkStart w:id="1770" w:name="__UnoMark__16448_118561941"/>
                                  <w:bookmarkEnd w:id="1770"/>
                                  <w:r>
                                    <w:rPr>
                                      <w:color w:val="000000" w:themeColor="text1"/>
                                      <w:sz w:val="18"/>
                                      <w:szCs w:val="18"/>
                                    </w:rPr>
                                    <w:t>0.004</w:t>
                                  </w:r>
                                </w:p>
                              </w:tc>
                              <w:tc>
                                <w:tcPr>
                                  <w:tcW w:w="281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ind w:left="62" w:right="62" w:hanging="0"/>
                                    <w:jc w:val="center"/>
                                    <w:rPr/>
                                  </w:pPr>
                                  <w:bookmarkStart w:id="1771" w:name="__UnoMark__16450_118561941"/>
                                  <w:bookmarkStart w:id="1772" w:name="__UnoMark__16449_118561941"/>
                                  <w:bookmarkEnd w:id="1771"/>
                                  <w:bookmarkEnd w:id="1772"/>
                                  <w:r>
                                    <w:rPr>
                                      <w:sz w:val="18"/>
                                      <w:szCs w:val="18"/>
                                    </w:rPr>
                                    <w:t>Hay diferencias significativas</w:t>
                                  </w:r>
                                </w:p>
                              </w:tc>
                            </w:tr>
                            <w:tr>
                              <w:trPr>
                                <w:trHeight w:val="772" w:hRule="atLeast"/>
                                <w:cantSplit w:val="true"/>
                              </w:trPr>
                              <w:tc>
                                <w:tcPr>
                                  <w:tcW w:w="444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pPr>
                                  <w:bookmarkStart w:id="1773" w:name="__UnoMark__16451_118561941"/>
                                  <w:bookmarkEnd w:id="1773"/>
                                  <w:r>
                                    <w:rPr>
                                      <w:i/>
                                      <w:sz w:val="18"/>
                                      <w:szCs w:val="18"/>
                                      <w:lang w:val="en-US"/>
                                    </w:rPr>
                                    <w:t xml:space="preserve">Wilcoxon test </w:t>
                                  </w:r>
                                </w:p>
                                <w:p>
                                  <w:pPr>
                                    <w:pStyle w:val="FrameContents"/>
                                    <w:spacing w:lineRule="auto" w:line="240" w:before="0" w:after="0"/>
                                    <w:jc w:val="left"/>
                                    <w:rPr/>
                                  </w:pPr>
                                  <w:r>
                                    <w:rPr>
                                      <w:sz w:val="18"/>
                                      <w:szCs w:val="18"/>
                                      <w:lang w:val="en-US"/>
                                    </w:rPr>
                                    <w:t xml:space="preserve">PCA_LDS (grupo B) – </w:t>
                                  </w:r>
                                </w:p>
                                <w:p>
                                  <w:pPr>
                                    <w:pStyle w:val="FrameContents"/>
                                    <w:spacing w:lineRule="auto" w:line="240" w:before="0" w:after="0"/>
                                    <w:jc w:val="left"/>
                                    <w:rPr/>
                                  </w:pPr>
                                  <w:bookmarkStart w:id="1774" w:name="__UnoMark__16452_118561941"/>
                                  <w:bookmarkEnd w:id="1774"/>
                                  <w:r>
                                    <w:rPr>
                                      <w:sz w:val="18"/>
                                      <w:szCs w:val="18"/>
                                    </w:rPr>
                                    <w:t>Apriori_LDS (grupo C)</w:t>
                                  </w:r>
                                </w:p>
                              </w:tc>
                              <w:tc>
                                <w:tcPr>
                                  <w:tcW w:w="1726"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ind w:left="62" w:right="62" w:hanging="0"/>
                                    <w:jc w:val="center"/>
                                    <w:rPr/>
                                  </w:pPr>
                                  <w:bookmarkStart w:id="1775" w:name="__UnoMark__16454_118561941"/>
                                  <w:bookmarkStart w:id="1776" w:name="__UnoMark__16453_118561941"/>
                                  <w:bookmarkEnd w:id="1775"/>
                                  <w:bookmarkEnd w:id="1776"/>
                                  <w:r>
                                    <w:rPr>
                                      <w:sz w:val="18"/>
                                      <w:szCs w:val="18"/>
                                    </w:rPr>
                                    <w:t>0.046</w:t>
                                  </w:r>
                                </w:p>
                              </w:tc>
                              <w:tc>
                                <w:tcPr>
                                  <w:tcW w:w="281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ind w:left="62" w:right="62" w:hanging="0"/>
                                    <w:jc w:val="center"/>
                                    <w:rPr/>
                                  </w:pPr>
                                  <w:bookmarkStart w:id="1777" w:name="__UnoMark__16456_118561941"/>
                                  <w:bookmarkStart w:id="1778" w:name="__UnoMark__16455_118561941"/>
                                  <w:bookmarkEnd w:id="1777"/>
                                  <w:bookmarkEnd w:id="1778"/>
                                  <w:r>
                                    <w:rPr>
                                      <w:sz w:val="18"/>
                                      <w:szCs w:val="18"/>
                                    </w:rPr>
                                    <w:t>Hay diferencias significativas</w:t>
                                  </w:r>
                                </w:p>
                              </w:tc>
                            </w:tr>
                            <w:tr>
                              <w:trPr>
                                <w:trHeight w:val="800" w:hRule="atLeast"/>
                                <w:cantSplit w:val="true"/>
                              </w:trPr>
                              <w:tc>
                                <w:tcPr>
                                  <w:tcW w:w="444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pPr>
                                  <w:bookmarkStart w:id="1779" w:name="__UnoMark__16457_118561941"/>
                                  <w:bookmarkEnd w:id="1779"/>
                                  <w:r>
                                    <w:rPr>
                                      <w:i/>
                                      <w:sz w:val="18"/>
                                      <w:szCs w:val="18"/>
                                      <w:lang w:val="en-US"/>
                                    </w:rPr>
                                    <w:t xml:space="preserve">Wilcoxon test </w:t>
                                  </w:r>
                                </w:p>
                                <w:p>
                                  <w:pPr>
                                    <w:pStyle w:val="FrameContents"/>
                                    <w:spacing w:lineRule="auto" w:line="240" w:before="0" w:after="0"/>
                                    <w:jc w:val="left"/>
                                    <w:rPr/>
                                  </w:pPr>
                                  <w:r>
                                    <w:rPr>
                                      <w:sz w:val="18"/>
                                      <w:szCs w:val="18"/>
                                      <w:lang w:val="en-US"/>
                                    </w:rPr>
                                    <w:t xml:space="preserve">Apriori_LDS (grupo C)- </w:t>
                                  </w:r>
                                </w:p>
                                <w:p>
                                  <w:pPr>
                                    <w:pStyle w:val="FrameContents"/>
                                    <w:spacing w:lineRule="auto" w:line="240" w:before="0" w:after="0"/>
                                    <w:jc w:val="left"/>
                                    <w:rPr/>
                                  </w:pPr>
                                  <w:bookmarkStart w:id="1780" w:name="__UnoMark__16458_118561941"/>
                                  <w:bookmarkEnd w:id="1780"/>
                                  <w:r>
                                    <w:rPr>
                                      <w:sz w:val="18"/>
                                      <w:szCs w:val="18"/>
                                    </w:rPr>
                                    <w:t>RST_LDS (grupo D)</w:t>
                                  </w:r>
                                </w:p>
                              </w:tc>
                              <w:tc>
                                <w:tcPr>
                                  <w:tcW w:w="1726"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ind w:left="62" w:right="62" w:hanging="0"/>
                                    <w:jc w:val="center"/>
                                    <w:rPr/>
                                  </w:pPr>
                                  <w:bookmarkStart w:id="1781" w:name="__UnoMark__16460_118561941"/>
                                  <w:bookmarkStart w:id="1782" w:name="__UnoMark__16459_118561941"/>
                                  <w:bookmarkEnd w:id="1781"/>
                                  <w:bookmarkEnd w:id="1782"/>
                                  <w:r>
                                    <w:rPr>
                                      <w:color w:val="000000" w:themeColor="text1"/>
                                      <w:sz w:val="18"/>
                                      <w:szCs w:val="18"/>
                                    </w:rPr>
                                    <w:t>0.050</w:t>
                                  </w:r>
                                </w:p>
                              </w:tc>
                              <w:tc>
                                <w:tcPr>
                                  <w:tcW w:w="281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ind w:left="62" w:right="62" w:hanging="0"/>
                                    <w:jc w:val="center"/>
                                    <w:rPr/>
                                  </w:pPr>
                                  <w:bookmarkStart w:id="1783" w:name="__UnoMark__16461_118561941"/>
                                  <w:bookmarkEnd w:id="1783"/>
                                  <w:r>
                                    <w:rPr>
                                      <w:sz w:val="18"/>
                                      <w:szCs w:val="18"/>
                                    </w:rPr>
                                    <w:t>Hay diferencias</w:t>
                                  </w:r>
                                </w:p>
                                <w:p>
                                  <w:pPr>
                                    <w:pStyle w:val="FrameContents"/>
                                    <w:spacing w:lineRule="auto" w:line="240" w:before="0" w:after="0"/>
                                    <w:ind w:left="62" w:right="62" w:hanging="0"/>
                                    <w:jc w:val="center"/>
                                    <w:rPr/>
                                  </w:pPr>
                                  <w:bookmarkStart w:id="1784" w:name="__UnoMark__16462_118561941"/>
                                  <w:bookmarkEnd w:id="1784"/>
                                  <w:r>
                                    <w:rPr>
                                      <w:sz w:val="18"/>
                                      <w:szCs w:val="18"/>
                                    </w:rPr>
                                    <w:t>significativas</w:t>
                                  </w:r>
                                </w:p>
                              </w:tc>
                            </w:tr>
                            <w:tr>
                              <w:trPr>
                                <w:trHeight w:val="557" w:hRule="atLeast"/>
                                <w:cantSplit w:val="true"/>
                              </w:trPr>
                              <w:tc>
                                <w:tcPr>
                                  <w:tcW w:w="444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pPr>
                                  <w:bookmarkStart w:id="1785" w:name="__UnoMark__16463_118561941"/>
                                  <w:bookmarkEnd w:id="1785"/>
                                  <w:r>
                                    <w:rPr>
                                      <w:i/>
                                      <w:sz w:val="18"/>
                                      <w:szCs w:val="18"/>
                                      <w:lang w:val="en-US"/>
                                    </w:rPr>
                                    <w:t>Wilcoxon test</w:t>
                                  </w:r>
                                  <w:r>
                                    <w:rPr>
                                      <w:sz w:val="18"/>
                                      <w:szCs w:val="18"/>
                                      <w:lang w:val="en-US"/>
                                    </w:rPr>
                                    <w:t xml:space="preserve"> (grupo D)</w:t>
                                  </w:r>
                                </w:p>
                                <w:p>
                                  <w:pPr>
                                    <w:pStyle w:val="FrameContents"/>
                                    <w:spacing w:lineRule="auto" w:line="240" w:before="0" w:after="0"/>
                                    <w:jc w:val="left"/>
                                    <w:rPr/>
                                  </w:pPr>
                                  <w:r>
                                    <w:rPr>
                                      <w:sz w:val="18"/>
                                      <w:szCs w:val="18"/>
                                      <w:lang w:val="en-US"/>
                                    </w:rPr>
                                    <w:t>RST_LDS - ACO_LDS</w:t>
                                  </w:r>
                                  <w:bookmarkStart w:id="1786" w:name="__UnoMark__16464_118561941"/>
                                  <w:bookmarkEnd w:id="1786"/>
                                  <w:r>
                                    <w:rPr>
                                      <w:lang w:val="en-US"/>
                                    </w:rPr>
                                    <w:t xml:space="preserve"> </w:t>
                                  </w:r>
                                </w:p>
                              </w:tc>
                              <w:tc>
                                <w:tcPr>
                                  <w:tcW w:w="1726"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ind w:left="62" w:right="62" w:hanging="0"/>
                                    <w:jc w:val="center"/>
                                    <w:rPr/>
                                  </w:pPr>
                                  <w:bookmarkStart w:id="1787" w:name="__UnoMark__16466_118561941"/>
                                  <w:bookmarkStart w:id="1788" w:name="__UnoMark__16465_118561941"/>
                                  <w:bookmarkEnd w:id="1787"/>
                                  <w:bookmarkEnd w:id="1788"/>
                                  <w:r>
                                    <w:rPr>
                                      <w:color w:val="000000" w:themeColor="text1"/>
                                      <w:sz w:val="18"/>
                                      <w:szCs w:val="18"/>
                                    </w:rPr>
                                    <w:t>0.753</w:t>
                                  </w:r>
                                </w:p>
                              </w:tc>
                              <w:tc>
                                <w:tcPr>
                                  <w:tcW w:w="281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ind w:left="62" w:right="62" w:hanging="0"/>
                                    <w:jc w:val="center"/>
                                    <w:rPr/>
                                  </w:pPr>
                                  <w:bookmarkStart w:id="1789" w:name="__UnoMark__16467_118561941"/>
                                  <w:bookmarkEnd w:id="1789"/>
                                  <w:r>
                                    <w:rPr>
                                      <w:sz w:val="18"/>
                                      <w:szCs w:val="18"/>
                                    </w:rPr>
                                    <w:t>No hay diferencias</w:t>
                                  </w:r>
                                </w:p>
                                <w:p>
                                  <w:pPr>
                                    <w:pStyle w:val="FrameContents"/>
                                    <w:spacing w:lineRule="auto" w:line="240" w:before="0" w:after="0"/>
                                    <w:ind w:left="62" w:right="62" w:hanging="0"/>
                                    <w:jc w:val="center"/>
                                    <w:rPr/>
                                  </w:pPr>
                                  <w:bookmarkStart w:id="1790" w:name="__UnoMark__16468_118561941"/>
                                  <w:bookmarkEnd w:id="1790"/>
                                  <w:r>
                                    <w:rPr>
                                      <w:sz w:val="18"/>
                                      <w:szCs w:val="18"/>
                                    </w:rPr>
                                    <w:t>Significativas</w:t>
                                  </w:r>
                                </w:p>
                              </w:tc>
                            </w:tr>
                            <w:tr>
                              <w:trPr>
                                <w:trHeight w:val="779" w:hRule="atLeast"/>
                                <w:cantSplit w:val="true"/>
                              </w:trPr>
                              <w:tc>
                                <w:tcPr>
                                  <w:tcW w:w="444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pPr>
                                  <w:bookmarkStart w:id="1791" w:name="__UnoMark__16469_118561941"/>
                                  <w:bookmarkEnd w:id="1791"/>
                                  <w:r>
                                    <w:rPr>
                                      <w:i/>
                                      <w:sz w:val="18"/>
                                      <w:szCs w:val="18"/>
                                      <w:lang w:val="en-US"/>
                                    </w:rPr>
                                    <w:t>Wilcoxon test</w:t>
                                  </w:r>
                                </w:p>
                                <w:p>
                                  <w:pPr>
                                    <w:pStyle w:val="FrameContents"/>
                                    <w:spacing w:lineRule="auto" w:line="240" w:before="0" w:after="0"/>
                                    <w:jc w:val="left"/>
                                    <w:rPr/>
                                  </w:pPr>
                                  <w:r>
                                    <w:rPr>
                                      <w:sz w:val="18"/>
                                      <w:szCs w:val="18"/>
                                      <w:lang w:val="en-US"/>
                                    </w:rPr>
                                    <w:t xml:space="preserve">RST_LDS (grupo D)- </w:t>
                                  </w:r>
                                </w:p>
                                <w:p>
                                  <w:pPr>
                                    <w:pStyle w:val="FrameContents"/>
                                    <w:spacing w:lineRule="auto" w:line="240" w:before="0" w:after="0"/>
                                    <w:jc w:val="left"/>
                                    <w:rPr/>
                                  </w:pPr>
                                  <w:bookmarkStart w:id="1792" w:name="__UnoMark__16470_118561941"/>
                                  <w:bookmarkEnd w:id="1792"/>
                                  <w:r>
                                    <w:rPr>
                                      <w:sz w:val="18"/>
                                      <w:szCs w:val="18"/>
                                    </w:rPr>
                                    <w:t>LPA_LDS (grupo E)</w:t>
                                  </w:r>
                                </w:p>
                              </w:tc>
                              <w:tc>
                                <w:tcPr>
                                  <w:tcW w:w="1726"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ind w:left="62" w:right="62" w:hanging="0"/>
                                    <w:jc w:val="center"/>
                                    <w:rPr/>
                                  </w:pPr>
                                  <w:bookmarkStart w:id="1793" w:name="__UnoMark__16472_118561941"/>
                                  <w:bookmarkStart w:id="1794" w:name="__UnoMark__16471_118561941"/>
                                  <w:bookmarkEnd w:id="1793"/>
                                  <w:bookmarkEnd w:id="1794"/>
                                  <w:r>
                                    <w:rPr>
                                      <w:color w:val="000000" w:themeColor="text1"/>
                                      <w:sz w:val="18"/>
                                      <w:szCs w:val="18"/>
                                    </w:rPr>
                                    <w:t>0.007</w:t>
                                  </w:r>
                                </w:p>
                              </w:tc>
                              <w:tc>
                                <w:tcPr>
                                  <w:tcW w:w="281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ind w:left="62" w:right="62" w:hanging="0"/>
                                    <w:jc w:val="center"/>
                                    <w:rPr/>
                                  </w:pPr>
                                  <w:bookmarkStart w:id="1795" w:name="__UnoMark__16473_118561941"/>
                                  <w:bookmarkEnd w:id="1795"/>
                                  <w:r>
                                    <w:rPr>
                                      <w:sz w:val="18"/>
                                      <w:szCs w:val="18"/>
                                    </w:rPr>
                                    <w:t>Hay diferencias</w:t>
                                  </w:r>
                                </w:p>
                                <w:p>
                                  <w:pPr>
                                    <w:pStyle w:val="FrameContents"/>
                                    <w:spacing w:lineRule="auto" w:line="240" w:before="0" w:after="0"/>
                                    <w:ind w:left="62" w:right="62" w:hanging="0"/>
                                    <w:jc w:val="center"/>
                                    <w:rPr/>
                                  </w:pPr>
                                  <w:bookmarkStart w:id="1796" w:name="_Ref646114931"/>
                                  <w:bookmarkEnd w:id="1796"/>
                                  <w:r>
                                    <w:rPr>
                                      <w:sz w:val="18"/>
                                      <w:szCs w:val="18"/>
                                    </w:rPr>
                                    <w:t>significativas</w:t>
                                  </w:r>
                                </w:p>
                              </w:tc>
                            </w:tr>
                          </w:tbl>
                          <w:p>
                            <w:pPr>
                              <w:pStyle w:val="FrameContents"/>
                              <w:spacing w:before="80" w:after="60"/>
                              <w:rPr>
                                <w:color w:val="000000"/>
                              </w:rPr>
                            </w:pPr>
                            <w:r>
                              <w:rPr>
                                <w:color w:val="000000"/>
                              </w:rPr>
                            </w:r>
                          </w:p>
                        </w:txbxContent>
                      </wps:txbx>
                      <wps:bodyPr lIns="0" rIns="0" tIns="0" bIns="0">
                        <a:spAutoFit/>
                      </wps:bodyPr>
                    </wps:wsp>
                  </a:graphicData>
                </a:graphic>
                <wp14:sizeRelH relativeFrom="margin">
                  <wp14:pctWidth>100000</wp14:pctWidth>
                </wp14:sizeRelH>
              </wp:anchor>
            </w:drawing>
          </mc:Choice>
          <mc:Fallback>
            <w:pict>
              <v:rect id="shape_0" ID="Frame7" stroked="f" style="position:absolute;margin-left:0pt;margin-top:-6.55pt;width:448.85pt;height:204.05pt;mso-position-horizontal:center;mso-position-horizontal-relative:margin">
                <w10:wrap type="none"/>
                <v:fill o:detectmouseclick="t" on="false"/>
                <v:stroke color="#3465a4" joinstyle="round" endcap="flat"/>
                <v:textbox>
                  <w:txbxContent>
                    <w:tbl>
                      <w:tblPr>
                        <w:tblW w:w="5000" w:type="pct"/>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4444"/>
                        <w:gridCol w:w="1726"/>
                        <w:gridCol w:w="2810"/>
                      </w:tblGrid>
                      <w:tr>
                        <w:trPr>
                          <w:cantSplit w:val="true"/>
                        </w:trPr>
                        <w:tc>
                          <w:tcPr>
                            <w:tcW w:w="444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pPr>
                            <w:bookmarkStart w:id="1797" w:name="__UnoMark__16440_118561941"/>
                            <w:bookmarkEnd w:id="1797"/>
                            <w:r>
                              <w:rPr>
                                <w:sz w:val="18"/>
                                <w:szCs w:val="18"/>
                                <w:lang w:val="en-US"/>
                              </w:rPr>
                              <w:t xml:space="preserve">Algoritmos </w:t>
                            </w:r>
                          </w:p>
                        </w:tc>
                        <w:tc>
                          <w:tcPr>
                            <w:tcW w:w="1726"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pPr>
                            <w:bookmarkStart w:id="1798" w:name="__UnoMark__16442_118561941"/>
                            <w:bookmarkStart w:id="1799" w:name="__UnoMark__16441_118561941"/>
                            <w:bookmarkEnd w:id="1798"/>
                            <w:bookmarkEnd w:id="1799"/>
                            <w:r>
                              <w:rPr>
                                <w:sz w:val="18"/>
                                <w:szCs w:val="18"/>
                                <w:lang w:val="en-US"/>
                              </w:rPr>
                              <w:t>p-value</w:t>
                            </w:r>
                          </w:p>
                        </w:tc>
                        <w:tc>
                          <w:tcPr>
                            <w:tcW w:w="281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pPr>
                            <w:bookmarkStart w:id="1800" w:name="__UnoMark__16444_118561941"/>
                            <w:bookmarkStart w:id="1801" w:name="__UnoMark__16443_118561941"/>
                            <w:bookmarkEnd w:id="1800"/>
                            <w:bookmarkEnd w:id="1801"/>
                            <w:r>
                              <w:rPr>
                                <w:sz w:val="18"/>
                                <w:szCs w:val="18"/>
                                <w:lang w:val="en-US"/>
                              </w:rPr>
                              <w:t>Resultados</w:t>
                            </w:r>
                          </w:p>
                        </w:tc>
                      </w:tr>
                      <w:tr>
                        <w:trPr>
                          <w:trHeight w:val="345" w:hRule="atLeast"/>
                          <w:cantSplit w:val="true"/>
                        </w:trPr>
                        <w:tc>
                          <w:tcPr>
                            <w:tcW w:w="444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pPr>
                            <w:bookmarkStart w:id="1802" w:name="__UnoMark__16445_118561941"/>
                            <w:bookmarkEnd w:id="1802"/>
                            <w:r>
                              <w:rPr>
                                <w:i/>
                                <w:sz w:val="18"/>
                                <w:szCs w:val="18"/>
                                <w:lang w:val="en-US"/>
                              </w:rPr>
                              <w:t xml:space="preserve">Wilcoxon test </w:t>
                            </w:r>
                          </w:p>
                          <w:p>
                            <w:pPr>
                              <w:pStyle w:val="FrameContents"/>
                              <w:spacing w:lineRule="auto" w:line="240" w:before="0" w:after="0"/>
                              <w:jc w:val="left"/>
                              <w:rPr/>
                            </w:pPr>
                            <w:r>
                              <w:rPr>
                                <w:sz w:val="18"/>
                                <w:szCs w:val="18"/>
                                <w:lang w:val="en-US"/>
                              </w:rPr>
                              <w:t xml:space="preserve">GA_LDS (grupo A) – </w:t>
                            </w:r>
                          </w:p>
                          <w:p>
                            <w:pPr>
                              <w:pStyle w:val="FrameContents"/>
                              <w:spacing w:lineRule="auto" w:line="240" w:before="0" w:after="0"/>
                              <w:jc w:val="left"/>
                              <w:rPr/>
                            </w:pPr>
                            <w:bookmarkStart w:id="1803" w:name="__UnoMark__16446_118561941"/>
                            <w:bookmarkEnd w:id="1803"/>
                            <w:r>
                              <w:rPr>
                                <w:sz w:val="18"/>
                                <w:szCs w:val="18"/>
                              </w:rPr>
                              <w:t>PCA_LDS (grupo B)</w:t>
                            </w:r>
                          </w:p>
                        </w:tc>
                        <w:tc>
                          <w:tcPr>
                            <w:tcW w:w="1726"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ind w:left="62" w:right="62" w:hanging="0"/>
                              <w:jc w:val="center"/>
                              <w:rPr>
                                <w:color w:val="000000" w:themeColor="text1"/>
                                <w:sz w:val="18"/>
                                <w:szCs w:val="18"/>
                              </w:rPr>
                            </w:pPr>
                            <w:bookmarkStart w:id="1804" w:name="__UnoMark__16447_118561941"/>
                            <w:bookmarkStart w:id="1805" w:name="__UnoMark__16447_118561941"/>
                            <w:bookmarkEnd w:id="1805"/>
                            <w:r>
                              <w:rPr>
                                <w:color w:val="000000" w:themeColor="text1"/>
                                <w:sz w:val="18"/>
                                <w:szCs w:val="18"/>
                              </w:rPr>
                            </w:r>
                          </w:p>
                          <w:p>
                            <w:pPr>
                              <w:pStyle w:val="FrameContents"/>
                              <w:spacing w:lineRule="auto" w:line="240" w:before="0" w:after="0"/>
                              <w:ind w:left="62" w:right="62" w:hanging="0"/>
                              <w:jc w:val="center"/>
                              <w:rPr/>
                            </w:pPr>
                            <w:bookmarkStart w:id="1806" w:name="__UnoMark__16448_118561941"/>
                            <w:bookmarkEnd w:id="1806"/>
                            <w:r>
                              <w:rPr>
                                <w:color w:val="000000" w:themeColor="text1"/>
                                <w:sz w:val="18"/>
                                <w:szCs w:val="18"/>
                              </w:rPr>
                              <w:t>0.004</w:t>
                            </w:r>
                          </w:p>
                        </w:tc>
                        <w:tc>
                          <w:tcPr>
                            <w:tcW w:w="281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ind w:left="62" w:right="62" w:hanging="0"/>
                              <w:jc w:val="center"/>
                              <w:rPr/>
                            </w:pPr>
                            <w:bookmarkStart w:id="1807" w:name="__UnoMark__16450_118561941"/>
                            <w:bookmarkStart w:id="1808" w:name="__UnoMark__16449_118561941"/>
                            <w:bookmarkEnd w:id="1807"/>
                            <w:bookmarkEnd w:id="1808"/>
                            <w:r>
                              <w:rPr>
                                <w:sz w:val="18"/>
                                <w:szCs w:val="18"/>
                              </w:rPr>
                              <w:t>Hay diferencias significativas</w:t>
                            </w:r>
                          </w:p>
                        </w:tc>
                      </w:tr>
                      <w:tr>
                        <w:trPr>
                          <w:trHeight w:val="772" w:hRule="atLeast"/>
                          <w:cantSplit w:val="true"/>
                        </w:trPr>
                        <w:tc>
                          <w:tcPr>
                            <w:tcW w:w="444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pPr>
                            <w:bookmarkStart w:id="1809" w:name="__UnoMark__16451_118561941"/>
                            <w:bookmarkEnd w:id="1809"/>
                            <w:r>
                              <w:rPr>
                                <w:i/>
                                <w:sz w:val="18"/>
                                <w:szCs w:val="18"/>
                                <w:lang w:val="en-US"/>
                              </w:rPr>
                              <w:t xml:space="preserve">Wilcoxon test </w:t>
                            </w:r>
                          </w:p>
                          <w:p>
                            <w:pPr>
                              <w:pStyle w:val="FrameContents"/>
                              <w:spacing w:lineRule="auto" w:line="240" w:before="0" w:after="0"/>
                              <w:jc w:val="left"/>
                              <w:rPr/>
                            </w:pPr>
                            <w:r>
                              <w:rPr>
                                <w:sz w:val="18"/>
                                <w:szCs w:val="18"/>
                                <w:lang w:val="en-US"/>
                              </w:rPr>
                              <w:t xml:space="preserve">PCA_LDS (grupo B) – </w:t>
                            </w:r>
                          </w:p>
                          <w:p>
                            <w:pPr>
                              <w:pStyle w:val="FrameContents"/>
                              <w:spacing w:lineRule="auto" w:line="240" w:before="0" w:after="0"/>
                              <w:jc w:val="left"/>
                              <w:rPr/>
                            </w:pPr>
                            <w:bookmarkStart w:id="1810" w:name="__UnoMark__16452_118561941"/>
                            <w:bookmarkEnd w:id="1810"/>
                            <w:r>
                              <w:rPr>
                                <w:sz w:val="18"/>
                                <w:szCs w:val="18"/>
                              </w:rPr>
                              <w:t>Apriori_LDS (grupo C)</w:t>
                            </w:r>
                          </w:p>
                        </w:tc>
                        <w:tc>
                          <w:tcPr>
                            <w:tcW w:w="1726"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ind w:left="62" w:right="62" w:hanging="0"/>
                              <w:jc w:val="center"/>
                              <w:rPr/>
                            </w:pPr>
                            <w:bookmarkStart w:id="1811" w:name="__UnoMark__16454_118561941"/>
                            <w:bookmarkStart w:id="1812" w:name="__UnoMark__16453_118561941"/>
                            <w:bookmarkEnd w:id="1811"/>
                            <w:bookmarkEnd w:id="1812"/>
                            <w:r>
                              <w:rPr>
                                <w:sz w:val="18"/>
                                <w:szCs w:val="18"/>
                              </w:rPr>
                              <w:t>0.046</w:t>
                            </w:r>
                          </w:p>
                        </w:tc>
                        <w:tc>
                          <w:tcPr>
                            <w:tcW w:w="281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ind w:left="62" w:right="62" w:hanging="0"/>
                              <w:jc w:val="center"/>
                              <w:rPr/>
                            </w:pPr>
                            <w:bookmarkStart w:id="1813" w:name="__UnoMark__16456_118561941"/>
                            <w:bookmarkStart w:id="1814" w:name="__UnoMark__16455_118561941"/>
                            <w:bookmarkEnd w:id="1813"/>
                            <w:bookmarkEnd w:id="1814"/>
                            <w:r>
                              <w:rPr>
                                <w:sz w:val="18"/>
                                <w:szCs w:val="18"/>
                              </w:rPr>
                              <w:t>Hay diferencias significativas</w:t>
                            </w:r>
                          </w:p>
                        </w:tc>
                      </w:tr>
                      <w:tr>
                        <w:trPr>
                          <w:trHeight w:val="800" w:hRule="atLeast"/>
                          <w:cantSplit w:val="true"/>
                        </w:trPr>
                        <w:tc>
                          <w:tcPr>
                            <w:tcW w:w="444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pPr>
                            <w:bookmarkStart w:id="1815" w:name="__UnoMark__16457_118561941"/>
                            <w:bookmarkEnd w:id="1815"/>
                            <w:r>
                              <w:rPr>
                                <w:i/>
                                <w:sz w:val="18"/>
                                <w:szCs w:val="18"/>
                                <w:lang w:val="en-US"/>
                              </w:rPr>
                              <w:t xml:space="preserve">Wilcoxon test </w:t>
                            </w:r>
                          </w:p>
                          <w:p>
                            <w:pPr>
                              <w:pStyle w:val="FrameContents"/>
                              <w:spacing w:lineRule="auto" w:line="240" w:before="0" w:after="0"/>
                              <w:jc w:val="left"/>
                              <w:rPr/>
                            </w:pPr>
                            <w:r>
                              <w:rPr>
                                <w:sz w:val="18"/>
                                <w:szCs w:val="18"/>
                                <w:lang w:val="en-US"/>
                              </w:rPr>
                              <w:t xml:space="preserve">Apriori_LDS (grupo C)- </w:t>
                            </w:r>
                          </w:p>
                          <w:p>
                            <w:pPr>
                              <w:pStyle w:val="FrameContents"/>
                              <w:spacing w:lineRule="auto" w:line="240" w:before="0" w:after="0"/>
                              <w:jc w:val="left"/>
                              <w:rPr/>
                            </w:pPr>
                            <w:bookmarkStart w:id="1816" w:name="__UnoMark__16458_118561941"/>
                            <w:bookmarkEnd w:id="1816"/>
                            <w:r>
                              <w:rPr>
                                <w:sz w:val="18"/>
                                <w:szCs w:val="18"/>
                              </w:rPr>
                              <w:t>RST_LDS (grupo D)</w:t>
                            </w:r>
                          </w:p>
                        </w:tc>
                        <w:tc>
                          <w:tcPr>
                            <w:tcW w:w="1726"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ind w:left="62" w:right="62" w:hanging="0"/>
                              <w:jc w:val="center"/>
                              <w:rPr/>
                            </w:pPr>
                            <w:bookmarkStart w:id="1817" w:name="__UnoMark__16460_118561941"/>
                            <w:bookmarkStart w:id="1818" w:name="__UnoMark__16459_118561941"/>
                            <w:bookmarkEnd w:id="1817"/>
                            <w:bookmarkEnd w:id="1818"/>
                            <w:r>
                              <w:rPr>
                                <w:color w:val="000000" w:themeColor="text1"/>
                                <w:sz w:val="18"/>
                                <w:szCs w:val="18"/>
                              </w:rPr>
                              <w:t>0.050</w:t>
                            </w:r>
                          </w:p>
                        </w:tc>
                        <w:tc>
                          <w:tcPr>
                            <w:tcW w:w="281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ind w:left="62" w:right="62" w:hanging="0"/>
                              <w:jc w:val="center"/>
                              <w:rPr/>
                            </w:pPr>
                            <w:bookmarkStart w:id="1819" w:name="__UnoMark__16461_118561941"/>
                            <w:bookmarkEnd w:id="1819"/>
                            <w:r>
                              <w:rPr>
                                <w:sz w:val="18"/>
                                <w:szCs w:val="18"/>
                              </w:rPr>
                              <w:t>Hay diferencias</w:t>
                            </w:r>
                          </w:p>
                          <w:p>
                            <w:pPr>
                              <w:pStyle w:val="FrameContents"/>
                              <w:spacing w:lineRule="auto" w:line="240" w:before="0" w:after="0"/>
                              <w:ind w:left="62" w:right="62" w:hanging="0"/>
                              <w:jc w:val="center"/>
                              <w:rPr/>
                            </w:pPr>
                            <w:bookmarkStart w:id="1820" w:name="__UnoMark__16462_118561941"/>
                            <w:bookmarkEnd w:id="1820"/>
                            <w:r>
                              <w:rPr>
                                <w:sz w:val="18"/>
                                <w:szCs w:val="18"/>
                              </w:rPr>
                              <w:t>significativas</w:t>
                            </w:r>
                          </w:p>
                        </w:tc>
                      </w:tr>
                      <w:tr>
                        <w:trPr>
                          <w:trHeight w:val="557" w:hRule="atLeast"/>
                          <w:cantSplit w:val="true"/>
                        </w:trPr>
                        <w:tc>
                          <w:tcPr>
                            <w:tcW w:w="444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pPr>
                            <w:bookmarkStart w:id="1821" w:name="__UnoMark__16463_118561941"/>
                            <w:bookmarkEnd w:id="1821"/>
                            <w:r>
                              <w:rPr>
                                <w:i/>
                                <w:sz w:val="18"/>
                                <w:szCs w:val="18"/>
                                <w:lang w:val="en-US"/>
                              </w:rPr>
                              <w:t>Wilcoxon test</w:t>
                            </w:r>
                            <w:r>
                              <w:rPr>
                                <w:sz w:val="18"/>
                                <w:szCs w:val="18"/>
                                <w:lang w:val="en-US"/>
                              </w:rPr>
                              <w:t xml:space="preserve"> (grupo D)</w:t>
                            </w:r>
                          </w:p>
                          <w:p>
                            <w:pPr>
                              <w:pStyle w:val="FrameContents"/>
                              <w:spacing w:lineRule="auto" w:line="240" w:before="0" w:after="0"/>
                              <w:jc w:val="left"/>
                              <w:rPr/>
                            </w:pPr>
                            <w:r>
                              <w:rPr>
                                <w:sz w:val="18"/>
                                <w:szCs w:val="18"/>
                                <w:lang w:val="en-US"/>
                              </w:rPr>
                              <w:t>RST_LDS - ACO_LDS</w:t>
                            </w:r>
                            <w:bookmarkStart w:id="1822" w:name="__UnoMark__16464_118561941"/>
                            <w:bookmarkEnd w:id="1822"/>
                            <w:r>
                              <w:rPr>
                                <w:lang w:val="en-US"/>
                              </w:rPr>
                              <w:t xml:space="preserve"> </w:t>
                            </w:r>
                          </w:p>
                        </w:tc>
                        <w:tc>
                          <w:tcPr>
                            <w:tcW w:w="1726"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ind w:left="62" w:right="62" w:hanging="0"/>
                              <w:jc w:val="center"/>
                              <w:rPr/>
                            </w:pPr>
                            <w:bookmarkStart w:id="1823" w:name="__UnoMark__16466_118561941"/>
                            <w:bookmarkStart w:id="1824" w:name="__UnoMark__16465_118561941"/>
                            <w:bookmarkEnd w:id="1823"/>
                            <w:bookmarkEnd w:id="1824"/>
                            <w:r>
                              <w:rPr>
                                <w:color w:val="000000" w:themeColor="text1"/>
                                <w:sz w:val="18"/>
                                <w:szCs w:val="18"/>
                              </w:rPr>
                              <w:t>0.753</w:t>
                            </w:r>
                          </w:p>
                        </w:tc>
                        <w:tc>
                          <w:tcPr>
                            <w:tcW w:w="281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ind w:left="62" w:right="62" w:hanging="0"/>
                              <w:jc w:val="center"/>
                              <w:rPr/>
                            </w:pPr>
                            <w:bookmarkStart w:id="1825" w:name="__UnoMark__16467_118561941"/>
                            <w:bookmarkEnd w:id="1825"/>
                            <w:r>
                              <w:rPr>
                                <w:sz w:val="18"/>
                                <w:szCs w:val="18"/>
                              </w:rPr>
                              <w:t>No hay diferencias</w:t>
                            </w:r>
                          </w:p>
                          <w:p>
                            <w:pPr>
                              <w:pStyle w:val="FrameContents"/>
                              <w:spacing w:lineRule="auto" w:line="240" w:before="0" w:after="0"/>
                              <w:ind w:left="62" w:right="62" w:hanging="0"/>
                              <w:jc w:val="center"/>
                              <w:rPr/>
                            </w:pPr>
                            <w:bookmarkStart w:id="1826" w:name="__UnoMark__16468_118561941"/>
                            <w:bookmarkEnd w:id="1826"/>
                            <w:r>
                              <w:rPr>
                                <w:sz w:val="18"/>
                                <w:szCs w:val="18"/>
                              </w:rPr>
                              <w:t>Significativas</w:t>
                            </w:r>
                          </w:p>
                        </w:tc>
                      </w:tr>
                      <w:tr>
                        <w:trPr>
                          <w:trHeight w:val="779" w:hRule="atLeast"/>
                          <w:cantSplit w:val="true"/>
                        </w:trPr>
                        <w:tc>
                          <w:tcPr>
                            <w:tcW w:w="444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pPr>
                            <w:bookmarkStart w:id="1827" w:name="__UnoMark__16469_118561941"/>
                            <w:bookmarkEnd w:id="1827"/>
                            <w:r>
                              <w:rPr>
                                <w:i/>
                                <w:sz w:val="18"/>
                                <w:szCs w:val="18"/>
                                <w:lang w:val="en-US"/>
                              </w:rPr>
                              <w:t>Wilcoxon test</w:t>
                            </w:r>
                          </w:p>
                          <w:p>
                            <w:pPr>
                              <w:pStyle w:val="FrameContents"/>
                              <w:spacing w:lineRule="auto" w:line="240" w:before="0" w:after="0"/>
                              <w:jc w:val="left"/>
                              <w:rPr/>
                            </w:pPr>
                            <w:r>
                              <w:rPr>
                                <w:sz w:val="18"/>
                                <w:szCs w:val="18"/>
                                <w:lang w:val="en-US"/>
                              </w:rPr>
                              <w:t xml:space="preserve">RST_LDS (grupo D)- </w:t>
                            </w:r>
                          </w:p>
                          <w:p>
                            <w:pPr>
                              <w:pStyle w:val="FrameContents"/>
                              <w:spacing w:lineRule="auto" w:line="240" w:before="0" w:after="0"/>
                              <w:jc w:val="left"/>
                              <w:rPr/>
                            </w:pPr>
                            <w:bookmarkStart w:id="1828" w:name="__UnoMark__16470_118561941"/>
                            <w:bookmarkEnd w:id="1828"/>
                            <w:r>
                              <w:rPr>
                                <w:sz w:val="18"/>
                                <w:szCs w:val="18"/>
                              </w:rPr>
                              <w:t>LPA_LDS (grupo E)</w:t>
                            </w:r>
                          </w:p>
                        </w:tc>
                        <w:tc>
                          <w:tcPr>
                            <w:tcW w:w="1726"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ind w:left="62" w:right="62" w:hanging="0"/>
                              <w:jc w:val="center"/>
                              <w:rPr/>
                            </w:pPr>
                            <w:bookmarkStart w:id="1829" w:name="__UnoMark__16472_118561941"/>
                            <w:bookmarkStart w:id="1830" w:name="__UnoMark__16471_118561941"/>
                            <w:bookmarkEnd w:id="1829"/>
                            <w:bookmarkEnd w:id="1830"/>
                            <w:r>
                              <w:rPr>
                                <w:color w:val="000000" w:themeColor="text1"/>
                                <w:sz w:val="18"/>
                                <w:szCs w:val="18"/>
                              </w:rPr>
                              <w:t>0.007</w:t>
                            </w:r>
                          </w:p>
                        </w:tc>
                        <w:tc>
                          <w:tcPr>
                            <w:tcW w:w="281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ind w:left="62" w:right="62" w:hanging="0"/>
                              <w:jc w:val="center"/>
                              <w:rPr/>
                            </w:pPr>
                            <w:bookmarkStart w:id="1831" w:name="__UnoMark__16473_118561941"/>
                            <w:bookmarkEnd w:id="1831"/>
                            <w:r>
                              <w:rPr>
                                <w:sz w:val="18"/>
                                <w:szCs w:val="18"/>
                              </w:rPr>
                              <w:t>Hay diferencias</w:t>
                            </w:r>
                          </w:p>
                          <w:p>
                            <w:pPr>
                              <w:pStyle w:val="FrameContents"/>
                              <w:spacing w:lineRule="auto" w:line="240" w:before="0" w:after="0"/>
                              <w:ind w:left="62" w:right="62" w:hanging="0"/>
                              <w:jc w:val="center"/>
                              <w:rPr/>
                            </w:pPr>
                            <w:bookmarkStart w:id="1832" w:name="_Ref646114931"/>
                            <w:bookmarkEnd w:id="1832"/>
                            <w:r>
                              <w:rPr>
                                <w:sz w:val="18"/>
                                <w:szCs w:val="18"/>
                              </w:rPr>
                              <w:t>significativas</w:t>
                            </w:r>
                          </w:p>
                        </w:tc>
                      </w:tr>
                    </w:tbl>
                    <w:p>
                      <w:pPr>
                        <w:pStyle w:val="FrameContents"/>
                        <w:spacing w:before="80" w:after="60"/>
                        <w:rPr>
                          <w:color w:val="000000"/>
                        </w:rPr>
                      </w:pPr>
                      <w:r>
                        <w:rPr>
                          <w:color w:val="000000"/>
                        </w:rPr>
                      </w:r>
                    </w:p>
                  </w:txbxContent>
                </v:textbox>
              </v:rect>
            </w:pict>
          </mc:Fallback>
        </mc:AlternateContent>
      </w:r>
    </w:p>
    <w:p>
      <w:pPr>
        <w:pStyle w:val="Heading3"/>
        <w:numPr>
          <w:ilvl w:val="2"/>
          <w:numId w:val="80"/>
        </w:numPr>
        <w:rPr/>
      </w:pPr>
      <w:r>
        <w:rPr/>
        <w:t>Comparación de los algoritmos respecto al indicador T</w:t>
      </w:r>
      <w:r>
        <w:rPr>
          <w:vertAlign w:val="subscript"/>
        </w:rPr>
        <w:t>2</w:t>
      </w:r>
    </w:p>
    <w:p>
      <w:pPr>
        <w:pStyle w:val="Normal"/>
        <w:rPr>
          <w:rFonts w:ascii="Courier New" w:hAnsi="Courier New" w:cs="Courier New"/>
          <w:szCs w:val="20"/>
        </w:rPr>
      </w:pPr>
      <w:r>
        <mc:AlternateContent>
          <mc:Choice Requires="wps">
            <w:drawing>
              <wp:anchor behindDoc="0" distT="45720" distB="45720" distL="114300" distR="114300" simplePos="0" locked="0" layoutInCell="1" allowOverlap="1" relativeHeight="18" wp14:anchorId="65EBF3C4">
                <wp:simplePos x="0" y="0"/>
                <wp:positionH relativeFrom="column">
                  <wp:posOffset>2649855</wp:posOffset>
                </wp:positionH>
                <wp:positionV relativeFrom="paragraph">
                  <wp:posOffset>43180</wp:posOffset>
                </wp:positionV>
                <wp:extent cx="3202940" cy="2879090"/>
                <wp:effectExtent l="0" t="0" r="0" b="0"/>
                <wp:wrapSquare wrapText="bothSides"/>
                <wp:docPr id="28" name="Cuadro de texto 2"/>
                <a:graphic xmlns:a="http://schemas.openxmlformats.org/drawingml/2006/main">
                  <a:graphicData uri="http://schemas.microsoft.com/office/word/2010/wordprocessingShape">
                    <wps:wsp>
                      <wps:cNvSpPr/>
                      <wps:spPr>
                        <a:xfrm>
                          <a:off x="0" y="0"/>
                          <a:ext cx="3202200" cy="2878560"/>
                        </a:xfrm>
                        <a:prstGeom prst="rect">
                          <a:avLst/>
                        </a:prstGeom>
                        <a:solidFill>
                          <a:srgbClr val="ffffff"/>
                        </a:solidFill>
                        <a:ln w="9360">
                          <a:noFill/>
                        </a:ln>
                      </wps:spPr>
                      <wps:style>
                        <a:lnRef idx="0"/>
                        <a:fillRef idx="0"/>
                        <a:effectRef idx="0"/>
                        <a:fontRef idx="minor"/>
                      </wps:style>
                      <wps:txbx>
                        <w:txbxContent>
                          <w:p>
                            <w:pPr>
                              <w:pStyle w:val="FrameContents"/>
                              <w:spacing w:before="80" w:after="60"/>
                              <w:jc w:val="center"/>
                              <w:rPr>
                                <w:bCs w:val="false"/>
                                <w:sz w:val="20"/>
                              </w:rPr>
                            </w:pPr>
                            <w:bookmarkStart w:id="1833" w:name="_Ref65783762"/>
                            <w:r>
                              <w:rPr/>
                              <w:drawing>
                                <wp:inline distT="0" distB="0" distL="0" distR="0">
                                  <wp:extent cx="2924175" cy="2470150"/>
                                  <wp:effectExtent l="0" t="0" r="0" b="0"/>
                                  <wp:docPr id="30" name="Chart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art 75" descr=""/>
                                          <pic:cNvPicPr>
                                            <a:picLocks noChangeAspect="1" noChangeArrowheads="1"/>
                                          </pic:cNvPicPr>
                                        </pic:nvPicPr>
                                        <pic:blipFill>
                                          <a:blip r:embed="rId14"/>
                                          <a:stretch>
                                            <a:fillRect/>
                                          </a:stretch>
                                        </pic:blipFill>
                                        <pic:spPr bwMode="auto">
                                          <a:xfrm>
                                            <a:off x="0" y="0"/>
                                            <a:ext cx="2924175" cy="2470150"/>
                                          </a:xfrm>
                                          <a:prstGeom prst="rect">
                                            <a:avLst/>
                                          </a:prstGeom>
                                        </pic:spPr>
                                      </pic:pic>
                                    </a:graphicData>
                                  </a:graphic>
                                </wp:inline>
                              </w:drawing>
                            </w:r>
                          </w:p>
                          <w:p>
                            <w:pPr>
                              <w:pStyle w:val="FrameContents"/>
                              <w:spacing w:before="80" w:after="60"/>
                              <w:jc w:val="center"/>
                              <w:rPr/>
                            </w:pPr>
                            <w:bookmarkStart w:id="1834" w:name="_Toc84599018"/>
                            <w:bookmarkStart w:id="1835" w:name="_Ref68932131"/>
                            <w:r>
                              <w:rPr>
                                <w:bCs w:val="false"/>
                                <w:sz w:val="20"/>
                              </w:rPr>
                              <w:t xml:space="preserve">Figura </w:t>
                            </w:r>
                            <w:r>
                              <w:rPr>
                                <w:bCs w:val="false"/>
                                <w:sz w:val="20"/>
                              </w:rPr>
                              <w:fldChar w:fldCharType="begin"/>
                            </w:r>
                            <w:r>
                              <w:instrText> SEQ Figura \* ARABIC </w:instrText>
                            </w:r>
                            <w:r>
                              <w:fldChar w:fldCharType="separate"/>
                            </w:r>
                            <w:r>
                              <w:t>11</w:t>
                            </w:r>
                            <w:r>
                              <w:fldChar w:fldCharType="end"/>
                            </w:r>
                            <w:bookmarkEnd w:id="1833"/>
                            <w:bookmarkEnd w:id="1835"/>
                            <w:r>
                              <w:rPr>
                                <w:bCs w:val="false"/>
                                <w:sz w:val="20"/>
                              </w:rPr>
                              <w:t xml:space="preserve">: Media aritmética del indicador </w:t>
                            </w:r>
                            <w:r>
                              <w:rPr>
                                <w:bCs w:val="false"/>
                                <w:i/>
                                <w:sz w:val="20"/>
                              </w:rPr>
                              <w:t>T</w:t>
                            </w:r>
                            <w:r>
                              <w:rPr>
                                <w:bCs w:val="false"/>
                                <w:i/>
                                <w:sz w:val="20"/>
                                <w:vertAlign w:val="subscript"/>
                              </w:rPr>
                              <w:t>2</w:t>
                            </w:r>
                            <w:bookmarkEnd w:id="1834"/>
                            <w:r>
                              <w:rPr>
                                <w:bCs w:val="false"/>
                                <w:sz w:val="20"/>
                              </w:rPr>
                              <w:t>.</w:t>
                            </w:r>
                          </w:p>
                        </w:txbxContent>
                      </wps:txbx>
                      <wps:bodyPr lIns="90000" rIns="90000" tIns="45000" bIns="45000">
                        <a:noAutofit/>
                      </wps:bodyPr>
                    </wps:wsp>
                  </a:graphicData>
                </a:graphic>
              </wp:anchor>
            </w:drawing>
          </mc:Choice>
          <mc:Fallback>
            <w:pict>
              <v:rect id="shape_0" ID="Cuadro de texto 2" fillcolor="white" stroked="f" style="position:absolute;margin-left:208.65pt;margin-top:3.4pt;width:252.1pt;height:226.6pt" wp14:anchorId="65EBF3C4">
                <w10:wrap type="square"/>
                <v:fill o:detectmouseclick="t" type="solid" color2="black"/>
                <v:stroke color="#3465a4" weight="9360" joinstyle="round" endcap="flat"/>
                <v:textbox>
                  <w:txbxContent>
                    <w:p>
                      <w:pPr>
                        <w:pStyle w:val="FrameContents"/>
                        <w:spacing w:before="80" w:after="60"/>
                        <w:jc w:val="center"/>
                        <w:rPr>
                          <w:bCs w:val="false"/>
                          <w:sz w:val="20"/>
                        </w:rPr>
                      </w:pPr>
                      <w:bookmarkStart w:id="1836" w:name="_Ref65783762"/>
                      <w:r>
                        <w:rPr/>
                        <w:drawing>
                          <wp:inline distT="0" distB="0" distL="0" distR="0">
                            <wp:extent cx="2924175" cy="2470150"/>
                            <wp:effectExtent l="0" t="0" r="0" b="0"/>
                            <wp:docPr id="31" name="Chart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hart 75" descr=""/>
                                    <pic:cNvPicPr>
                                      <a:picLocks noChangeAspect="1" noChangeArrowheads="1"/>
                                    </pic:cNvPicPr>
                                  </pic:nvPicPr>
                                  <pic:blipFill>
                                    <a:blip r:embed="rId14"/>
                                    <a:stretch>
                                      <a:fillRect/>
                                    </a:stretch>
                                  </pic:blipFill>
                                  <pic:spPr bwMode="auto">
                                    <a:xfrm>
                                      <a:off x="0" y="0"/>
                                      <a:ext cx="2924175" cy="2470150"/>
                                    </a:xfrm>
                                    <a:prstGeom prst="rect">
                                      <a:avLst/>
                                    </a:prstGeom>
                                  </pic:spPr>
                                </pic:pic>
                              </a:graphicData>
                            </a:graphic>
                          </wp:inline>
                        </w:drawing>
                      </w:r>
                    </w:p>
                    <w:p>
                      <w:pPr>
                        <w:pStyle w:val="FrameContents"/>
                        <w:spacing w:before="80" w:after="60"/>
                        <w:jc w:val="center"/>
                        <w:rPr/>
                      </w:pPr>
                      <w:bookmarkStart w:id="1837" w:name="_Toc84599018"/>
                      <w:bookmarkStart w:id="1838" w:name="_Ref68932131"/>
                      <w:r>
                        <w:rPr>
                          <w:bCs w:val="false"/>
                          <w:sz w:val="20"/>
                        </w:rPr>
                        <w:t xml:space="preserve">Figura </w:t>
                      </w:r>
                      <w:r>
                        <w:rPr>
                          <w:bCs w:val="false"/>
                          <w:sz w:val="20"/>
                        </w:rPr>
                        <w:fldChar w:fldCharType="begin"/>
                      </w:r>
                      <w:r>
                        <w:instrText> SEQ Figura \* ARABIC </w:instrText>
                      </w:r>
                      <w:r>
                        <w:fldChar w:fldCharType="separate"/>
                      </w:r>
                      <w:r>
                        <w:t>11</w:t>
                      </w:r>
                      <w:r>
                        <w:fldChar w:fldCharType="end"/>
                      </w:r>
                      <w:bookmarkEnd w:id="1836"/>
                      <w:bookmarkEnd w:id="1838"/>
                      <w:r>
                        <w:rPr>
                          <w:bCs w:val="false"/>
                          <w:sz w:val="20"/>
                        </w:rPr>
                        <w:t xml:space="preserve">: Media aritmética del indicador </w:t>
                      </w:r>
                      <w:r>
                        <w:rPr>
                          <w:bCs w:val="false"/>
                          <w:i/>
                          <w:sz w:val="20"/>
                        </w:rPr>
                        <w:t>T</w:t>
                      </w:r>
                      <w:r>
                        <w:rPr>
                          <w:bCs w:val="false"/>
                          <w:i/>
                          <w:sz w:val="20"/>
                          <w:vertAlign w:val="subscript"/>
                        </w:rPr>
                        <w:t>2</w:t>
                      </w:r>
                      <w:bookmarkEnd w:id="1837"/>
                      <w:r>
                        <w:rPr>
                          <w:bCs w:val="false"/>
                          <w:sz w:val="20"/>
                        </w:rPr>
                        <w:t>.</w:t>
                      </w:r>
                    </w:p>
                  </w:txbxContent>
                </v:textbox>
              </v:rect>
            </w:pict>
          </mc:Fallback>
        </mc:AlternateContent>
      </w:r>
      <w:r>
        <w:rPr>
          <w:lang w:val="en-US"/>
        </w:rPr>
        <w:t xml:space="preserve">Respecto a la media aritmética del indicador </w:t>
      </w:r>
      <w:r>
        <w:rPr>
          <w:i/>
          <w:lang w:val="en-US"/>
        </w:rPr>
        <w:t>T</w:t>
      </w:r>
      <w:r>
        <w:rPr>
          <w:i/>
          <w:vertAlign w:val="subscript"/>
          <w:lang w:val="en-US"/>
        </w:rPr>
        <w:t>2</w:t>
      </w:r>
      <w:r>
        <w:rPr>
          <w:lang w:val="en-US"/>
        </w:rPr>
        <w:t xml:space="preserve">, los algoritmos quedan ubicados en el siguiente orden: </w:t>
      </w:r>
      <w:r>
        <w:rPr>
          <w:rFonts w:cs="Courier New" w:ascii="Courier New" w:hAnsi="Courier New"/>
          <w:szCs w:val="20"/>
        </w:rPr>
        <w:t>RST_LDS</w:t>
      </w:r>
      <w:r>
        <w:rPr>
          <w:lang w:val="en-US"/>
        </w:rPr>
        <w:t xml:space="preserve">, </w:t>
      </w:r>
      <w:r>
        <w:rPr>
          <w:rFonts w:cs="Courier New" w:ascii="Courier New" w:hAnsi="Courier New"/>
          <w:szCs w:val="20"/>
        </w:rPr>
        <w:t>ACO_LDS</w:t>
      </w:r>
      <w:r>
        <w:rPr>
          <w:lang w:val="en-US"/>
        </w:rPr>
        <w:t xml:space="preserve">, </w:t>
      </w:r>
      <w:r>
        <w:rPr>
          <w:rFonts w:cs="Courier New" w:ascii="Courier New" w:hAnsi="Courier New"/>
          <w:szCs w:val="20"/>
        </w:rPr>
        <w:t>GA_LDS</w:t>
      </w:r>
      <w:r>
        <w:rPr>
          <w:lang w:val="en-US"/>
        </w:rPr>
        <w:t xml:space="preserve">, </w:t>
      </w:r>
      <w:r>
        <w:rPr>
          <w:rFonts w:cs="Courier New" w:ascii="Courier New" w:hAnsi="Courier New"/>
          <w:szCs w:val="20"/>
        </w:rPr>
        <w:t>PCA_LDS</w:t>
      </w:r>
      <w:r>
        <w:rPr>
          <w:lang w:val="en-US"/>
        </w:rPr>
        <w:t>,</w:t>
      </w:r>
      <w:r>
        <w:rPr>
          <w:rFonts w:cs="Courier New" w:ascii="Courier New" w:hAnsi="Courier New"/>
          <w:szCs w:val="20"/>
        </w:rPr>
        <w:t xml:space="preserve"> Apriori_LDS</w:t>
      </w:r>
      <w:r>
        <w:rPr>
          <w:lang w:val="en-US"/>
        </w:rPr>
        <w:t xml:space="preserve"> y </w:t>
      </w:r>
      <w:r>
        <w:rPr>
          <w:rFonts w:cs="Courier New" w:ascii="Courier New" w:hAnsi="Courier New"/>
          <w:szCs w:val="20"/>
        </w:rPr>
        <w:t>LPA_LDS</w:t>
      </w:r>
      <w:r>
        <w:rPr>
          <w:lang w:val="en-US"/>
        </w:rPr>
        <w:t>.</w:t>
      </w:r>
    </w:p>
    <w:p>
      <w:pPr>
        <w:pStyle w:val="Normal"/>
        <w:rPr/>
      </w:pPr>
      <w:r>
        <w:rPr>
          <w:lang w:val="en-US"/>
        </w:rPr>
        <w:t xml:space="preserve">En el análisis se identifica que los resultados no cumplen con una distribución normal, ver </w:t>
      </w:r>
      <w:r>
        <w:rPr>
          <w:lang w:val="en-US"/>
        </w:rPr>
        <w:fldChar w:fldCharType="begin"/>
      </w:r>
      <w:r>
        <w:instrText> REF _Ref65784544 \h </w:instrText>
      </w:r>
      <w:r>
        <w:fldChar w:fldCharType="separate"/>
      </w:r>
      <w:r>
        <w:t>Tabla 9</w:t>
      </w:r>
      <w:r>
        <w:fldChar w:fldCharType="end"/>
      </w:r>
      <w:r>
        <w:rPr>
          <w:lang w:val="en-US"/>
        </w:rPr>
        <w:t xml:space="preserve">. Se comparan los algoritmos empleando pruebas no paramétricas. Para la comparación se aplicó el test no paramétrico </w:t>
      </w:r>
      <w:r>
        <w:rPr>
          <w:i/>
          <w:lang w:val="en-US"/>
        </w:rPr>
        <w:t xml:space="preserve">Friedman </w:t>
      </w:r>
      <w:r>
        <w:rPr>
          <w:lang w:val="en-US"/>
        </w:rPr>
        <w:t xml:space="preserve">y se demuestra que todos los algoritmos están ubicados en el mismo “grupo A” sin diferencias significativas entre ellos, </w:t>
      </w:r>
      <w:r>
        <w:rPr>
          <w:lang w:val="en-US"/>
        </w:rPr>
        <w:fldChar w:fldCharType="begin"/>
      </w:r>
      <w:r>
        <w:instrText> REF _Ref65784544 \h </w:instrText>
      </w:r>
      <w:r>
        <w:fldChar w:fldCharType="separate"/>
      </w:r>
      <w:r>
        <w:t>Tabla 9</w:t>
      </w:r>
      <w:r>
        <w:fldChar w:fldCharType="end"/>
      </w:r>
      <w:r>
        <w:rPr>
          <w:lang w:val="en-US"/>
        </w:rPr>
        <w:t xml:space="preserve">. No obstante, en la </w:t>
      </w:r>
      <w:r>
        <w:rPr>
          <w:lang w:val="en-US"/>
        </w:rPr>
        <w:fldChar w:fldCharType="begin"/>
      </w:r>
      <w:r>
        <w:instrText> REF _Ref68932131 \h </w:instrText>
      </w:r>
      <w:r>
        <w:fldChar w:fldCharType="separate"/>
      </w:r>
      <w:r>
        <w:t>Figura 11</w:t>
      </w:r>
      <w:r>
        <w:fldChar w:fldCharType="end"/>
      </w:r>
      <w:r>
        <w:rPr>
          <w:lang w:val="en-US"/>
        </w:rPr>
        <w:t xml:space="preserve"> y en los resultados de los análisis estadísticos se muestra que el </w:t>
      </w:r>
      <w:r>
        <w:rPr>
          <w:rFonts w:cs="Courier New" w:ascii="Courier New" w:hAnsi="Courier New"/>
          <w:szCs w:val="20"/>
        </w:rPr>
        <w:t>RST_LDS</w:t>
      </w:r>
      <w:r>
        <w:rPr>
          <w:i/>
          <w:sz w:val="28"/>
          <w:lang w:val="en-US"/>
        </w:rPr>
        <w:t xml:space="preserve"> </w:t>
      </w:r>
      <w:r>
        <w:rPr>
          <w:lang w:val="en-US"/>
        </w:rPr>
        <w:t>obtiene resultados mejores que el resto con una baja dispersión en el conjunto de las bases de datos.</w:t>
      </w:r>
    </w:p>
    <w:p>
      <w:pPr>
        <w:pStyle w:val="Normal"/>
        <w:rPr>
          <w:lang w:val="en-US"/>
        </w:rPr>
      </w:pPr>
      <w:r>
        <w:rPr>
          <w:lang w:val="en-US"/>
        </w:rPr>
      </w:r>
    </w:p>
    <w:p>
      <w:pPr>
        <w:pStyle w:val="TablaFigura"/>
        <w:numPr>
          <w:ilvl w:val="0"/>
          <w:numId w:val="2"/>
        </w:numPr>
        <w:ind w:left="431" w:hanging="431"/>
        <w:rPr/>
      </w:pPr>
      <w:bookmarkStart w:id="1839" w:name="_Ref65784461"/>
      <w:bookmarkStart w:id="1840" w:name="_Toc84598979"/>
      <w:bookmarkStart w:id="1841" w:name="_Ref65784544"/>
      <w:r>
        <w:rPr/>
        <w:t xml:space="preserve">Tabla </w:t>
      </w:r>
      <w:r>
        <w:rPr/>
        <w:fldChar w:fldCharType="begin"/>
      </w:r>
      <w:r>
        <w:instrText> SEQ Tabla \* ARABIC </w:instrText>
      </w:r>
      <w:r>
        <w:fldChar w:fldCharType="separate"/>
      </w:r>
      <w:r>
        <w:t>9</w:t>
      </w:r>
      <w:r>
        <w:fldChar w:fldCharType="end"/>
      </w:r>
      <w:bookmarkEnd w:id="1841"/>
      <w:r>
        <w:rPr/>
        <w:t xml:space="preserve">: Comparación de los algoritmos respecto a la media aritmética del </w:t>
      </w:r>
      <w:r>
        <w:rPr>
          <w:i/>
        </w:rPr>
        <w:t>T</w:t>
      </w:r>
      <w:r>
        <w:rPr>
          <w:i/>
          <w:vertAlign w:val="subscript"/>
        </w:rPr>
        <w:t>2</w:t>
      </w:r>
      <w:bookmarkEnd w:id="1839"/>
      <w:bookmarkEnd w:id="1840"/>
      <w:r>
        <w:rPr/>
        <w:t>.</w:t>
      </w:r>
    </w:p>
    <w:p>
      <w:pPr>
        <w:pStyle w:val="Normal"/>
        <w:rPr>
          <w:i/>
          <w:i/>
          <w:color w:val="00000A"/>
          <w:lang w:val="en-US"/>
        </w:rPr>
      </w:pPr>
      <w:r>
        <w:rPr>
          <w:i/>
          <w:color w:val="00000A"/>
          <w:lang w:val="en-US"/>
        </w:rPr>
        <mc:AlternateContent>
          <mc:Choice Requires="wps">
            <w:drawing>
              <wp:anchor behindDoc="0" distT="0" distB="0" distL="114300" distR="114300" simplePos="0" locked="0" layoutInCell="1" allowOverlap="1" relativeHeight="35">
                <wp:simplePos x="0" y="0"/>
                <wp:positionH relativeFrom="margin">
                  <wp:align>center</wp:align>
                </wp:positionH>
                <wp:positionV relativeFrom="paragraph">
                  <wp:posOffset>35560</wp:posOffset>
                </wp:positionV>
                <wp:extent cx="2120265" cy="1685925"/>
                <wp:effectExtent l="0" t="0" r="0" b="0"/>
                <wp:wrapSquare wrapText="bothSides"/>
                <wp:docPr id="32" name="Frame9"/>
                <a:graphic xmlns:a="http://schemas.openxmlformats.org/drawingml/2006/main">
                  <a:graphicData uri="http://schemas.microsoft.com/office/word/2010/wordprocessingShape">
                    <wps:wsp>
                      <wps:cNvSpPr/>
                      <wps:spPr>
                        <a:xfrm>
                          <a:off x="0" y="0"/>
                          <a:ext cx="2119680" cy="1685160"/>
                        </a:xfrm>
                        <a:prstGeom prst="rect">
                          <a:avLst/>
                        </a:prstGeom>
                        <a:noFill/>
                        <a:ln>
                          <a:noFill/>
                        </a:ln>
                      </wps:spPr>
                      <wps:style>
                        <a:lnRef idx="0"/>
                        <a:fillRef idx="0"/>
                        <a:effectRef idx="0"/>
                        <a:fontRef idx="minor"/>
                      </wps:style>
                      <wps:txbx>
                        <w:txbxContent>
                          <w:tbl>
                            <w:tblPr>
                              <w:tblW w:w="3336" w:type="dxa"/>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1350"/>
                              <w:gridCol w:w="1170"/>
                              <w:gridCol w:w="816"/>
                            </w:tblGrid>
                            <w:tr>
                              <w:trPr>
                                <w:trHeight w:val="394" w:hRule="atLeast"/>
                                <w:cantSplit w:val="true"/>
                              </w:trPr>
                              <w:tc>
                                <w:tcPr>
                                  <w:tcW w:w="1350"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jc w:val="center"/>
                                    <w:rPr/>
                                  </w:pPr>
                                  <w:bookmarkStart w:id="1842" w:name="__UnoMark__16637_118561941"/>
                                  <w:bookmarkEnd w:id="1842"/>
                                  <w:r>
                                    <w:rPr>
                                      <w:color w:val="00000A"/>
                                      <w:sz w:val="18"/>
                                      <w:szCs w:val="18"/>
                                    </w:rPr>
                                    <w:t>Algoritmos</w:t>
                                  </w:r>
                                </w:p>
                              </w:tc>
                              <w:tc>
                                <w:tcPr>
                                  <w:tcW w:w="1170"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1843" w:name="__UnoMark__16638_118561941"/>
                                  <w:bookmarkEnd w:id="1843"/>
                                  <w:r>
                                    <w:rPr>
                                      <w:color w:val="00000A"/>
                                      <w:sz w:val="18"/>
                                      <w:szCs w:val="18"/>
                                    </w:rPr>
                                    <w:t>Kolmogorov-Smirnov</w:t>
                                  </w:r>
                                  <w:r>
                                    <w:rPr>
                                      <w:color w:val="00000A"/>
                                      <w:sz w:val="18"/>
                                      <w:szCs w:val="18"/>
                                      <w:vertAlign w:val="superscript"/>
                                    </w:rPr>
                                    <w:t>a</w:t>
                                  </w:r>
                                  <w:bookmarkStart w:id="1844" w:name="__UnoMark__16639_118561941"/>
                                  <w:bookmarkEnd w:id="1844"/>
                                  <w:r>
                                    <w:rPr>
                                      <w:color w:val="00000A"/>
                                      <w:sz w:val="18"/>
                                      <w:szCs w:val="18"/>
                                    </w:rPr>
                                    <w:t xml:space="preserve"> Sig.</w:t>
                                  </w:r>
                                </w:p>
                              </w:tc>
                              <w:tc>
                                <w:tcPr>
                                  <w:tcW w:w="816"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1845" w:name="__UnoMark__16641_118561941"/>
                                  <w:bookmarkStart w:id="1846" w:name="__UnoMark__16640_118561941"/>
                                  <w:bookmarkEnd w:id="1845"/>
                                  <w:bookmarkEnd w:id="1846"/>
                                  <w:r>
                                    <w:rPr>
                                      <w:color w:val="00000A"/>
                                      <w:sz w:val="18"/>
                                      <w:szCs w:val="18"/>
                                    </w:rPr>
                                    <w:t>Shapiro-Wilk Sig.</w:t>
                                  </w:r>
                                </w:p>
                              </w:tc>
                            </w:tr>
                            <w:tr>
                              <w:trPr>
                                <w:trHeight w:val="135" w:hRule="atLeast"/>
                                <w:cantSplit w:val="true"/>
                              </w:trPr>
                              <w:tc>
                                <w:tcPr>
                                  <w:tcW w:w="135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1847" w:name="__UnoMark__16643_118561941"/>
                                  <w:bookmarkStart w:id="1848" w:name="__UnoMark__16642_118561941"/>
                                  <w:bookmarkEnd w:id="1847"/>
                                  <w:bookmarkEnd w:id="1848"/>
                                  <w:r>
                                    <w:rPr>
                                      <w:color w:val="00000A"/>
                                      <w:sz w:val="18"/>
                                      <w:szCs w:val="18"/>
                                    </w:rPr>
                                    <w:t>RST_LDS</w:t>
                                  </w:r>
                                </w:p>
                              </w:tc>
                              <w:tc>
                                <w:tcPr>
                                  <w:tcW w:w="1170"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849" w:name="__UnoMark__16645_118561941"/>
                                  <w:bookmarkStart w:id="1850" w:name="__UnoMark__16644_118561941"/>
                                  <w:bookmarkEnd w:id="1849"/>
                                  <w:bookmarkEnd w:id="1850"/>
                                  <w:r>
                                    <w:rPr>
                                      <w:color w:val="00000A"/>
                                      <w:sz w:val="18"/>
                                      <w:szCs w:val="18"/>
                                    </w:rPr>
                                    <w:t>.137</w:t>
                                  </w:r>
                                </w:p>
                              </w:tc>
                              <w:tc>
                                <w:tcPr>
                                  <w:tcW w:w="816"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851" w:name="__UnoMark__16647_118561941"/>
                                  <w:bookmarkStart w:id="1852" w:name="__UnoMark__16646_118561941"/>
                                  <w:bookmarkEnd w:id="1851"/>
                                  <w:bookmarkEnd w:id="1852"/>
                                  <w:r>
                                    <w:rPr>
                                      <w:color w:val="00000A"/>
                                      <w:sz w:val="18"/>
                                      <w:szCs w:val="18"/>
                                    </w:rPr>
                                    <w:t>.024</w:t>
                                  </w:r>
                                </w:p>
                              </w:tc>
                            </w:tr>
                            <w:tr>
                              <w:trPr>
                                <w:trHeight w:val="128" w:hRule="atLeast"/>
                                <w:cantSplit w:val="true"/>
                              </w:trPr>
                              <w:tc>
                                <w:tcPr>
                                  <w:tcW w:w="135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1853" w:name="__UnoMark__16649_118561941"/>
                                  <w:bookmarkStart w:id="1854" w:name="__UnoMark__16648_118561941"/>
                                  <w:bookmarkEnd w:id="1853"/>
                                  <w:bookmarkEnd w:id="1854"/>
                                  <w:r>
                                    <w:rPr>
                                      <w:color w:val="00000A"/>
                                      <w:sz w:val="18"/>
                                      <w:szCs w:val="18"/>
                                    </w:rPr>
                                    <w:t>LPA_LDS</w:t>
                                  </w:r>
                                </w:p>
                              </w:tc>
                              <w:tc>
                                <w:tcPr>
                                  <w:tcW w:w="1170"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855" w:name="__UnoMark__16651_118561941"/>
                                  <w:bookmarkStart w:id="1856" w:name="__UnoMark__16650_118561941"/>
                                  <w:bookmarkEnd w:id="1855"/>
                                  <w:bookmarkEnd w:id="1856"/>
                                  <w:r>
                                    <w:rPr>
                                      <w:color w:val="00000A"/>
                                      <w:sz w:val="18"/>
                                      <w:szCs w:val="18"/>
                                    </w:rPr>
                                    <w:t>.000</w:t>
                                  </w:r>
                                </w:p>
                              </w:tc>
                              <w:tc>
                                <w:tcPr>
                                  <w:tcW w:w="816"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857" w:name="__UnoMark__16653_118561941"/>
                                  <w:bookmarkStart w:id="1858" w:name="__UnoMark__16652_118561941"/>
                                  <w:bookmarkEnd w:id="1857"/>
                                  <w:bookmarkEnd w:id="1858"/>
                                  <w:r>
                                    <w:rPr>
                                      <w:color w:val="00000A"/>
                                      <w:sz w:val="18"/>
                                      <w:szCs w:val="18"/>
                                    </w:rPr>
                                    <w:t>.003</w:t>
                                  </w:r>
                                </w:p>
                              </w:tc>
                            </w:tr>
                            <w:tr>
                              <w:trPr>
                                <w:trHeight w:val="128" w:hRule="atLeast"/>
                                <w:cantSplit w:val="true"/>
                              </w:trPr>
                              <w:tc>
                                <w:tcPr>
                                  <w:tcW w:w="135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1859" w:name="__UnoMark__16655_118561941"/>
                                  <w:bookmarkStart w:id="1860" w:name="__UnoMark__16654_118561941"/>
                                  <w:bookmarkEnd w:id="1859"/>
                                  <w:bookmarkEnd w:id="1860"/>
                                  <w:r>
                                    <w:rPr>
                                      <w:color w:val="00000A"/>
                                      <w:sz w:val="18"/>
                                      <w:szCs w:val="18"/>
                                    </w:rPr>
                                    <w:t>Apriori_LDS</w:t>
                                  </w:r>
                                </w:p>
                              </w:tc>
                              <w:tc>
                                <w:tcPr>
                                  <w:tcW w:w="1170"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861" w:name="__UnoMark__16657_118561941"/>
                                  <w:bookmarkStart w:id="1862" w:name="__UnoMark__16656_118561941"/>
                                  <w:bookmarkEnd w:id="1861"/>
                                  <w:bookmarkEnd w:id="1862"/>
                                  <w:r>
                                    <w:rPr>
                                      <w:color w:val="00000A"/>
                                      <w:sz w:val="18"/>
                                      <w:szCs w:val="18"/>
                                    </w:rPr>
                                    <w:t>.079</w:t>
                                  </w:r>
                                </w:p>
                              </w:tc>
                              <w:tc>
                                <w:tcPr>
                                  <w:tcW w:w="816"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863" w:name="__UnoMark__16659_118561941"/>
                                  <w:bookmarkStart w:id="1864" w:name="__UnoMark__16658_118561941"/>
                                  <w:bookmarkEnd w:id="1863"/>
                                  <w:bookmarkEnd w:id="1864"/>
                                  <w:r>
                                    <w:rPr>
                                      <w:color w:val="00000A"/>
                                      <w:sz w:val="18"/>
                                      <w:szCs w:val="18"/>
                                    </w:rPr>
                                    <w:t>.016</w:t>
                                  </w:r>
                                </w:p>
                              </w:tc>
                            </w:tr>
                            <w:tr>
                              <w:trPr>
                                <w:trHeight w:val="135" w:hRule="atLeast"/>
                                <w:cantSplit w:val="true"/>
                              </w:trPr>
                              <w:tc>
                                <w:tcPr>
                                  <w:tcW w:w="135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1865" w:name="__UnoMark__16661_118561941"/>
                                  <w:bookmarkStart w:id="1866" w:name="__UnoMark__16660_118561941"/>
                                  <w:bookmarkEnd w:id="1865"/>
                                  <w:bookmarkEnd w:id="1866"/>
                                  <w:r>
                                    <w:rPr>
                                      <w:color w:val="00000A"/>
                                      <w:sz w:val="18"/>
                                      <w:szCs w:val="18"/>
                                    </w:rPr>
                                    <w:t>ACO_LDS</w:t>
                                  </w:r>
                                </w:p>
                              </w:tc>
                              <w:tc>
                                <w:tcPr>
                                  <w:tcW w:w="1170"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867" w:name="__UnoMark__16663_118561941"/>
                                  <w:bookmarkStart w:id="1868" w:name="__UnoMark__16662_118561941"/>
                                  <w:bookmarkEnd w:id="1867"/>
                                  <w:bookmarkEnd w:id="1868"/>
                                  <w:r>
                                    <w:rPr>
                                      <w:color w:val="00000A"/>
                                      <w:sz w:val="18"/>
                                      <w:szCs w:val="18"/>
                                    </w:rPr>
                                    <w:t>.108</w:t>
                                  </w:r>
                                </w:p>
                              </w:tc>
                              <w:tc>
                                <w:tcPr>
                                  <w:tcW w:w="816"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869" w:name="__UnoMark__16665_118561941"/>
                                  <w:bookmarkStart w:id="1870" w:name="__UnoMark__16664_118561941"/>
                                  <w:bookmarkEnd w:id="1869"/>
                                  <w:bookmarkEnd w:id="1870"/>
                                  <w:r>
                                    <w:rPr>
                                      <w:color w:val="00000A"/>
                                      <w:sz w:val="18"/>
                                      <w:szCs w:val="18"/>
                                    </w:rPr>
                                    <w:t>.213</w:t>
                                  </w:r>
                                </w:p>
                              </w:tc>
                            </w:tr>
                            <w:tr>
                              <w:trPr>
                                <w:trHeight w:val="128" w:hRule="atLeast"/>
                                <w:cantSplit w:val="true"/>
                              </w:trPr>
                              <w:tc>
                                <w:tcPr>
                                  <w:tcW w:w="135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1871" w:name="__UnoMark__16667_118561941"/>
                                  <w:bookmarkStart w:id="1872" w:name="__UnoMark__16666_118561941"/>
                                  <w:bookmarkEnd w:id="1871"/>
                                  <w:bookmarkEnd w:id="1872"/>
                                  <w:r>
                                    <w:rPr>
                                      <w:color w:val="00000A"/>
                                      <w:sz w:val="18"/>
                                      <w:szCs w:val="18"/>
                                    </w:rPr>
                                    <w:t>GA_LDS</w:t>
                                  </w:r>
                                </w:p>
                              </w:tc>
                              <w:tc>
                                <w:tcPr>
                                  <w:tcW w:w="1170"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873" w:name="__UnoMark__16669_118561941"/>
                                  <w:bookmarkStart w:id="1874" w:name="__UnoMark__16668_118561941"/>
                                  <w:bookmarkEnd w:id="1873"/>
                                  <w:bookmarkEnd w:id="1874"/>
                                  <w:r>
                                    <w:rPr>
                                      <w:color w:val="00000A"/>
                                      <w:sz w:val="18"/>
                                      <w:szCs w:val="18"/>
                                    </w:rPr>
                                    <w:t>.144</w:t>
                                  </w:r>
                                </w:p>
                              </w:tc>
                              <w:tc>
                                <w:tcPr>
                                  <w:tcW w:w="816"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875" w:name="__UnoMark__16671_118561941"/>
                                  <w:bookmarkStart w:id="1876" w:name="__UnoMark__16670_118561941"/>
                                  <w:bookmarkEnd w:id="1875"/>
                                  <w:bookmarkEnd w:id="1876"/>
                                  <w:r>
                                    <w:rPr>
                                      <w:color w:val="00000A"/>
                                      <w:sz w:val="18"/>
                                      <w:szCs w:val="18"/>
                                    </w:rPr>
                                    <w:t>.054</w:t>
                                  </w:r>
                                </w:p>
                              </w:tc>
                            </w:tr>
                            <w:tr>
                              <w:trPr>
                                <w:trHeight w:val="135" w:hRule="atLeast"/>
                                <w:cantSplit w:val="true"/>
                              </w:trPr>
                              <w:tc>
                                <w:tcPr>
                                  <w:tcW w:w="135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1877" w:name="__UnoMark__16673_118561941"/>
                                  <w:bookmarkStart w:id="1878" w:name="__UnoMark__16672_118561941"/>
                                  <w:bookmarkEnd w:id="1877"/>
                                  <w:bookmarkEnd w:id="1878"/>
                                  <w:r>
                                    <w:rPr>
                                      <w:color w:val="00000A"/>
                                      <w:sz w:val="18"/>
                                      <w:szCs w:val="18"/>
                                    </w:rPr>
                                    <w:t>PCA_LDS</w:t>
                                  </w:r>
                                </w:p>
                              </w:tc>
                              <w:tc>
                                <w:tcPr>
                                  <w:tcW w:w="1170"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879" w:name="__UnoMark__16675_118561941"/>
                                  <w:bookmarkStart w:id="1880" w:name="__UnoMark__16674_118561941"/>
                                  <w:bookmarkEnd w:id="1879"/>
                                  <w:bookmarkEnd w:id="1880"/>
                                  <w:r>
                                    <w:rPr>
                                      <w:color w:val="00000A"/>
                                      <w:sz w:val="18"/>
                                      <w:szCs w:val="18"/>
                                    </w:rPr>
                                    <w:t>.088</w:t>
                                  </w:r>
                                </w:p>
                              </w:tc>
                              <w:tc>
                                <w:tcPr>
                                  <w:tcW w:w="816"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881" w:name="__UnoMark__16676_118561941"/>
                                  <w:bookmarkEnd w:id="1881"/>
                                  <w:r>
                                    <w:rPr>
                                      <w:color w:val="00000A"/>
                                      <w:sz w:val="18"/>
                                      <w:szCs w:val="18"/>
                                    </w:rPr>
                                    <w:t>.019</w:t>
                                  </w:r>
                                </w:p>
                              </w:tc>
                            </w:tr>
                          </w:tbl>
                          <w:p>
                            <w:pPr>
                              <w:pStyle w:val="FrameContents"/>
                              <w:spacing w:before="80" w:after="60"/>
                              <w:rPr>
                                <w:color w:val="000000"/>
                              </w:rPr>
                            </w:pPr>
                            <w:r>
                              <w:rPr>
                                <w:color w:val="000000"/>
                              </w:rPr>
                            </w:r>
                          </w:p>
                        </w:txbxContent>
                      </wps:txbx>
                      <wps:bodyPr lIns="0" rIns="0" tIns="0" bIns="0">
                        <a:spAutoFit/>
                      </wps:bodyPr>
                    </wps:wsp>
                  </a:graphicData>
                </a:graphic>
              </wp:anchor>
            </w:drawing>
          </mc:Choice>
          <mc:Fallback>
            <w:pict>
              <v:rect id="shape_0" ID="Frame9" stroked="f" style="position:absolute;margin-left:141pt;margin-top:2.8pt;width:166.85pt;height:132.65pt;mso-position-horizontal:center;mso-position-horizontal-relative:margin">
                <w10:wrap type="none"/>
                <v:fill o:detectmouseclick="t" on="false"/>
                <v:stroke color="#3465a4" joinstyle="round" endcap="flat"/>
                <v:textbox>
                  <w:txbxContent>
                    <w:tbl>
                      <w:tblPr>
                        <w:tblW w:w="3336" w:type="dxa"/>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1350"/>
                        <w:gridCol w:w="1170"/>
                        <w:gridCol w:w="816"/>
                      </w:tblGrid>
                      <w:tr>
                        <w:trPr>
                          <w:trHeight w:val="394" w:hRule="atLeast"/>
                          <w:cantSplit w:val="true"/>
                        </w:trPr>
                        <w:tc>
                          <w:tcPr>
                            <w:tcW w:w="1350"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jc w:val="center"/>
                              <w:rPr/>
                            </w:pPr>
                            <w:bookmarkStart w:id="1882" w:name="__UnoMark__16637_118561941"/>
                            <w:bookmarkEnd w:id="1882"/>
                            <w:r>
                              <w:rPr>
                                <w:color w:val="00000A"/>
                                <w:sz w:val="18"/>
                                <w:szCs w:val="18"/>
                              </w:rPr>
                              <w:t>Algoritmos</w:t>
                            </w:r>
                          </w:p>
                        </w:tc>
                        <w:tc>
                          <w:tcPr>
                            <w:tcW w:w="1170"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1883" w:name="__UnoMark__16638_118561941"/>
                            <w:bookmarkEnd w:id="1883"/>
                            <w:r>
                              <w:rPr>
                                <w:color w:val="00000A"/>
                                <w:sz w:val="18"/>
                                <w:szCs w:val="18"/>
                              </w:rPr>
                              <w:t>Kolmogorov-Smirnov</w:t>
                            </w:r>
                            <w:r>
                              <w:rPr>
                                <w:color w:val="00000A"/>
                                <w:sz w:val="18"/>
                                <w:szCs w:val="18"/>
                                <w:vertAlign w:val="superscript"/>
                              </w:rPr>
                              <w:t>a</w:t>
                            </w:r>
                            <w:bookmarkStart w:id="1884" w:name="__UnoMark__16639_118561941"/>
                            <w:bookmarkEnd w:id="1884"/>
                            <w:r>
                              <w:rPr>
                                <w:color w:val="00000A"/>
                                <w:sz w:val="18"/>
                                <w:szCs w:val="18"/>
                              </w:rPr>
                              <w:t xml:space="preserve"> Sig.</w:t>
                            </w:r>
                          </w:p>
                        </w:tc>
                        <w:tc>
                          <w:tcPr>
                            <w:tcW w:w="816"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1885" w:name="__UnoMark__16641_118561941"/>
                            <w:bookmarkStart w:id="1886" w:name="__UnoMark__16640_118561941"/>
                            <w:bookmarkEnd w:id="1885"/>
                            <w:bookmarkEnd w:id="1886"/>
                            <w:r>
                              <w:rPr>
                                <w:color w:val="00000A"/>
                                <w:sz w:val="18"/>
                                <w:szCs w:val="18"/>
                              </w:rPr>
                              <w:t>Shapiro-Wilk Sig.</w:t>
                            </w:r>
                          </w:p>
                        </w:tc>
                      </w:tr>
                      <w:tr>
                        <w:trPr>
                          <w:trHeight w:val="135" w:hRule="atLeast"/>
                          <w:cantSplit w:val="true"/>
                        </w:trPr>
                        <w:tc>
                          <w:tcPr>
                            <w:tcW w:w="135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1887" w:name="__UnoMark__16643_118561941"/>
                            <w:bookmarkStart w:id="1888" w:name="__UnoMark__16642_118561941"/>
                            <w:bookmarkEnd w:id="1887"/>
                            <w:bookmarkEnd w:id="1888"/>
                            <w:r>
                              <w:rPr>
                                <w:color w:val="00000A"/>
                                <w:sz w:val="18"/>
                                <w:szCs w:val="18"/>
                              </w:rPr>
                              <w:t>RST_LDS</w:t>
                            </w:r>
                          </w:p>
                        </w:tc>
                        <w:tc>
                          <w:tcPr>
                            <w:tcW w:w="1170"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889" w:name="__UnoMark__16645_118561941"/>
                            <w:bookmarkStart w:id="1890" w:name="__UnoMark__16644_118561941"/>
                            <w:bookmarkEnd w:id="1889"/>
                            <w:bookmarkEnd w:id="1890"/>
                            <w:r>
                              <w:rPr>
                                <w:color w:val="00000A"/>
                                <w:sz w:val="18"/>
                                <w:szCs w:val="18"/>
                              </w:rPr>
                              <w:t>.137</w:t>
                            </w:r>
                          </w:p>
                        </w:tc>
                        <w:tc>
                          <w:tcPr>
                            <w:tcW w:w="816"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891" w:name="__UnoMark__16647_118561941"/>
                            <w:bookmarkStart w:id="1892" w:name="__UnoMark__16646_118561941"/>
                            <w:bookmarkEnd w:id="1891"/>
                            <w:bookmarkEnd w:id="1892"/>
                            <w:r>
                              <w:rPr>
                                <w:color w:val="00000A"/>
                                <w:sz w:val="18"/>
                                <w:szCs w:val="18"/>
                              </w:rPr>
                              <w:t>.024</w:t>
                            </w:r>
                          </w:p>
                        </w:tc>
                      </w:tr>
                      <w:tr>
                        <w:trPr>
                          <w:trHeight w:val="128" w:hRule="atLeast"/>
                          <w:cantSplit w:val="true"/>
                        </w:trPr>
                        <w:tc>
                          <w:tcPr>
                            <w:tcW w:w="135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1893" w:name="__UnoMark__16649_118561941"/>
                            <w:bookmarkStart w:id="1894" w:name="__UnoMark__16648_118561941"/>
                            <w:bookmarkEnd w:id="1893"/>
                            <w:bookmarkEnd w:id="1894"/>
                            <w:r>
                              <w:rPr>
                                <w:color w:val="00000A"/>
                                <w:sz w:val="18"/>
                                <w:szCs w:val="18"/>
                              </w:rPr>
                              <w:t>LPA_LDS</w:t>
                            </w:r>
                          </w:p>
                        </w:tc>
                        <w:tc>
                          <w:tcPr>
                            <w:tcW w:w="1170"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895" w:name="__UnoMark__16651_118561941"/>
                            <w:bookmarkStart w:id="1896" w:name="__UnoMark__16650_118561941"/>
                            <w:bookmarkEnd w:id="1895"/>
                            <w:bookmarkEnd w:id="1896"/>
                            <w:r>
                              <w:rPr>
                                <w:color w:val="00000A"/>
                                <w:sz w:val="18"/>
                                <w:szCs w:val="18"/>
                              </w:rPr>
                              <w:t>.000</w:t>
                            </w:r>
                          </w:p>
                        </w:tc>
                        <w:tc>
                          <w:tcPr>
                            <w:tcW w:w="816"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897" w:name="__UnoMark__16653_118561941"/>
                            <w:bookmarkStart w:id="1898" w:name="__UnoMark__16652_118561941"/>
                            <w:bookmarkEnd w:id="1897"/>
                            <w:bookmarkEnd w:id="1898"/>
                            <w:r>
                              <w:rPr>
                                <w:color w:val="00000A"/>
                                <w:sz w:val="18"/>
                                <w:szCs w:val="18"/>
                              </w:rPr>
                              <w:t>.003</w:t>
                            </w:r>
                          </w:p>
                        </w:tc>
                      </w:tr>
                      <w:tr>
                        <w:trPr>
                          <w:trHeight w:val="128" w:hRule="atLeast"/>
                          <w:cantSplit w:val="true"/>
                        </w:trPr>
                        <w:tc>
                          <w:tcPr>
                            <w:tcW w:w="135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1899" w:name="__UnoMark__16655_118561941"/>
                            <w:bookmarkStart w:id="1900" w:name="__UnoMark__16654_118561941"/>
                            <w:bookmarkEnd w:id="1899"/>
                            <w:bookmarkEnd w:id="1900"/>
                            <w:r>
                              <w:rPr>
                                <w:color w:val="00000A"/>
                                <w:sz w:val="18"/>
                                <w:szCs w:val="18"/>
                              </w:rPr>
                              <w:t>Apriori_LDS</w:t>
                            </w:r>
                          </w:p>
                        </w:tc>
                        <w:tc>
                          <w:tcPr>
                            <w:tcW w:w="1170"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901" w:name="__UnoMark__16657_118561941"/>
                            <w:bookmarkStart w:id="1902" w:name="__UnoMark__16656_118561941"/>
                            <w:bookmarkEnd w:id="1901"/>
                            <w:bookmarkEnd w:id="1902"/>
                            <w:r>
                              <w:rPr>
                                <w:color w:val="00000A"/>
                                <w:sz w:val="18"/>
                                <w:szCs w:val="18"/>
                              </w:rPr>
                              <w:t>.079</w:t>
                            </w:r>
                          </w:p>
                        </w:tc>
                        <w:tc>
                          <w:tcPr>
                            <w:tcW w:w="816"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903" w:name="__UnoMark__16659_118561941"/>
                            <w:bookmarkStart w:id="1904" w:name="__UnoMark__16658_118561941"/>
                            <w:bookmarkEnd w:id="1903"/>
                            <w:bookmarkEnd w:id="1904"/>
                            <w:r>
                              <w:rPr>
                                <w:color w:val="00000A"/>
                                <w:sz w:val="18"/>
                                <w:szCs w:val="18"/>
                              </w:rPr>
                              <w:t>.016</w:t>
                            </w:r>
                          </w:p>
                        </w:tc>
                      </w:tr>
                      <w:tr>
                        <w:trPr>
                          <w:trHeight w:val="135" w:hRule="atLeast"/>
                          <w:cantSplit w:val="true"/>
                        </w:trPr>
                        <w:tc>
                          <w:tcPr>
                            <w:tcW w:w="135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1905" w:name="__UnoMark__16661_118561941"/>
                            <w:bookmarkStart w:id="1906" w:name="__UnoMark__16660_118561941"/>
                            <w:bookmarkEnd w:id="1905"/>
                            <w:bookmarkEnd w:id="1906"/>
                            <w:r>
                              <w:rPr>
                                <w:color w:val="00000A"/>
                                <w:sz w:val="18"/>
                                <w:szCs w:val="18"/>
                              </w:rPr>
                              <w:t>ACO_LDS</w:t>
                            </w:r>
                          </w:p>
                        </w:tc>
                        <w:tc>
                          <w:tcPr>
                            <w:tcW w:w="1170"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907" w:name="__UnoMark__16663_118561941"/>
                            <w:bookmarkStart w:id="1908" w:name="__UnoMark__16662_118561941"/>
                            <w:bookmarkEnd w:id="1907"/>
                            <w:bookmarkEnd w:id="1908"/>
                            <w:r>
                              <w:rPr>
                                <w:color w:val="00000A"/>
                                <w:sz w:val="18"/>
                                <w:szCs w:val="18"/>
                              </w:rPr>
                              <w:t>.108</w:t>
                            </w:r>
                          </w:p>
                        </w:tc>
                        <w:tc>
                          <w:tcPr>
                            <w:tcW w:w="816"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909" w:name="__UnoMark__16665_118561941"/>
                            <w:bookmarkStart w:id="1910" w:name="__UnoMark__16664_118561941"/>
                            <w:bookmarkEnd w:id="1909"/>
                            <w:bookmarkEnd w:id="1910"/>
                            <w:r>
                              <w:rPr>
                                <w:color w:val="00000A"/>
                                <w:sz w:val="18"/>
                                <w:szCs w:val="18"/>
                              </w:rPr>
                              <w:t>.213</w:t>
                            </w:r>
                          </w:p>
                        </w:tc>
                      </w:tr>
                      <w:tr>
                        <w:trPr>
                          <w:trHeight w:val="128" w:hRule="atLeast"/>
                          <w:cantSplit w:val="true"/>
                        </w:trPr>
                        <w:tc>
                          <w:tcPr>
                            <w:tcW w:w="135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1911" w:name="__UnoMark__16667_118561941"/>
                            <w:bookmarkStart w:id="1912" w:name="__UnoMark__16666_118561941"/>
                            <w:bookmarkEnd w:id="1911"/>
                            <w:bookmarkEnd w:id="1912"/>
                            <w:r>
                              <w:rPr>
                                <w:color w:val="00000A"/>
                                <w:sz w:val="18"/>
                                <w:szCs w:val="18"/>
                              </w:rPr>
                              <w:t>GA_LDS</w:t>
                            </w:r>
                          </w:p>
                        </w:tc>
                        <w:tc>
                          <w:tcPr>
                            <w:tcW w:w="1170"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913" w:name="__UnoMark__16669_118561941"/>
                            <w:bookmarkStart w:id="1914" w:name="__UnoMark__16668_118561941"/>
                            <w:bookmarkEnd w:id="1913"/>
                            <w:bookmarkEnd w:id="1914"/>
                            <w:r>
                              <w:rPr>
                                <w:color w:val="00000A"/>
                                <w:sz w:val="18"/>
                                <w:szCs w:val="18"/>
                              </w:rPr>
                              <w:t>.144</w:t>
                            </w:r>
                          </w:p>
                        </w:tc>
                        <w:tc>
                          <w:tcPr>
                            <w:tcW w:w="816"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915" w:name="__UnoMark__16671_118561941"/>
                            <w:bookmarkStart w:id="1916" w:name="__UnoMark__16670_118561941"/>
                            <w:bookmarkEnd w:id="1915"/>
                            <w:bookmarkEnd w:id="1916"/>
                            <w:r>
                              <w:rPr>
                                <w:color w:val="00000A"/>
                                <w:sz w:val="18"/>
                                <w:szCs w:val="18"/>
                              </w:rPr>
                              <w:t>.054</w:t>
                            </w:r>
                          </w:p>
                        </w:tc>
                      </w:tr>
                      <w:tr>
                        <w:trPr>
                          <w:trHeight w:val="135" w:hRule="atLeast"/>
                          <w:cantSplit w:val="true"/>
                        </w:trPr>
                        <w:tc>
                          <w:tcPr>
                            <w:tcW w:w="135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1917" w:name="__UnoMark__16673_118561941"/>
                            <w:bookmarkStart w:id="1918" w:name="__UnoMark__16672_118561941"/>
                            <w:bookmarkEnd w:id="1917"/>
                            <w:bookmarkEnd w:id="1918"/>
                            <w:r>
                              <w:rPr>
                                <w:color w:val="00000A"/>
                                <w:sz w:val="18"/>
                                <w:szCs w:val="18"/>
                              </w:rPr>
                              <w:t>PCA_LDS</w:t>
                            </w:r>
                          </w:p>
                        </w:tc>
                        <w:tc>
                          <w:tcPr>
                            <w:tcW w:w="1170"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919" w:name="__UnoMark__16675_118561941"/>
                            <w:bookmarkStart w:id="1920" w:name="__UnoMark__16674_118561941"/>
                            <w:bookmarkEnd w:id="1919"/>
                            <w:bookmarkEnd w:id="1920"/>
                            <w:r>
                              <w:rPr>
                                <w:color w:val="00000A"/>
                                <w:sz w:val="18"/>
                                <w:szCs w:val="18"/>
                              </w:rPr>
                              <w:t>.088</w:t>
                            </w:r>
                          </w:p>
                        </w:tc>
                        <w:tc>
                          <w:tcPr>
                            <w:tcW w:w="816"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921" w:name="__UnoMark__16676_118561941"/>
                            <w:bookmarkEnd w:id="1921"/>
                            <w:r>
                              <w:rPr>
                                <w:color w:val="00000A"/>
                                <w:sz w:val="18"/>
                                <w:szCs w:val="18"/>
                              </w:rPr>
                              <w:t>.019</w:t>
                            </w:r>
                          </w:p>
                        </w:tc>
                      </w:tr>
                    </w:tbl>
                    <w:p>
                      <w:pPr>
                        <w:pStyle w:val="FrameContents"/>
                        <w:spacing w:before="80" w:after="60"/>
                        <w:rPr>
                          <w:color w:val="000000"/>
                        </w:rPr>
                      </w:pPr>
                      <w:r>
                        <w:rPr>
                          <w:color w:val="000000"/>
                        </w:rPr>
                      </w:r>
                    </w:p>
                  </w:txbxContent>
                </v:textbox>
              </v:rect>
            </w:pict>
          </mc:Fallback>
        </mc:AlternateContent>
      </w:r>
    </w:p>
    <w:p>
      <w:pPr>
        <w:pStyle w:val="Caption1"/>
        <w:keepNext/>
        <w:rPr>
          <w:color w:val="00000A"/>
        </w:rPr>
      </w:pPr>
      <w:r>
        <w:rPr>
          <w:color w:val="00000A"/>
        </w:rPr>
      </w:r>
    </w:p>
    <w:p>
      <w:pPr>
        <w:pStyle w:val="Normal"/>
        <w:rPr>
          <w:color w:val="00000A"/>
          <w:lang w:val="en-US"/>
        </w:rPr>
      </w:pPr>
      <w:r>
        <w:rPr>
          <w:color w:val="00000A"/>
          <w:lang w:val="en-US"/>
        </w:rPr>
        <mc:AlternateContent>
          <mc:Choice Requires="wps">
            <w:drawing>
              <wp:anchor behindDoc="0" distT="0" distB="0" distL="114300" distR="114300" simplePos="0" locked="0" layoutInCell="1" allowOverlap="1" relativeHeight="36">
                <wp:simplePos x="0" y="0"/>
                <wp:positionH relativeFrom="margin">
                  <wp:align>center</wp:align>
                </wp:positionH>
                <wp:positionV relativeFrom="paragraph">
                  <wp:posOffset>-83185</wp:posOffset>
                </wp:positionV>
                <wp:extent cx="4504055" cy="1025525"/>
                <wp:effectExtent l="0" t="0" r="0" b="0"/>
                <wp:wrapSquare wrapText="bothSides"/>
                <wp:docPr id="34" name="Frame10"/>
                <a:graphic xmlns:a="http://schemas.openxmlformats.org/drawingml/2006/main">
                  <a:graphicData uri="http://schemas.microsoft.com/office/word/2010/wordprocessingShape">
                    <wps:wsp>
                      <wps:cNvSpPr/>
                      <wps:spPr>
                        <a:xfrm>
                          <a:off x="0" y="0"/>
                          <a:ext cx="4503600" cy="1024920"/>
                        </a:xfrm>
                        <a:prstGeom prst="rect">
                          <a:avLst/>
                        </a:prstGeom>
                        <a:noFill/>
                        <a:ln>
                          <a:noFill/>
                        </a:ln>
                      </wps:spPr>
                      <wps:style>
                        <a:lnRef idx="0"/>
                        <a:fillRef idx="0"/>
                        <a:effectRef idx="0"/>
                        <a:fontRef idx="minor"/>
                      </wps:style>
                      <wps:txbx>
                        <w:txbxContent>
                          <w:tbl>
                            <w:tblPr>
                              <w:tblW w:w="5000" w:type="pct"/>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3963"/>
                              <w:gridCol w:w="1081"/>
                              <w:gridCol w:w="2050"/>
                            </w:tblGrid>
                            <w:tr>
                              <w:trPr>
                                <w:trHeight w:val="224" w:hRule="atLeast"/>
                                <w:cantSplit w:val="true"/>
                              </w:trPr>
                              <w:tc>
                                <w:tcPr>
                                  <w:tcW w:w="3963"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left"/>
                                    <w:rPr/>
                                  </w:pPr>
                                  <w:bookmarkStart w:id="1922" w:name="__UnoMark__16708_118561941"/>
                                  <w:bookmarkEnd w:id="1922"/>
                                  <w:r>
                                    <w:rPr>
                                      <w:color w:val="00000A"/>
                                      <w:sz w:val="18"/>
                                      <w:szCs w:val="18"/>
                                    </w:rPr>
                                    <w:t>Algoritmos</w:t>
                                  </w:r>
                                </w:p>
                              </w:tc>
                              <w:tc>
                                <w:tcPr>
                                  <w:tcW w:w="108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pPr>
                                  <w:bookmarkStart w:id="1923" w:name="__UnoMark__16710_118561941"/>
                                  <w:bookmarkStart w:id="1924" w:name="__UnoMark__16709_118561941"/>
                                  <w:bookmarkEnd w:id="1923"/>
                                  <w:bookmarkEnd w:id="1924"/>
                                  <w:r>
                                    <w:rPr>
                                      <w:color w:val="00000A"/>
                                      <w:sz w:val="18"/>
                                      <w:szCs w:val="18"/>
                                    </w:rPr>
                                    <w:t>p-value</w:t>
                                  </w:r>
                                </w:p>
                              </w:tc>
                              <w:tc>
                                <w:tcPr>
                                  <w:tcW w:w="205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pPr>
                                  <w:bookmarkStart w:id="1925" w:name="__UnoMark__16712_118561941"/>
                                  <w:bookmarkStart w:id="1926" w:name="__UnoMark__16711_118561941"/>
                                  <w:bookmarkEnd w:id="1925"/>
                                  <w:bookmarkEnd w:id="1926"/>
                                  <w:r>
                                    <w:rPr>
                                      <w:color w:val="00000A"/>
                                      <w:sz w:val="18"/>
                                      <w:szCs w:val="18"/>
                                    </w:rPr>
                                    <w:t>Resultados</w:t>
                                  </w:r>
                                </w:p>
                              </w:tc>
                            </w:tr>
                            <w:tr>
                              <w:trPr>
                                <w:trHeight w:val="829" w:hRule="atLeast"/>
                                <w:cantSplit w:val="true"/>
                              </w:trPr>
                              <w:tc>
                                <w:tcPr>
                                  <w:tcW w:w="3963"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left"/>
                                    <w:rPr/>
                                  </w:pPr>
                                  <w:bookmarkStart w:id="1927" w:name="__UnoMark__16713_118561941"/>
                                  <w:bookmarkEnd w:id="1927"/>
                                  <w:r>
                                    <w:rPr>
                                      <w:i/>
                                      <w:color w:val="00000A"/>
                                      <w:sz w:val="18"/>
                                      <w:szCs w:val="18"/>
                                      <w:lang w:val="en-US"/>
                                    </w:rPr>
                                    <w:t>Friedman test</w:t>
                                  </w:r>
                                  <w:r>
                                    <w:rPr>
                                      <w:color w:val="00000A"/>
                                      <w:sz w:val="18"/>
                                      <w:szCs w:val="18"/>
                                      <w:lang w:val="en-US"/>
                                    </w:rPr>
                                    <w:t xml:space="preserve"> (grupo A) </w:t>
                                  </w:r>
                                </w:p>
                                <w:p>
                                  <w:pPr>
                                    <w:pStyle w:val="FrameContents"/>
                                    <w:spacing w:lineRule="auto" w:line="240"/>
                                    <w:jc w:val="left"/>
                                    <w:rPr/>
                                  </w:pPr>
                                  <w:r>
                                    <w:rPr>
                                      <w:color w:val="00000A"/>
                                      <w:sz w:val="18"/>
                                      <w:szCs w:val="18"/>
                                      <w:lang w:val="en-US"/>
                                    </w:rPr>
                                    <w:t xml:space="preserve">RST_LDS, ACO_LDS, </w:t>
                                  </w:r>
                                </w:p>
                                <w:p>
                                  <w:pPr>
                                    <w:pStyle w:val="FrameContents"/>
                                    <w:spacing w:lineRule="auto" w:line="240" w:before="80" w:after="60"/>
                                    <w:jc w:val="left"/>
                                    <w:rPr/>
                                  </w:pPr>
                                  <w:bookmarkStart w:id="1928" w:name="__UnoMark__16714_118561941"/>
                                  <w:bookmarkEnd w:id="1928"/>
                                  <w:r>
                                    <w:rPr>
                                      <w:color w:val="00000A"/>
                                      <w:sz w:val="18"/>
                                      <w:szCs w:val="18"/>
                                    </w:rPr>
                                    <w:t>GA_LDS, PCA_LDS, Apriori_LDS y LPA_LDS.</w:t>
                                  </w:r>
                                </w:p>
                              </w:tc>
                              <w:tc>
                                <w:tcPr>
                                  <w:tcW w:w="108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ind w:left="62" w:right="62" w:hanging="0"/>
                                    <w:jc w:val="center"/>
                                    <w:rPr/>
                                  </w:pPr>
                                  <w:bookmarkStart w:id="1929" w:name="__UnoMark__16716_118561941"/>
                                  <w:bookmarkStart w:id="1930" w:name="__UnoMark__16715_118561941"/>
                                  <w:bookmarkEnd w:id="1929"/>
                                  <w:bookmarkEnd w:id="1930"/>
                                  <w:r>
                                    <w:rPr>
                                      <w:color w:val="00000A"/>
                                      <w:sz w:val="18"/>
                                      <w:szCs w:val="18"/>
                                    </w:rPr>
                                    <w:t>0.853</w:t>
                                  </w:r>
                                </w:p>
                              </w:tc>
                              <w:tc>
                                <w:tcPr>
                                  <w:tcW w:w="205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ind w:left="62" w:right="62" w:hanging="0"/>
                                    <w:jc w:val="center"/>
                                    <w:rPr/>
                                  </w:pPr>
                                  <w:bookmarkStart w:id="1931" w:name="__UnoMark__16717_118561941"/>
                                  <w:bookmarkEnd w:id="1931"/>
                                  <w:r>
                                    <w:rPr>
                                      <w:color w:val="00000A"/>
                                      <w:sz w:val="18"/>
                                      <w:szCs w:val="18"/>
                                    </w:rPr>
                                    <w:t>No hay diferencias significativas</w:t>
                                  </w:r>
                                </w:p>
                              </w:tc>
                            </w:tr>
                          </w:tbl>
                          <w:p>
                            <w:pPr>
                              <w:pStyle w:val="FrameContents"/>
                              <w:spacing w:before="80" w:after="60"/>
                              <w:rPr>
                                <w:color w:val="000000"/>
                              </w:rPr>
                            </w:pPr>
                            <w:r>
                              <w:rPr>
                                <w:color w:val="000000"/>
                              </w:rPr>
                            </w:r>
                          </w:p>
                        </w:txbxContent>
                      </wps:txbx>
                      <wps:bodyPr lIns="0" rIns="0" tIns="0" bIns="0">
                        <a:spAutoFit/>
                      </wps:bodyPr>
                    </wps:wsp>
                  </a:graphicData>
                </a:graphic>
                <wp14:sizeRelH relativeFrom="margin">
                  <wp14:pctWidth>79000</wp14:pctWidth>
                </wp14:sizeRelH>
              </wp:anchor>
            </w:drawing>
          </mc:Choice>
          <mc:Fallback>
            <w:pict>
              <v:rect id="shape_0" ID="Frame10" stroked="f" style="position:absolute;margin-left:47.15pt;margin-top:-6.55pt;width:354.55pt;height:80.65pt;mso-position-horizontal:center;mso-position-horizontal-relative:margin">
                <w10:wrap type="none"/>
                <v:fill o:detectmouseclick="t" on="false"/>
                <v:stroke color="#3465a4" joinstyle="round" endcap="flat"/>
                <v:textbox>
                  <w:txbxContent>
                    <w:tbl>
                      <w:tblPr>
                        <w:tblW w:w="5000" w:type="pct"/>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3963"/>
                        <w:gridCol w:w="1081"/>
                        <w:gridCol w:w="2050"/>
                      </w:tblGrid>
                      <w:tr>
                        <w:trPr>
                          <w:trHeight w:val="224" w:hRule="atLeast"/>
                          <w:cantSplit w:val="true"/>
                        </w:trPr>
                        <w:tc>
                          <w:tcPr>
                            <w:tcW w:w="3963"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left"/>
                              <w:rPr/>
                            </w:pPr>
                            <w:bookmarkStart w:id="1932" w:name="__UnoMark__16708_118561941"/>
                            <w:bookmarkEnd w:id="1932"/>
                            <w:r>
                              <w:rPr>
                                <w:color w:val="00000A"/>
                                <w:sz w:val="18"/>
                                <w:szCs w:val="18"/>
                              </w:rPr>
                              <w:t>Algoritmos</w:t>
                            </w:r>
                          </w:p>
                        </w:tc>
                        <w:tc>
                          <w:tcPr>
                            <w:tcW w:w="108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pPr>
                            <w:bookmarkStart w:id="1933" w:name="__UnoMark__16710_118561941"/>
                            <w:bookmarkStart w:id="1934" w:name="__UnoMark__16709_118561941"/>
                            <w:bookmarkEnd w:id="1933"/>
                            <w:bookmarkEnd w:id="1934"/>
                            <w:r>
                              <w:rPr>
                                <w:color w:val="00000A"/>
                                <w:sz w:val="18"/>
                                <w:szCs w:val="18"/>
                              </w:rPr>
                              <w:t>p-value</w:t>
                            </w:r>
                          </w:p>
                        </w:tc>
                        <w:tc>
                          <w:tcPr>
                            <w:tcW w:w="205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pPr>
                            <w:bookmarkStart w:id="1935" w:name="__UnoMark__16712_118561941"/>
                            <w:bookmarkStart w:id="1936" w:name="__UnoMark__16711_118561941"/>
                            <w:bookmarkEnd w:id="1935"/>
                            <w:bookmarkEnd w:id="1936"/>
                            <w:r>
                              <w:rPr>
                                <w:color w:val="00000A"/>
                                <w:sz w:val="18"/>
                                <w:szCs w:val="18"/>
                              </w:rPr>
                              <w:t>Resultados</w:t>
                            </w:r>
                          </w:p>
                        </w:tc>
                      </w:tr>
                      <w:tr>
                        <w:trPr>
                          <w:trHeight w:val="829" w:hRule="atLeast"/>
                          <w:cantSplit w:val="true"/>
                        </w:trPr>
                        <w:tc>
                          <w:tcPr>
                            <w:tcW w:w="3963"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left"/>
                              <w:rPr/>
                            </w:pPr>
                            <w:bookmarkStart w:id="1937" w:name="__UnoMark__16713_118561941"/>
                            <w:bookmarkEnd w:id="1937"/>
                            <w:r>
                              <w:rPr>
                                <w:i/>
                                <w:color w:val="00000A"/>
                                <w:sz w:val="18"/>
                                <w:szCs w:val="18"/>
                                <w:lang w:val="en-US"/>
                              </w:rPr>
                              <w:t>Friedman test</w:t>
                            </w:r>
                            <w:r>
                              <w:rPr>
                                <w:color w:val="00000A"/>
                                <w:sz w:val="18"/>
                                <w:szCs w:val="18"/>
                                <w:lang w:val="en-US"/>
                              </w:rPr>
                              <w:t xml:space="preserve"> (grupo A) </w:t>
                            </w:r>
                          </w:p>
                          <w:p>
                            <w:pPr>
                              <w:pStyle w:val="FrameContents"/>
                              <w:spacing w:lineRule="auto" w:line="240"/>
                              <w:jc w:val="left"/>
                              <w:rPr/>
                            </w:pPr>
                            <w:r>
                              <w:rPr>
                                <w:color w:val="00000A"/>
                                <w:sz w:val="18"/>
                                <w:szCs w:val="18"/>
                                <w:lang w:val="en-US"/>
                              </w:rPr>
                              <w:t xml:space="preserve">RST_LDS, ACO_LDS, </w:t>
                            </w:r>
                          </w:p>
                          <w:p>
                            <w:pPr>
                              <w:pStyle w:val="FrameContents"/>
                              <w:spacing w:lineRule="auto" w:line="240" w:before="80" w:after="60"/>
                              <w:jc w:val="left"/>
                              <w:rPr/>
                            </w:pPr>
                            <w:bookmarkStart w:id="1938" w:name="__UnoMark__16714_118561941"/>
                            <w:bookmarkEnd w:id="1938"/>
                            <w:r>
                              <w:rPr>
                                <w:color w:val="00000A"/>
                                <w:sz w:val="18"/>
                                <w:szCs w:val="18"/>
                              </w:rPr>
                              <w:t>GA_LDS, PCA_LDS, Apriori_LDS y LPA_LDS.</w:t>
                            </w:r>
                          </w:p>
                        </w:tc>
                        <w:tc>
                          <w:tcPr>
                            <w:tcW w:w="108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ind w:left="62" w:right="62" w:hanging="0"/>
                              <w:jc w:val="center"/>
                              <w:rPr/>
                            </w:pPr>
                            <w:bookmarkStart w:id="1939" w:name="__UnoMark__16716_118561941"/>
                            <w:bookmarkStart w:id="1940" w:name="__UnoMark__16715_118561941"/>
                            <w:bookmarkEnd w:id="1939"/>
                            <w:bookmarkEnd w:id="1940"/>
                            <w:r>
                              <w:rPr>
                                <w:color w:val="00000A"/>
                                <w:sz w:val="18"/>
                                <w:szCs w:val="18"/>
                              </w:rPr>
                              <w:t>0.853</w:t>
                            </w:r>
                          </w:p>
                        </w:tc>
                        <w:tc>
                          <w:tcPr>
                            <w:tcW w:w="205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ind w:left="62" w:right="62" w:hanging="0"/>
                              <w:jc w:val="center"/>
                              <w:rPr/>
                            </w:pPr>
                            <w:bookmarkStart w:id="1941" w:name="__UnoMark__16717_118561941"/>
                            <w:bookmarkEnd w:id="1941"/>
                            <w:r>
                              <w:rPr>
                                <w:color w:val="00000A"/>
                                <w:sz w:val="18"/>
                                <w:szCs w:val="18"/>
                              </w:rPr>
                              <w:t>No hay diferencias significativas</w:t>
                            </w:r>
                          </w:p>
                        </w:tc>
                      </w:tr>
                    </w:tbl>
                    <w:p>
                      <w:pPr>
                        <w:pStyle w:val="FrameContents"/>
                        <w:spacing w:before="80" w:after="60"/>
                        <w:rPr>
                          <w:color w:val="000000"/>
                        </w:rPr>
                      </w:pPr>
                      <w:r>
                        <w:rPr>
                          <w:color w:val="000000"/>
                        </w:rPr>
                      </w:r>
                    </w:p>
                  </w:txbxContent>
                </v:textbox>
              </v:rect>
            </w:pict>
          </mc:Fallback>
        </mc:AlternateContent>
      </w:r>
    </w:p>
    <w:p>
      <w:pPr>
        <w:pStyle w:val="Heading3"/>
        <w:numPr>
          <w:ilvl w:val="2"/>
          <w:numId w:val="80"/>
        </w:numPr>
        <w:spacing w:before="80" w:after="0"/>
        <w:rPr/>
      </w:pPr>
      <w:r>
        <w:rPr/>
        <w:t>Comparación de los algoritmos respecto al indicador T</w:t>
      </w:r>
      <w:r>
        <w:rPr>
          <w:vertAlign w:val="subscript"/>
        </w:rPr>
        <w:t>3</w:t>
      </w:r>
    </w:p>
    <w:p>
      <w:pPr>
        <w:pStyle w:val="Normal"/>
        <w:rPr>
          <w:lang w:val="en-US"/>
        </w:rPr>
      </w:pPr>
      <w:r>
        <w:rPr>
          <w:lang w:val="en-US"/>
        </w:rPr>
        <w:t xml:space="preserve">Respecto a la media aritmética del indicador </w:t>
      </w:r>
      <w:r>
        <w:rPr>
          <w:i/>
          <w:lang w:val="en-US"/>
        </w:rPr>
        <w:t>T</w:t>
      </w:r>
      <w:r>
        <w:rPr>
          <w:i/>
          <w:vertAlign w:val="subscript"/>
          <w:lang w:val="en-US"/>
        </w:rPr>
        <w:t>3</w:t>
      </w:r>
      <w:r>
        <w:rPr>
          <w:vertAlign w:val="subscript"/>
          <w:lang w:val="en-US"/>
        </w:rPr>
        <w:t>,</w:t>
      </w:r>
      <w:r>
        <w:rPr>
          <w:lang w:val="en-US"/>
        </w:rPr>
        <w:t xml:space="preserve"> los algoritmos quedan ubicados en el siguiente orden: </w:t>
      </w:r>
      <w:r>
        <w:rPr>
          <w:rFonts w:cs="Courier New" w:ascii="Courier New" w:hAnsi="Courier New"/>
          <w:szCs w:val="20"/>
        </w:rPr>
        <w:t>RST_LDS</w:t>
      </w:r>
      <w:r>
        <w:rPr>
          <w:lang w:val="en-US"/>
        </w:rPr>
        <w:t xml:space="preserve">, </w:t>
      </w:r>
      <w:r>
        <w:rPr>
          <w:rFonts w:cs="Courier New" w:ascii="Courier New" w:hAnsi="Courier New"/>
          <w:szCs w:val="20"/>
        </w:rPr>
        <w:t>GA_LDS</w:t>
      </w:r>
      <w:r>
        <w:rPr>
          <w:lang w:val="en-US"/>
        </w:rPr>
        <w:t xml:space="preserve">, </w:t>
      </w:r>
      <w:r>
        <w:rPr>
          <w:rFonts w:cs="Courier New" w:ascii="Courier New" w:hAnsi="Courier New"/>
          <w:szCs w:val="20"/>
        </w:rPr>
        <w:t>PCA_LDS</w:t>
      </w:r>
      <w:r>
        <w:rPr>
          <w:lang w:val="en-US"/>
        </w:rPr>
        <w:t xml:space="preserve">, </w:t>
      </w:r>
      <w:r>
        <w:rPr>
          <w:rFonts w:cs="Courier New" w:ascii="Courier New" w:hAnsi="Courier New"/>
          <w:szCs w:val="20"/>
        </w:rPr>
        <w:t>Apriori_LDS</w:t>
      </w:r>
      <w:r>
        <w:rPr>
          <w:lang w:val="en-US"/>
        </w:rPr>
        <w:t xml:space="preserve">, </w:t>
      </w:r>
      <w:r>
        <w:rPr>
          <w:rFonts w:cs="Courier New" w:ascii="Courier New" w:hAnsi="Courier New"/>
          <w:szCs w:val="20"/>
        </w:rPr>
        <w:t>LPA_LDS</w:t>
      </w:r>
      <w:r>
        <w:rPr>
          <w:lang w:val="en-US"/>
        </w:rPr>
        <w:t xml:space="preserve"> y </w:t>
      </w:r>
      <w:r>
        <w:rPr>
          <w:rFonts w:cs="Courier New" w:ascii="Courier New" w:hAnsi="Courier New"/>
          <w:szCs w:val="20"/>
        </w:rPr>
        <w:t>ACO_LDS</w:t>
      </w:r>
      <w:r>
        <w:rPr>
          <w:lang w:val="en-US"/>
        </w:rPr>
        <w:t>.</w:t>
      </w:r>
    </w:p>
    <w:p>
      <w:pPr>
        <w:pStyle w:val="Normal"/>
        <w:rPr>
          <w:lang w:val="en-US"/>
        </w:rPr>
      </w:pPr>
      <w:r>
        <w:rPr>
          <w:lang w:val="en-US"/>
        </w:rPr>
        <w:t xml:space="preserve">Se identifica que los resultados no cumplen con una distribución normal. Para la comparación se aplicó el test no paramétrico </w:t>
      </w:r>
      <w:r>
        <w:rPr>
          <w:i/>
          <w:lang w:val="en-US"/>
        </w:rPr>
        <w:t>Wilcoxon</w:t>
      </w:r>
      <w:r>
        <w:rPr>
          <w:lang w:val="en-US"/>
        </w:rPr>
        <w:t xml:space="preserve"> y se demuestra que los algoritmos </w:t>
      </w:r>
      <w:r>
        <w:rPr>
          <w:rFonts w:cs="Courier New" w:ascii="Courier New" w:hAnsi="Courier New"/>
        </w:rPr>
        <w:t>RST_LDS</w:t>
      </w:r>
      <w:r>
        <w:rPr>
          <w:lang w:val="en-US"/>
        </w:rPr>
        <w:t xml:space="preserve"> y </w:t>
      </w:r>
      <w:r>
        <w:rPr>
          <w:rFonts w:cs="Courier New" w:ascii="Courier New" w:hAnsi="Courier New"/>
          <w:szCs w:val="20"/>
        </w:rPr>
        <w:t>GA_LDS</w:t>
      </w:r>
      <w:r>
        <w:rPr>
          <w:i/>
          <w:sz w:val="28"/>
          <w:lang w:val="en-US"/>
        </w:rPr>
        <w:t xml:space="preserve"> </w:t>
      </w:r>
      <w:r>
        <w:rPr>
          <w:lang w:val="en-US"/>
        </w:rPr>
        <w:t>reportan resultados significativamente mejores que el resto de los algoritmos, están ubicados</w:t>
      </w:r>
      <w:r>
        <w:rPr>
          <w:i/>
          <w:lang w:val="en-US"/>
        </w:rPr>
        <w:t xml:space="preserve"> </w:t>
      </w:r>
      <w:r>
        <w:rPr>
          <w:lang w:val="en-US"/>
        </w:rPr>
        <w:t>en el</w:t>
      </w:r>
      <w:r>
        <w:rPr>
          <w:i/>
          <w:lang w:val="en-US"/>
        </w:rPr>
        <w:t xml:space="preserve"> </w:t>
      </w:r>
      <w:r>
        <w:rPr>
          <w:lang w:val="en-US"/>
        </w:rPr>
        <w:t>“grupo A”.</w:t>
      </w:r>
    </w:p>
    <w:p>
      <w:pPr>
        <w:pStyle w:val="TablaFigura"/>
        <w:numPr>
          <w:ilvl w:val="0"/>
          <w:numId w:val="2"/>
        </w:numPr>
        <w:ind w:left="431" w:hanging="431"/>
        <w:rPr/>
      </w:pPr>
      <w:r>
        <mc:AlternateContent>
          <mc:Choice Requires="wps">
            <w:drawing>
              <wp:anchor behindDoc="0" distT="45720" distB="45720" distL="114300" distR="114300" simplePos="0" locked="0" layoutInCell="1" allowOverlap="1" relativeHeight="16" wp14:anchorId="7713D0FC">
                <wp:simplePos x="0" y="0"/>
                <wp:positionH relativeFrom="margin">
                  <wp:posOffset>1462405</wp:posOffset>
                </wp:positionH>
                <wp:positionV relativeFrom="paragraph">
                  <wp:posOffset>547370</wp:posOffset>
                </wp:positionV>
                <wp:extent cx="3939540" cy="2472690"/>
                <wp:effectExtent l="0" t="0" r="6350" b="6350"/>
                <wp:wrapSquare wrapText="bothSides"/>
                <wp:docPr id="36" name="Cuadro de texto 2"/>
                <a:graphic xmlns:a="http://schemas.openxmlformats.org/drawingml/2006/main">
                  <a:graphicData uri="http://schemas.microsoft.com/office/word/2010/wordprocessingShape">
                    <wps:wsp>
                      <wps:cNvSpPr/>
                      <wps:spPr>
                        <a:xfrm>
                          <a:off x="0" y="0"/>
                          <a:ext cx="3938760" cy="2472120"/>
                        </a:xfrm>
                        <a:prstGeom prst="rect">
                          <a:avLst/>
                        </a:prstGeom>
                        <a:solidFill>
                          <a:srgbClr val="ffffff"/>
                        </a:solidFill>
                        <a:ln w="9360">
                          <a:noFill/>
                        </a:ln>
                      </wps:spPr>
                      <wps:style>
                        <a:lnRef idx="0"/>
                        <a:fillRef idx="0"/>
                        <a:effectRef idx="0"/>
                        <a:fontRef idx="minor"/>
                      </wps:style>
                      <wps:txbx>
                        <w:txbxContent>
                          <w:p>
                            <w:pPr>
                              <w:pStyle w:val="FrameContents"/>
                              <w:spacing w:before="80" w:after="60"/>
                              <w:jc w:val="center"/>
                              <w:rPr>
                                <w:bCs w:val="false"/>
                                <w:sz w:val="20"/>
                              </w:rPr>
                            </w:pPr>
                            <w:r>
                              <w:rPr/>
                              <w:drawing>
                                <wp:inline distT="0" distB="0" distL="0" distR="0">
                                  <wp:extent cx="3473450" cy="1968500"/>
                                  <wp:effectExtent l="0" t="0" r="0" b="0"/>
                                  <wp:docPr id="38" name="Chart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art 76" descr=""/>
                                          <pic:cNvPicPr>
                                            <a:picLocks noChangeAspect="1" noChangeArrowheads="1"/>
                                          </pic:cNvPicPr>
                                        </pic:nvPicPr>
                                        <pic:blipFill>
                                          <a:blip r:embed="rId15"/>
                                          <a:stretch>
                                            <a:fillRect/>
                                          </a:stretch>
                                        </pic:blipFill>
                                        <pic:spPr bwMode="auto">
                                          <a:xfrm>
                                            <a:off x="0" y="0"/>
                                            <a:ext cx="3473450" cy="1968500"/>
                                          </a:xfrm>
                                          <a:prstGeom prst="rect">
                                            <a:avLst/>
                                          </a:prstGeom>
                                        </pic:spPr>
                                      </pic:pic>
                                    </a:graphicData>
                                  </a:graphic>
                                </wp:inline>
                              </w:drawing>
                            </w:r>
                          </w:p>
                          <w:p>
                            <w:pPr>
                              <w:pStyle w:val="FrameContents"/>
                              <w:spacing w:before="80" w:after="60"/>
                              <w:jc w:val="center"/>
                              <w:rPr/>
                            </w:pPr>
                            <w:bookmarkStart w:id="1942" w:name="_Toc84599019"/>
                            <w:bookmarkStart w:id="1943" w:name="_Ref68932188"/>
                            <w:r>
                              <w:rPr>
                                <w:bCs w:val="false"/>
                                <w:sz w:val="20"/>
                              </w:rPr>
                              <w:t xml:space="preserve">Figura </w:t>
                            </w:r>
                            <w:r>
                              <w:rPr>
                                <w:bCs w:val="false"/>
                                <w:sz w:val="20"/>
                              </w:rPr>
                              <w:fldChar w:fldCharType="begin"/>
                            </w:r>
                            <w:r>
                              <w:instrText> SEQ Figura \* ARABIC </w:instrText>
                            </w:r>
                            <w:r>
                              <w:fldChar w:fldCharType="separate"/>
                            </w:r>
                            <w:r>
                              <w:t>12</w:t>
                            </w:r>
                            <w:r>
                              <w:fldChar w:fldCharType="end"/>
                            </w:r>
                            <w:bookmarkEnd w:id="1943"/>
                            <w:r>
                              <w:rPr>
                                <w:bCs w:val="false"/>
                                <w:sz w:val="20"/>
                              </w:rPr>
                              <w:t xml:space="preserve">: Media aritmética del indicador </w:t>
                            </w:r>
                            <w:r>
                              <w:rPr>
                                <w:bCs w:val="false"/>
                                <w:i/>
                                <w:sz w:val="20"/>
                              </w:rPr>
                              <w:t>T</w:t>
                            </w:r>
                            <w:r>
                              <w:rPr>
                                <w:bCs w:val="false"/>
                                <w:i/>
                                <w:sz w:val="20"/>
                                <w:vertAlign w:val="subscript"/>
                              </w:rPr>
                              <w:t>3</w:t>
                            </w:r>
                            <w:bookmarkEnd w:id="1942"/>
                            <w:r>
                              <w:rPr>
                                <w:bCs w:val="false"/>
                                <w:sz w:val="20"/>
                              </w:rPr>
                              <w:t>.</w:t>
                            </w:r>
                          </w:p>
                        </w:txbxContent>
                      </wps:txbx>
                      <wps:bodyPr lIns="90000" rIns="90000" tIns="45000" bIns="45000">
                        <a:noAutofit/>
                      </wps:bodyPr>
                    </wps:wsp>
                  </a:graphicData>
                </a:graphic>
              </wp:anchor>
            </w:drawing>
          </mc:Choice>
          <mc:Fallback>
            <w:pict>
              <v:rect id="shape_0" ID="Cuadro de texto 2" fillcolor="white" stroked="f" style="position:absolute;margin-left:115.15pt;margin-top:43.1pt;width:310.1pt;height:194.6pt;mso-position-horizontal-relative:margin" wp14:anchorId="7713D0FC">
                <w10:wrap type="square"/>
                <v:fill o:detectmouseclick="t" type="solid" color2="black"/>
                <v:stroke color="#3465a4" weight="9360" joinstyle="round" endcap="flat"/>
                <v:textbox>
                  <w:txbxContent>
                    <w:p>
                      <w:pPr>
                        <w:pStyle w:val="FrameContents"/>
                        <w:spacing w:before="80" w:after="60"/>
                        <w:jc w:val="center"/>
                        <w:rPr>
                          <w:bCs w:val="false"/>
                          <w:sz w:val="20"/>
                        </w:rPr>
                      </w:pPr>
                      <w:r>
                        <w:rPr/>
                        <w:drawing>
                          <wp:inline distT="0" distB="0" distL="0" distR="0">
                            <wp:extent cx="3473450" cy="1968500"/>
                            <wp:effectExtent l="0" t="0" r="0" b="0"/>
                            <wp:docPr id="39" name="Chart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art 76" descr=""/>
                                    <pic:cNvPicPr>
                                      <a:picLocks noChangeAspect="1" noChangeArrowheads="1"/>
                                    </pic:cNvPicPr>
                                  </pic:nvPicPr>
                                  <pic:blipFill>
                                    <a:blip r:embed="rId15"/>
                                    <a:stretch>
                                      <a:fillRect/>
                                    </a:stretch>
                                  </pic:blipFill>
                                  <pic:spPr bwMode="auto">
                                    <a:xfrm>
                                      <a:off x="0" y="0"/>
                                      <a:ext cx="3473450" cy="1968500"/>
                                    </a:xfrm>
                                    <a:prstGeom prst="rect">
                                      <a:avLst/>
                                    </a:prstGeom>
                                  </pic:spPr>
                                </pic:pic>
                              </a:graphicData>
                            </a:graphic>
                          </wp:inline>
                        </w:drawing>
                      </w:r>
                    </w:p>
                    <w:p>
                      <w:pPr>
                        <w:pStyle w:val="FrameContents"/>
                        <w:spacing w:before="80" w:after="60"/>
                        <w:jc w:val="center"/>
                        <w:rPr/>
                      </w:pPr>
                      <w:bookmarkStart w:id="1944" w:name="_Toc84599019"/>
                      <w:bookmarkStart w:id="1945" w:name="_Ref68932188"/>
                      <w:r>
                        <w:rPr>
                          <w:bCs w:val="false"/>
                          <w:sz w:val="20"/>
                        </w:rPr>
                        <w:t xml:space="preserve">Figura </w:t>
                      </w:r>
                      <w:r>
                        <w:rPr>
                          <w:bCs w:val="false"/>
                          <w:sz w:val="20"/>
                        </w:rPr>
                        <w:fldChar w:fldCharType="begin"/>
                      </w:r>
                      <w:r>
                        <w:instrText> SEQ Figura \* ARABIC </w:instrText>
                      </w:r>
                      <w:r>
                        <w:fldChar w:fldCharType="separate"/>
                      </w:r>
                      <w:r>
                        <w:t>12</w:t>
                      </w:r>
                      <w:r>
                        <w:fldChar w:fldCharType="end"/>
                      </w:r>
                      <w:bookmarkEnd w:id="1945"/>
                      <w:r>
                        <w:rPr>
                          <w:bCs w:val="false"/>
                          <w:sz w:val="20"/>
                        </w:rPr>
                        <w:t xml:space="preserve">: Media aritmética del indicador </w:t>
                      </w:r>
                      <w:r>
                        <w:rPr>
                          <w:bCs w:val="false"/>
                          <w:i/>
                          <w:sz w:val="20"/>
                        </w:rPr>
                        <w:t>T</w:t>
                      </w:r>
                      <w:r>
                        <w:rPr>
                          <w:bCs w:val="false"/>
                          <w:i/>
                          <w:sz w:val="20"/>
                          <w:vertAlign w:val="subscript"/>
                        </w:rPr>
                        <w:t>3</w:t>
                      </w:r>
                      <w:bookmarkEnd w:id="1944"/>
                      <w:r>
                        <w:rPr>
                          <w:bCs w:val="false"/>
                          <w:sz w:val="20"/>
                        </w:rPr>
                        <w:t>.</w:t>
                      </w:r>
                    </w:p>
                  </w:txbxContent>
                </v:textbox>
              </v:rect>
            </w:pict>
          </mc:Fallback>
        </mc:AlternateContent>
      </w:r>
      <w:r>
        <w:rPr>
          <w:lang w:val="en-US"/>
        </w:rPr>
        <w:t xml:space="preserve">La </w:t>
      </w:r>
      <w:r>
        <w:rPr>
          <w:lang w:val="en-US"/>
        </w:rPr>
        <w:fldChar w:fldCharType="begin"/>
      </w:r>
      <w:r>
        <w:instrText> REF _Ref68932188 \h </w:instrText>
      </w:r>
      <w:r>
        <w:fldChar w:fldCharType="separate"/>
      </w:r>
      <w:r>
        <w:t>Figura 12</w:t>
      </w:r>
      <w:r>
        <w:fldChar w:fldCharType="end"/>
      </w:r>
      <w:r>
        <w:rPr>
          <w:lang w:val="en-US"/>
        </w:rPr>
        <w:t xml:space="preserve"> evidencia los resultados de las pruebas estadísticas, donde el algoritmo </w:t>
      </w:r>
      <w:r>
        <w:rPr>
          <w:rFonts w:cs="Courier New" w:ascii="Courier New" w:hAnsi="Courier New"/>
          <w:szCs w:val="20"/>
        </w:rPr>
        <w:t>RST_LDS</w:t>
      </w:r>
      <w:r>
        <w:rPr>
          <w:lang w:val="en-US"/>
        </w:rPr>
        <w:t xml:space="preserve"> obtiene los mejores resultados con la menor dispersión. Mientras que la </w:t>
      </w:r>
    </w:p>
    <w:p>
      <w:pPr>
        <w:pStyle w:val="TablaFigura"/>
        <w:numPr>
          <w:ilvl w:val="0"/>
          <w:numId w:val="2"/>
        </w:numPr>
        <w:ind w:left="431" w:hanging="431"/>
        <w:rPr/>
      </w:pPr>
      <w:r>
        <w:rPr/>
      </w:r>
    </w:p>
    <w:p>
      <w:pPr>
        <w:pStyle w:val="Normal"/>
        <w:rPr/>
      </w:pPr>
      <w:r>
        <w:rPr/>
        <w:fldChar w:fldCharType="begin"/>
      </w:r>
      <w:r>
        <w:instrText> REF _Ref65785616 \h </w:instrText>
      </w:r>
      <w:r>
        <w:fldChar w:fldCharType="separate"/>
      </w:r>
      <w:r/>
      <w:r>
        <w:fldChar w:fldCharType="end"/>
      </w:r>
      <w:r>
        <w:rPr>
          <w:lang w:val="en-US"/>
        </w:rPr>
        <w:t xml:space="preserve"> </w:t>
      </w:r>
      <w:r>
        <w:rPr>
          <w:lang w:val="en-US"/>
        </w:rPr>
        <w:t>muestra el resultado de las pruebas no paramétricas.</w:t>
      </w:r>
    </w:p>
    <w:p>
      <w:pPr>
        <w:pStyle w:val="Normal"/>
        <w:rPr>
          <w:lang w:val="en-US"/>
        </w:rPr>
      </w:pPr>
      <w:r>
        <w:rPr>
          <w:lang w:val="en-US"/>
        </w:rPr>
        <w:t xml:space="preserve">Luego, sin diferencias significativas entre ellos, se ubican los algoritmos </w:t>
      </w:r>
      <w:r>
        <w:rPr>
          <w:rFonts w:cs="Courier New" w:ascii="Courier New" w:hAnsi="Courier New"/>
        </w:rPr>
        <w:t>PCA_LDS</w:t>
      </w:r>
      <w:r>
        <w:rPr>
          <w:lang w:val="en-US"/>
        </w:rPr>
        <w:t xml:space="preserve">, </w:t>
      </w:r>
      <w:r>
        <w:rPr>
          <w:rFonts w:cs="Courier New" w:ascii="Courier New" w:hAnsi="Courier New"/>
          <w:szCs w:val="20"/>
        </w:rPr>
        <w:t>Apriori</w:t>
      </w:r>
      <w:r>
        <w:rPr>
          <w:rFonts w:cs="Courier New" w:ascii="Courier New" w:hAnsi="Courier New"/>
        </w:rPr>
        <w:t>_LDS</w:t>
      </w:r>
      <w:r>
        <w:rPr>
          <w:lang w:val="en-US"/>
        </w:rPr>
        <w:t xml:space="preserve"> y </w:t>
      </w:r>
      <w:r>
        <w:rPr>
          <w:rFonts w:cs="Courier New" w:ascii="Courier New" w:hAnsi="Courier New"/>
          <w:szCs w:val="20"/>
        </w:rPr>
        <w:t>LPA_LDS</w:t>
      </w:r>
      <w:r>
        <w:rPr>
          <w:lang w:val="en-US"/>
        </w:rPr>
        <w:t xml:space="preserve"> en el “grupo B”. </w:t>
      </w:r>
      <w:r>
        <w:rPr>
          <w:rFonts w:cs="Courier New" w:ascii="Courier New" w:hAnsi="Courier New"/>
        </w:rPr>
        <w:t>ACO_LDS</w:t>
      </w:r>
      <w:r>
        <w:rPr>
          <w:lang w:val="en-US"/>
        </w:rPr>
        <w:t xml:space="preserve"> fue el algoritmo de peor resultado, ubicado en el “grupo C”.</w:t>
      </w:r>
    </w:p>
    <w:p>
      <w:pPr>
        <w:pStyle w:val="Normal"/>
        <w:rPr>
          <w:lang w:val="en-US"/>
        </w:rPr>
      </w:pPr>
      <w:r>
        <w:rPr>
          <w:lang w:val="en-US"/>
        </w:rPr>
      </w:r>
    </w:p>
    <w:p>
      <w:pPr>
        <w:pStyle w:val="TablaFigura"/>
        <w:numPr>
          <w:ilvl w:val="0"/>
          <w:numId w:val="2"/>
        </w:numPr>
        <w:ind w:left="431" w:hanging="431"/>
        <w:rPr/>
      </w:pPr>
      <w:bookmarkStart w:id="1946" w:name="_Ref65785616"/>
      <w:bookmarkStart w:id="1947" w:name="_Ref65785616"/>
      <w:r>
        <w:rPr/>
      </w:r>
    </w:p>
    <w:p>
      <w:pPr>
        <w:pStyle w:val="TablaFigura"/>
        <w:numPr>
          <w:ilvl w:val="0"/>
          <w:numId w:val="2"/>
        </w:numPr>
        <w:ind w:left="431" w:hanging="431"/>
        <w:rPr/>
      </w:pPr>
      <w:r>
        <w:rPr/>
      </w:r>
    </w:p>
    <w:p>
      <w:pPr>
        <w:pStyle w:val="TablaFigura"/>
        <w:numPr>
          <w:ilvl w:val="0"/>
          <w:numId w:val="2"/>
        </w:numPr>
        <w:ind w:left="431" w:hanging="431"/>
        <w:rPr/>
      </w:pPr>
      <w:bookmarkStart w:id="1948" w:name="_Toc84598980"/>
      <w:r>
        <w:rPr/>
        <w:t xml:space="preserve">Tabla </w:t>
      </w:r>
      <w:r>
        <w:rPr/>
        <w:fldChar w:fldCharType="begin"/>
      </w:r>
      <w:r>
        <w:instrText> SEQ Tabla \* ARABIC </w:instrText>
      </w:r>
      <w:r>
        <w:fldChar w:fldCharType="separate"/>
      </w:r>
      <w:r>
        <w:t>10</w:t>
      </w:r>
      <w:r>
        <w:fldChar w:fldCharType="end"/>
      </w:r>
      <w:bookmarkEnd w:id="1947"/>
      <w:r>
        <w:rPr/>
        <w:t xml:space="preserve">: Comparación de los algoritmos respecto a la media aritmética del </w:t>
      </w:r>
      <w:r>
        <w:rPr>
          <w:i/>
        </w:rPr>
        <w:t>T</w:t>
      </w:r>
      <w:r>
        <w:rPr>
          <w:i/>
          <w:vertAlign w:val="subscript"/>
        </w:rPr>
        <w:t>3</w:t>
      </w:r>
      <w:bookmarkEnd w:id="1948"/>
      <w:r>
        <w:rPr/>
        <w:t>.</w:t>
      </w:r>
    </w:p>
    <w:p>
      <w:pPr>
        <w:pStyle w:val="Normal"/>
        <w:rPr>
          <w:i/>
          <w:i/>
          <w:lang w:val="en-US"/>
        </w:rPr>
      </w:pPr>
      <w:r>
        <w:rPr>
          <w:i/>
          <w:lang w:val="en-US"/>
        </w:rPr>
        <mc:AlternateContent>
          <mc:Choice Requires="wps">
            <w:drawing>
              <wp:anchor behindDoc="0" distT="0" distB="0" distL="114300" distR="114300" simplePos="0" locked="0" layoutInCell="1" allowOverlap="1" relativeHeight="37">
                <wp:simplePos x="0" y="0"/>
                <wp:positionH relativeFrom="margin">
                  <wp:align>center</wp:align>
                </wp:positionH>
                <wp:positionV relativeFrom="paragraph">
                  <wp:posOffset>35560</wp:posOffset>
                </wp:positionV>
                <wp:extent cx="2105660" cy="1685925"/>
                <wp:effectExtent l="0" t="0" r="0" b="0"/>
                <wp:wrapSquare wrapText="bothSides"/>
                <wp:docPr id="40" name="Frame12"/>
                <a:graphic xmlns:a="http://schemas.openxmlformats.org/drawingml/2006/main">
                  <a:graphicData uri="http://schemas.microsoft.com/office/word/2010/wordprocessingShape">
                    <wps:wsp>
                      <wps:cNvSpPr/>
                      <wps:spPr>
                        <a:xfrm>
                          <a:off x="0" y="0"/>
                          <a:ext cx="2104920" cy="1685160"/>
                        </a:xfrm>
                        <a:prstGeom prst="rect">
                          <a:avLst/>
                        </a:prstGeom>
                        <a:noFill/>
                        <a:ln>
                          <a:noFill/>
                        </a:ln>
                      </wps:spPr>
                      <wps:style>
                        <a:lnRef idx="0"/>
                        <a:fillRef idx="0"/>
                        <a:effectRef idx="0"/>
                        <a:fontRef idx="minor"/>
                      </wps:style>
                      <wps:txbx>
                        <w:txbxContent>
                          <w:tbl>
                            <w:tblPr>
                              <w:tblW w:w="3313" w:type="dxa"/>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1340"/>
                              <w:gridCol w:w="1158"/>
                              <w:gridCol w:w="815"/>
                            </w:tblGrid>
                            <w:tr>
                              <w:trPr>
                                <w:cantSplit w:val="true"/>
                              </w:trPr>
                              <w:tc>
                                <w:tcPr>
                                  <w:tcW w:w="1340"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jc w:val="center"/>
                                    <w:rPr/>
                                  </w:pPr>
                                  <w:bookmarkStart w:id="1949" w:name="__UnoMark__16900_118561941"/>
                                  <w:bookmarkEnd w:id="1949"/>
                                  <w:r>
                                    <w:rPr>
                                      <w:color w:val="00000A"/>
                                      <w:sz w:val="18"/>
                                      <w:szCs w:val="18"/>
                                    </w:rPr>
                                    <w:t>Algoritmos</w:t>
                                  </w:r>
                                </w:p>
                              </w:tc>
                              <w:tc>
                                <w:tcPr>
                                  <w:tcW w:w="1158"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1950" w:name="__UnoMark__16901_118561941"/>
                                  <w:bookmarkEnd w:id="1950"/>
                                  <w:r>
                                    <w:rPr>
                                      <w:color w:val="00000A"/>
                                      <w:sz w:val="18"/>
                                      <w:szCs w:val="18"/>
                                    </w:rPr>
                                    <w:t>Kolmogorov-Smirnov</w:t>
                                  </w:r>
                                  <w:r>
                                    <w:rPr>
                                      <w:color w:val="00000A"/>
                                      <w:sz w:val="18"/>
                                      <w:szCs w:val="18"/>
                                      <w:vertAlign w:val="superscript"/>
                                    </w:rPr>
                                    <w:t>a</w:t>
                                  </w:r>
                                  <w:bookmarkStart w:id="1951" w:name="__UnoMark__16902_118561941"/>
                                  <w:bookmarkEnd w:id="1951"/>
                                  <w:r>
                                    <w:rPr>
                                      <w:color w:val="00000A"/>
                                      <w:sz w:val="18"/>
                                      <w:szCs w:val="18"/>
                                    </w:rPr>
                                    <w:t xml:space="preserve"> Sig.</w:t>
                                  </w:r>
                                </w:p>
                              </w:tc>
                              <w:tc>
                                <w:tcPr>
                                  <w:tcW w:w="815"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1952" w:name="__UnoMark__16904_118561941"/>
                                  <w:bookmarkStart w:id="1953" w:name="__UnoMark__16903_118561941"/>
                                  <w:bookmarkEnd w:id="1952"/>
                                  <w:bookmarkEnd w:id="1953"/>
                                  <w:r>
                                    <w:rPr>
                                      <w:color w:val="00000A"/>
                                      <w:sz w:val="18"/>
                                      <w:szCs w:val="18"/>
                                    </w:rPr>
                                    <w:t>Shapiro-Wilk Sig.</w:t>
                                  </w:r>
                                </w:p>
                              </w:tc>
                            </w:tr>
                            <w:tr>
                              <w:trPr>
                                <w:cantSplit w:val="true"/>
                              </w:trPr>
                              <w:tc>
                                <w:tcPr>
                                  <w:tcW w:w="134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60"/>
                                    <w:ind w:left="60" w:right="60" w:hanging="0"/>
                                    <w:jc w:val="center"/>
                                    <w:rPr/>
                                  </w:pPr>
                                  <w:bookmarkStart w:id="1954" w:name="__UnoMark__16906_118561941"/>
                                  <w:bookmarkStart w:id="1955" w:name="__UnoMark__16905_118561941"/>
                                  <w:bookmarkEnd w:id="1954"/>
                                  <w:bookmarkEnd w:id="1955"/>
                                  <w:r>
                                    <w:rPr>
                                      <w:color w:val="00000A"/>
                                      <w:sz w:val="18"/>
                                      <w:szCs w:val="18"/>
                                    </w:rPr>
                                    <w:t>RST_LDS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956" w:name="__UnoMark__16907_118561941"/>
                                  <w:bookmarkEnd w:id="1956"/>
                                  <w:r>
                                    <w:rPr>
                                      <w:color w:val="00000A"/>
                                      <w:sz w:val="18"/>
                                      <w:szCs w:val="18"/>
                                    </w:rPr>
                                    <w:t>.200</w:t>
                                  </w:r>
                                  <w:bookmarkStart w:id="1957" w:name="__UnoMark__16908_118561941"/>
                                  <w:bookmarkEnd w:id="1957"/>
                                  <w:r>
                                    <w:rPr>
                                      <w:color w:val="00000A"/>
                                      <w:sz w:val="18"/>
                                      <w:szCs w:val="18"/>
                                      <w:vertAlign w:val="superscript"/>
                                    </w:rPr>
                                    <w:t>*</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958" w:name="__UnoMark__16910_118561941"/>
                                  <w:bookmarkStart w:id="1959" w:name="__UnoMark__16909_118561941"/>
                                  <w:bookmarkEnd w:id="1958"/>
                                  <w:bookmarkEnd w:id="1959"/>
                                  <w:r>
                                    <w:rPr>
                                      <w:color w:val="00000A"/>
                                      <w:sz w:val="18"/>
                                      <w:szCs w:val="18"/>
                                    </w:rPr>
                                    <w:t>.024</w:t>
                                  </w:r>
                                </w:p>
                              </w:tc>
                            </w:tr>
                            <w:tr>
                              <w:trPr>
                                <w:cantSplit w:val="true"/>
                              </w:trPr>
                              <w:tc>
                                <w:tcPr>
                                  <w:tcW w:w="134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60"/>
                                    <w:ind w:left="60" w:right="60" w:hanging="0"/>
                                    <w:jc w:val="center"/>
                                    <w:rPr/>
                                  </w:pPr>
                                  <w:bookmarkStart w:id="1960" w:name="__UnoMark__16912_118561941"/>
                                  <w:bookmarkStart w:id="1961" w:name="__UnoMark__16911_118561941"/>
                                  <w:bookmarkEnd w:id="1960"/>
                                  <w:bookmarkEnd w:id="1961"/>
                                  <w:r>
                                    <w:rPr>
                                      <w:color w:val="00000A"/>
                                      <w:sz w:val="18"/>
                                      <w:szCs w:val="18"/>
                                    </w:rPr>
                                    <w:t>LPA_LDS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962" w:name="__UnoMark__16914_118561941"/>
                                  <w:bookmarkStart w:id="1963" w:name="__UnoMark__16913_118561941"/>
                                  <w:bookmarkEnd w:id="1962"/>
                                  <w:bookmarkEnd w:id="1963"/>
                                  <w:r>
                                    <w:rPr>
                                      <w:color w:val="00000A"/>
                                      <w:sz w:val="18"/>
                                      <w:szCs w:val="18"/>
                                    </w:rPr>
                                    <w:t>.000</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964" w:name="__UnoMark__16916_118561941"/>
                                  <w:bookmarkStart w:id="1965" w:name="__UnoMark__16915_118561941"/>
                                  <w:bookmarkEnd w:id="1964"/>
                                  <w:bookmarkEnd w:id="1965"/>
                                  <w:r>
                                    <w:rPr>
                                      <w:color w:val="00000A"/>
                                      <w:sz w:val="18"/>
                                      <w:szCs w:val="18"/>
                                    </w:rPr>
                                    <w:t>.000</w:t>
                                  </w:r>
                                </w:p>
                              </w:tc>
                            </w:tr>
                            <w:tr>
                              <w:trPr>
                                <w:cantSplit w:val="true"/>
                              </w:trPr>
                              <w:tc>
                                <w:tcPr>
                                  <w:tcW w:w="134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60"/>
                                    <w:ind w:left="60" w:right="60" w:hanging="0"/>
                                    <w:jc w:val="center"/>
                                    <w:rPr/>
                                  </w:pPr>
                                  <w:bookmarkStart w:id="1966" w:name="__UnoMark__16918_118561941"/>
                                  <w:bookmarkStart w:id="1967" w:name="__UnoMark__16917_118561941"/>
                                  <w:bookmarkEnd w:id="1966"/>
                                  <w:bookmarkEnd w:id="1967"/>
                                  <w:r>
                                    <w:rPr>
                                      <w:color w:val="00000A"/>
                                      <w:sz w:val="18"/>
                                      <w:szCs w:val="18"/>
                                    </w:rPr>
                                    <w:t>Apriori_LDS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968" w:name="__UnoMark__16920_118561941"/>
                                  <w:bookmarkStart w:id="1969" w:name="__UnoMark__16919_118561941"/>
                                  <w:bookmarkEnd w:id="1968"/>
                                  <w:bookmarkEnd w:id="1969"/>
                                  <w:r>
                                    <w:rPr>
                                      <w:color w:val="00000A"/>
                                      <w:sz w:val="18"/>
                                      <w:szCs w:val="18"/>
                                    </w:rPr>
                                    <w:t>.119</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970" w:name="__UnoMark__16922_118561941"/>
                                  <w:bookmarkStart w:id="1971" w:name="__UnoMark__16921_118561941"/>
                                  <w:bookmarkEnd w:id="1970"/>
                                  <w:bookmarkEnd w:id="1971"/>
                                  <w:r>
                                    <w:rPr>
                                      <w:color w:val="00000A"/>
                                      <w:sz w:val="18"/>
                                      <w:szCs w:val="18"/>
                                    </w:rPr>
                                    <w:t>.080</w:t>
                                  </w:r>
                                </w:p>
                              </w:tc>
                            </w:tr>
                            <w:tr>
                              <w:trPr>
                                <w:cantSplit w:val="true"/>
                              </w:trPr>
                              <w:tc>
                                <w:tcPr>
                                  <w:tcW w:w="134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60"/>
                                    <w:ind w:left="60" w:right="60" w:hanging="0"/>
                                    <w:jc w:val="center"/>
                                    <w:rPr/>
                                  </w:pPr>
                                  <w:bookmarkStart w:id="1972" w:name="__UnoMark__16924_118561941"/>
                                  <w:bookmarkStart w:id="1973" w:name="__UnoMark__16923_118561941"/>
                                  <w:bookmarkEnd w:id="1972"/>
                                  <w:bookmarkEnd w:id="1973"/>
                                  <w:r>
                                    <w:rPr>
                                      <w:color w:val="00000A"/>
                                      <w:sz w:val="18"/>
                                      <w:szCs w:val="18"/>
                                    </w:rPr>
                                    <w:t>ACO_LDS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974" w:name="__UnoMark__16925_118561941"/>
                                  <w:bookmarkEnd w:id="1974"/>
                                  <w:r>
                                    <w:rPr>
                                      <w:color w:val="00000A"/>
                                      <w:sz w:val="18"/>
                                      <w:szCs w:val="18"/>
                                    </w:rPr>
                                    <w:t>.200</w:t>
                                  </w:r>
                                  <w:bookmarkStart w:id="1975" w:name="__UnoMark__16926_118561941"/>
                                  <w:bookmarkEnd w:id="1975"/>
                                  <w:r>
                                    <w:rPr>
                                      <w:color w:val="00000A"/>
                                      <w:sz w:val="18"/>
                                      <w:szCs w:val="18"/>
                                      <w:vertAlign w:val="superscript"/>
                                    </w:rPr>
                                    <w:t>*</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976" w:name="__UnoMark__16928_118561941"/>
                                  <w:bookmarkStart w:id="1977" w:name="__UnoMark__16927_118561941"/>
                                  <w:bookmarkEnd w:id="1976"/>
                                  <w:bookmarkEnd w:id="1977"/>
                                  <w:r>
                                    <w:rPr>
                                      <w:color w:val="00000A"/>
                                      <w:sz w:val="18"/>
                                      <w:szCs w:val="18"/>
                                    </w:rPr>
                                    <w:t>.100</w:t>
                                  </w:r>
                                </w:p>
                              </w:tc>
                            </w:tr>
                            <w:tr>
                              <w:trPr>
                                <w:cantSplit w:val="true"/>
                              </w:trPr>
                              <w:tc>
                                <w:tcPr>
                                  <w:tcW w:w="134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60"/>
                                    <w:ind w:left="60" w:right="60" w:hanging="0"/>
                                    <w:jc w:val="center"/>
                                    <w:rPr/>
                                  </w:pPr>
                                  <w:bookmarkStart w:id="1978" w:name="__UnoMark__16930_118561941"/>
                                  <w:bookmarkStart w:id="1979" w:name="__UnoMark__16929_118561941"/>
                                  <w:bookmarkEnd w:id="1978"/>
                                  <w:bookmarkEnd w:id="1979"/>
                                  <w:r>
                                    <w:rPr>
                                      <w:color w:val="00000A"/>
                                      <w:sz w:val="18"/>
                                      <w:szCs w:val="18"/>
                                    </w:rPr>
                                    <w:t>GA_LDS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980" w:name="__UnoMark__16932_118561941"/>
                                  <w:bookmarkStart w:id="1981" w:name="__UnoMark__16931_118561941"/>
                                  <w:bookmarkEnd w:id="1980"/>
                                  <w:bookmarkEnd w:id="1981"/>
                                  <w:r>
                                    <w:rPr>
                                      <w:color w:val="00000A"/>
                                      <w:sz w:val="18"/>
                                      <w:szCs w:val="18"/>
                                    </w:rPr>
                                    <w:t>.013</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982" w:name="__UnoMark__16934_118561941"/>
                                  <w:bookmarkStart w:id="1983" w:name="__UnoMark__16933_118561941"/>
                                  <w:bookmarkEnd w:id="1982"/>
                                  <w:bookmarkEnd w:id="1983"/>
                                  <w:r>
                                    <w:rPr>
                                      <w:color w:val="00000A"/>
                                      <w:sz w:val="18"/>
                                      <w:szCs w:val="18"/>
                                    </w:rPr>
                                    <w:t>.002</w:t>
                                  </w:r>
                                </w:p>
                              </w:tc>
                            </w:tr>
                            <w:tr>
                              <w:trPr>
                                <w:cantSplit w:val="true"/>
                              </w:trPr>
                              <w:tc>
                                <w:tcPr>
                                  <w:tcW w:w="134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60"/>
                                    <w:ind w:left="60" w:right="60" w:hanging="0"/>
                                    <w:jc w:val="center"/>
                                    <w:rPr/>
                                  </w:pPr>
                                  <w:bookmarkStart w:id="1984" w:name="__UnoMark__16936_118561941"/>
                                  <w:bookmarkStart w:id="1985" w:name="__UnoMark__16935_118561941"/>
                                  <w:bookmarkEnd w:id="1984"/>
                                  <w:bookmarkEnd w:id="1985"/>
                                  <w:r>
                                    <w:rPr>
                                      <w:color w:val="00000A"/>
                                      <w:sz w:val="18"/>
                                      <w:szCs w:val="18"/>
                                    </w:rPr>
                                    <w:t>PCA_LDS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986" w:name="__UnoMark__16938_118561941"/>
                                  <w:bookmarkStart w:id="1987" w:name="__UnoMark__16937_118561941"/>
                                  <w:bookmarkEnd w:id="1986"/>
                                  <w:bookmarkEnd w:id="1987"/>
                                  <w:r>
                                    <w:rPr>
                                      <w:color w:val="00000A"/>
                                      <w:sz w:val="18"/>
                                      <w:szCs w:val="18"/>
                                    </w:rPr>
                                    <w:t>.119</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988" w:name="__UnoMark__16939_118561941"/>
                                  <w:bookmarkEnd w:id="1988"/>
                                  <w:r>
                                    <w:rPr>
                                      <w:color w:val="00000A"/>
                                      <w:sz w:val="18"/>
                                      <w:szCs w:val="18"/>
                                    </w:rPr>
                                    <w:t>.080</w:t>
                                  </w:r>
                                </w:p>
                              </w:tc>
                            </w:tr>
                          </w:tbl>
                          <w:p>
                            <w:pPr>
                              <w:pStyle w:val="FrameContents"/>
                              <w:spacing w:before="80" w:after="60"/>
                              <w:rPr>
                                <w:color w:val="000000"/>
                              </w:rPr>
                            </w:pPr>
                            <w:r>
                              <w:rPr>
                                <w:color w:val="000000"/>
                              </w:rPr>
                            </w:r>
                          </w:p>
                        </w:txbxContent>
                      </wps:txbx>
                      <wps:bodyPr lIns="0" rIns="0" tIns="0" bIns="0">
                        <a:spAutoFit/>
                      </wps:bodyPr>
                    </wps:wsp>
                  </a:graphicData>
                </a:graphic>
              </wp:anchor>
            </w:drawing>
          </mc:Choice>
          <mc:Fallback>
            <w:pict>
              <v:rect id="shape_0" ID="Frame12" stroked="f" style="position:absolute;margin-left:141.55pt;margin-top:2.8pt;width:165.7pt;height:132.65pt;mso-position-horizontal:center;mso-position-horizontal-relative:margin">
                <w10:wrap type="none"/>
                <v:fill o:detectmouseclick="t" on="false"/>
                <v:stroke color="#3465a4" joinstyle="round" endcap="flat"/>
                <v:textbox>
                  <w:txbxContent>
                    <w:tbl>
                      <w:tblPr>
                        <w:tblW w:w="3313" w:type="dxa"/>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1340"/>
                        <w:gridCol w:w="1158"/>
                        <w:gridCol w:w="815"/>
                      </w:tblGrid>
                      <w:tr>
                        <w:trPr>
                          <w:cantSplit w:val="true"/>
                        </w:trPr>
                        <w:tc>
                          <w:tcPr>
                            <w:tcW w:w="1340"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jc w:val="center"/>
                              <w:rPr/>
                            </w:pPr>
                            <w:bookmarkStart w:id="1989" w:name="__UnoMark__16900_118561941"/>
                            <w:bookmarkEnd w:id="1989"/>
                            <w:r>
                              <w:rPr>
                                <w:color w:val="00000A"/>
                                <w:sz w:val="18"/>
                                <w:szCs w:val="18"/>
                              </w:rPr>
                              <w:t>Algoritmos</w:t>
                            </w:r>
                          </w:p>
                        </w:tc>
                        <w:tc>
                          <w:tcPr>
                            <w:tcW w:w="1158"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1990" w:name="__UnoMark__16901_118561941"/>
                            <w:bookmarkEnd w:id="1990"/>
                            <w:r>
                              <w:rPr>
                                <w:color w:val="00000A"/>
                                <w:sz w:val="18"/>
                                <w:szCs w:val="18"/>
                              </w:rPr>
                              <w:t>Kolmogorov-Smirnov</w:t>
                            </w:r>
                            <w:r>
                              <w:rPr>
                                <w:color w:val="00000A"/>
                                <w:sz w:val="18"/>
                                <w:szCs w:val="18"/>
                                <w:vertAlign w:val="superscript"/>
                              </w:rPr>
                              <w:t>a</w:t>
                            </w:r>
                            <w:bookmarkStart w:id="1991" w:name="__UnoMark__16902_118561941"/>
                            <w:bookmarkEnd w:id="1991"/>
                            <w:r>
                              <w:rPr>
                                <w:color w:val="00000A"/>
                                <w:sz w:val="18"/>
                                <w:szCs w:val="18"/>
                              </w:rPr>
                              <w:t xml:space="preserve"> Sig.</w:t>
                            </w:r>
                          </w:p>
                        </w:tc>
                        <w:tc>
                          <w:tcPr>
                            <w:tcW w:w="815"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1992" w:name="__UnoMark__16904_118561941"/>
                            <w:bookmarkStart w:id="1993" w:name="__UnoMark__16903_118561941"/>
                            <w:bookmarkEnd w:id="1992"/>
                            <w:bookmarkEnd w:id="1993"/>
                            <w:r>
                              <w:rPr>
                                <w:color w:val="00000A"/>
                                <w:sz w:val="18"/>
                                <w:szCs w:val="18"/>
                              </w:rPr>
                              <w:t>Shapiro-Wilk Sig.</w:t>
                            </w:r>
                          </w:p>
                        </w:tc>
                      </w:tr>
                      <w:tr>
                        <w:trPr>
                          <w:cantSplit w:val="true"/>
                        </w:trPr>
                        <w:tc>
                          <w:tcPr>
                            <w:tcW w:w="134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60"/>
                              <w:ind w:left="60" w:right="60" w:hanging="0"/>
                              <w:jc w:val="center"/>
                              <w:rPr/>
                            </w:pPr>
                            <w:bookmarkStart w:id="1994" w:name="__UnoMark__16906_118561941"/>
                            <w:bookmarkStart w:id="1995" w:name="__UnoMark__16905_118561941"/>
                            <w:bookmarkEnd w:id="1994"/>
                            <w:bookmarkEnd w:id="1995"/>
                            <w:r>
                              <w:rPr>
                                <w:color w:val="00000A"/>
                                <w:sz w:val="18"/>
                                <w:szCs w:val="18"/>
                              </w:rPr>
                              <w:t>RST_LDS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996" w:name="__UnoMark__16907_118561941"/>
                            <w:bookmarkEnd w:id="1996"/>
                            <w:r>
                              <w:rPr>
                                <w:color w:val="00000A"/>
                                <w:sz w:val="18"/>
                                <w:szCs w:val="18"/>
                              </w:rPr>
                              <w:t>.200</w:t>
                            </w:r>
                            <w:bookmarkStart w:id="1997" w:name="__UnoMark__16908_118561941"/>
                            <w:bookmarkEnd w:id="1997"/>
                            <w:r>
                              <w:rPr>
                                <w:color w:val="00000A"/>
                                <w:sz w:val="18"/>
                                <w:szCs w:val="18"/>
                                <w:vertAlign w:val="superscript"/>
                              </w:rPr>
                              <w:t>*</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1998" w:name="__UnoMark__16910_118561941"/>
                            <w:bookmarkStart w:id="1999" w:name="__UnoMark__16909_118561941"/>
                            <w:bookmarkEnd w:id="1998"/>
                            <w:bookmarkEnd w:id="1999"/>
                            <w:r>
                              <w:rPr>
                                <w:color w:val="00000A"/>
                                <w:sz w:val="18"/>
                                <w:szCs w:val="18"/>
                              </w:rPr>
                              <w:t>.024</w:t>
                            </w:r>
                          </w:p>
                        </w:tc>
                      </w:tr>
                      <w:tr>
                        <w:trPr>
                          <w:cantSplit w:val="true"/>
                        </w:trPr>
                        <w:tc>
                          <w:tcPr>
                            <w:tcW w:w="134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60"/>
                              <w:ind w:left="60" w:right="60" w:hanging="0"/>
                              <w:jc w:val="center"/>
                              <w:rPr/>
                            </w:pPr>
                            <w:bookmarkStart w:id="2000" w:name="__UnoMark__16912_118561941"/>
                            <w:bookmarkStart w:id="2001" w:name="__UnoMark__16911_118561941"/>
                            <w:bookmarkEnd w:id="2000"/>
                            <w:bookmarkEnd w:id="2001"/>
                            <w:r>
                              <w:rPr>
                                <w:color w:val="00000A"/>
                                <w:sz w:val="18"/>
                                <w:szCs w:val="18"/>
                              </w:rPr>
                              <w:t>LPA_LDS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002" w:name="__UnoMark__16914_118561941"/>
                            <w:bookmarkStart w:id="2003" w:name="__UnoMark__16913_118561941"/>
                            <w:bookmarkEnd w:id="2002"/>
                            <w:bookmarkEnd w:id="2003"/>
                            <w:r>
                              <w:rPr>
                                <w:color w:val="00000A"/>
                                <w:sz w:val="18"/>
                                <w:szCs w:val="18"/>
                              </w:rPr>
                              <w:t>.000</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004" w:name="__UnoMark__16916_118561941"/>
                            <w:bookmarkStart w:id="2005" w:name="__UnoMark__16915_118561941"/>
                            <w:bookmarkEnd w:id="2004"/>
                            <w:bookmarkEnd w:id="2005"/>
                            <w:r>
                              <w:rPr>
                                <w:color w:val="00000A"/>
                                <w:sz w:val="18"/>
                                <w:szCs w:val="18"/>
                              </w:rPr>
                              <w:t>.000</w:t>
                            </w:r>
                          </w:p>
                        </w:tc>
                      </w:tr>
                      <w:tr>
                        <w:trPr>
                          <w:cantSplit w:val="true"/>
                        </w:trPr>
                        <w:tc>
                          <w:tcPr>
                            <w:tcW w:w="134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60"/>
                              <w:ind w:left="60" w:right="60" w:hanging="0"/>
                              <w:jc w:val="center"/>
                              <w:rPr/>
                            </w:pPr>
                            <w:bookmarkStart w:id="2006" w:name="__UnoMark__16918_118561941"/>
                            <w:bookmarkStart w:id="2007" w:name="__UnoMark__16917_118561941"/>
                            <w:bookmarkEnd w:id="2006"/>
                            <w:bookmarkEnd w:id="2007"/>
                            <w:r>
                              <w:rPr>
                                <w:color w:val="00000A"/>
                                <w:sz w:val="18"/>
                                <w:szCs w:val="18"/>
                              </w:rPr>
                              <w:t>Apriori_LDS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008" w:name="__UnoMark__16920_118561941"/>
                            <w:bookmarkStart w:id="2009" w:name="__UnoMark__16919_118561941"/>
                            <w:bookmarkEnd w:id="2008"/>
                            <w:bookmarkEnd w:id="2009"/>
                            <w:r>
                              <w:rPr>
                                <w:color w:val="00000A"/>
                                <w:sz w:val="18"/>
                                <w:szCs w:val="18"/>
                              </w:rPr>
                              <w:t>.119</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010" w:name="__UnoMark__16922_118561941"/>
                            <w:bookmarkStart w:id="2011" w:name="__UnoMark__16921_118561941"/>
                            <w:bookmarkEnd w:id="2010"/>
                            <w:bookmarkEnd w:id="2011"/>
                            <w:r>
                              <w:rPr>
                                <w:color w:val="00000A"/>
                                <w:sz w:val="18"/>
                                <w:szCs w:val="18"/>
                              </w:rPr>
                              <w:t>.080</w:t>
                            </w:r>
                          </w:p>
                        </w:tc>
                      </w:tr>
                      <w:tr>
                        <w:trPr>
                          <w:cantSplit w:val="true"/>
                        </w:trPr>
                        <w:tc>
                          <w:tcPr>
                            <w:tcW w:w="134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60"/>
                              <w:ind w:left="60" w:right="60" w:hanging="0"/>
                              <w:jc w:val="center"/>
                              <w:rPr/>
                            </w:pPr>
                            <w:bookmarkStart w:id="2012" w:name="__UnoMark__16924_118561941"/>
                            <w:bookmarkStart w:id="2013" w:name="__UnoMark__16923_118561941"/>
                            <w:bookmarkEnd w:id="2012"/>
                            <w:bookmarkEnd w:id="2013"/>
                            <w:r>
                              <w:rPr>
                                <w:color w:val="00000A"/>
                                <w:sz w:val="18"/>
                                <w:szCs w:val="18"/>
                              </w:rPr>
                              <w:t>ACO_LDS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014" w:name="__UnoMark__16925_118561941"/>
                            <w:bookmarkEnd w:id="2014"/>
                            <w:r>
                              <w:rPr>
                                <w:color w:val="00000A"/>
                                <w:sz w:val="18"/>
                                <w:szCs w:val="18"/>
                              </w:rPr>
                              <w:t>.200</w:t>
                            </w:r>
                            <w:bookmarkStart w:id="2015" w:name="__UnoMark__16926_118561941"/>
                            <w:bookmarkEnd w:id="2015"/>
                            <w:r>
                              <w:rPr>
                                <w:color w:val="00000A"/>
                                <w:sz w:val="18"/>
                                <w:szCs w:val="18"/>
                                <w:vertAlign w:val="superscript"/>
                              </w:rPr>
                              <w:t>*</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016" w:name="__UnoMark__16928_118561941"/>
                            <w:bookmarkStart w:id="2017" w:name="__UnoMark__16927_118561941"/>
                            <w:bookmarkEnd w:id="2016"/>
                            <w:bookmarkEnd w:id="2017"/>
                            <w:r>
                              <w:rPr>
                                <w:color w:val="00000A"/>
                                <w:sz w:val="18"/>
                                <w:szCs w:val="18"/>
                              </w:rPr>
                              <w:t>.100</w:t>
                            </w:r>
                          </w:p>
                        </w:tc>
                      </w:tr>
                      <w:tr>
                        <w:trPr>
                          <w:cantSplit w:val="true"/>
                        </w:trPr>
                        <w:tc>
                          <w:tcPr>
                            <w:tcW w:w="134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60"/>
                              <w:ind w:left="60" w:right="60" w:hanging="0"/>
                              <w:jc w:val="center"/>
                              <w:rPr/>
                            </w:pPr>
                            <w:bookmarkStart w:id="2018" w:name="__UnoMark__16930_118561941"/>
                            <w:bookmarkStart w:id="2019" w:name="__UnoMark__16929_118561941"/>
                            <w:bookmarkEnd w:id="2018"/>
                            <w:bookmarkEnd w:id="2019"/>
                            <w:r>
                              <w:rPr>
                                <w:color w:val="00000A"/>
                                <w:sz w:val="18"/>
                                <w:szCs w:val="18"/>
                              </w:rPr>
                              <w:t>GA_LDS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020" w:name="__UnoMark__16932_118561941"/>
                            <w:bookmarkStart w:id="2021" w:name="__UnoMark__16931_118561941"/>
                            <w:bookmarkEnd w:id="2020"/>
                            <w:bookmarkEnd w:id="2021"/>
                            <w:r>
                              <w:rPr>
                                <w:color w:val="00000A"/>
                                <w:sz w:val="18"/>
                                <w:szCs w:val="18"/>
                              </w:rPr>
                              <w:t>.013</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022" w:name="__UnoMark__16934_118561941"/>
                            <w:bookmarkStart w:id="2023" w:name="__UnoMark__16933_118561941"/>
                            <w:bookmarkEnd w:id="2022"/>
                            <w:bookmarkEnd w:id="2023"/>
                            <w:r>
                              <w:rPr>
                                <w:color w:val="00000A"/>
                                <w:sz w:val="18"/>
                                <w:szCs w:val="18"/>
                              </w:rPr>
                              <w:t>.002</w:t>
                            </w:r>
                          </w:p>
                        </w:tc>
                      </w:tr>
                      <w:tr>
                        <w:trPr>
                          <w:cantSplit w:val="true"/>
                        </w:trPr>
                        <w:tc>
                          <w:tcPr>
                            <w:tcW w:w="134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60"/>
                              <w:ind w:left="60" w:right="60" w:hanging="0"/>
                              <w:jc w:val="center"/>
                              <w:rPr/>
                            </w:pPr>
                            <w:bookmarkStart w:id="2024" w:name="__UnoMark__16936_118561941"/>
                            <w:bookmarkStart w:id="2025" w:name="__UnoMark__16935_118561941"/>
                            <w:bookmarkEnd w:id="2024"/>
                            <w:bookmarkEnd w:id="2025"/>
                            <w:r>
                              <w:rPr>
                                <w:color w:val="00000A"/>
                                <w:sz w:val="18"/>
                                <w:szCs w:val="18"/>
                              </w:rPr>
                              <w:t>PCA_LDS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026" w:name="__UnoMark__16938_118561941"/>
                            <w:bookmarkStart w:id="2027" w:name="__UnoMark__16937_118561941"/>
                            <w:bookmarkEnd w:id="2026"/>
                            <w:bookmarkEnd w:id="2027"/>
                            <w:r>
                              <w:rPr>
                                <w:color w:val="00000A"/>
                                <w:sz w:val="18"/>
                                <w:szCs w:val="18"/>
                              </w:rPr>
                              <w:t>.119</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028" w:name="__UnoMark__16939_118561941"/>
                            <w:bookmarkEnd w:id="2028"/>
                            <w:r>
                              <w:rPr>
                                <w:color w:val="00000A"/>
                                <w:sz w:val="18"/>
                                <w:szCs w:val="18"/>
                              </w:rPr>
                              <w:t>.080</w:t>
                            </w:r>
                          </w:p>
                        </w:tc>
                      </w:tr>
                    </w:tbl>
                    <w:p>
                      <w:pPr>
                        <w:pStyle w:val="FrameContents"/>
                        <w:spacing w:before="80" w:after="60"/>
                        <w:rPr>
                          <w:color w:val="000000"/>
                        </w:rPr>
                      </w:pPr>
                      <w:r>
                        <w:rPr>
                          <w:color w:val="000000"/>
                        </w:rPr>
                      </w:r>
                    </w:p>
                  </w:txbxContent>
                </v:textbox>
              </v:rect>
            </w:pict>
          </mc:Fallback>
        </mc:AlternateContent>
      </w:r>
    </w:p>
    <w:p>
      <w:pPr>
        <w:pStyle w:val="Caption1"/>
        <w:keepNext/>
        <w:rPr/>
      </w:pPr>
      <w:r>
        <w:rPr/>
      </w:r>
    </w:p>
    <w:p>
      <w:pPr>
        <w:pStyle w:val="Normal"/>
        <w:rPr>
          <w:lang w:val="en-US"/>
        </w:rPr>
      </w:pPr>
      <w:r>
        <w:rPr>
          <w:lang w:val="en-US"/>
        </w:rPr>
        <mc:AlternateContent>
          <mc:Choice Requires="wps">
            <w:drawing>
              <wp:anchor behindDoc="0" distT="0" distB="0" distL="114300" distR="114300" simplePos="0" locked="0" layoutInCell="1" allowOverlap="1" relativeHeight="38">
                <wp:simplePos x="0" y="0"/>
                <wp:positionH relativeFrom="margin">
                  <wp:align>center</wp:align>
                </wp:positionH>
                <wp:positionV relativeFrom="paragraph">
                  <wp:posOffset>-83185</wp:posOffset>
                </wp:positionV>
                <wp:extent cx="2882265" cy="2663825"/>
                <wp:effectExtent l="0" t="0" r="0" b="0"/>
                <wp:wrapSquare wrapText="bothSides"/>
                <wp:docPr id="42" name="Frame13"/>
                <a:graphic xmlns:a="http://schemas.openxmlformats.org/drawingml/2006/main">
                  <a:graphicData uri="http://schemas.microsoft.com/office/word/2010/wordprocessingShape">
                    <wps:wsp>
                      <wps:cNvSpPr/>
                      <wps:spPr>
                        <a:xfrm>
                          <a:off x="0" y="0"/>
                          <a:ext cx="2881800" cy="2663280"/>
                        </a:xfrm>
                        <a:prstGeom prst="rect">
                          <a:avLst/>
                        </a:prstGeom>
                        <a:noFill/>
                        <a:ln>
                          <a:noFill/>
                        </a:ln>
                      </wps:spPr>
                      <wps:style>
                        <a:lnRef idx="0"/>
                        <a:fillRef idx="0"/>
                        <a:effectRef idx="0"/>
                        <a:fontRef idx="minor"/>
                      </wps:style>
                      <wps:txbx>
                        <w:txbxContent>
                          <w:tbl>
                            <w:tblPr>
                              <w:tblW w:w="4536" w:type="dxa"/>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2297"/>
                              <w:gridCol w:w="738"/>
                              <w:gridCol w:w="1501"/>
                            </w:tblGrid>
                            <w:tr>
                              <w:trPr>
                                <w:trHeight w:val="390" w:hRule="atLeast"/>
                                <w:cantSplit w:val="true"/>
                              </w:trPr>
                              <w:tc>
                                <w:tcPr>
                                  <w:tcW w:w="229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left"/>
                                    <w:rPr>
                                      <w:color w:val="00000A"/>
                                    </w:rPr>
                                  </w:pPr>
                                  <w:bookmarkStart w:id="2029" w:name="__UnoMark__17006_118561941"/>
                                  <w:bookmarkEnd w:id="2029"/>
                                  <w:r>
                                    <w:rPr>
                                      <w:color w:val="00000A"/>
                                      <w:sz w:val="18"/>
                                      <w:szCs w:val="18"/>
                                      <w:lang w:val="en-US"/>
                                    </w:rPr>
                                    <w:t>Algoritmos</w:t>
                                  </w:r>
                                </w:p>
                              </w:tc>
                              <w:tc>
                                <w:tcPr>
                                  <w:tcW w:w="738"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2030" w:name="__UnoMark__17008_118561941"/>
                                  <w:bookmarkStart w:id="2031" w:name="__UnoMark__17007_118561941"/>
                                  <w:bookmarkEnd w:id="2030"/>
                                  <w:bookmarkEnd w:id="2031"/>
                                  <w:r>
                                    <w:rPr>
                                      <w:color w:val="00000A"/>
                                      <w:sz w:val="18"/>
                                      <w:szCs w:val="18"/>
                                      <w:lang w:val="en-US"/>
                                    </w:rPr>
                                    <w:t>p-value</w:t>
                                  </w:r>
                                </w:p>
                              </w:tc>
                              <w:tc>
                                <w:tcPr>
                                  <w:tcW w:w="150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2032" w:name="__UnoMark__17010_118561941"/>
                                  <w:bookmarkStart w:id="2033" w:name="__UnoMark__17009_118561941"/>
                                  <w:bookmarkEnd w:id="2032"/>
                                  <w:bookmarkEnd w:id="2033"/>
                                  <w:r>
                                    <w:rPr>
                                      <w:color w:val="00000A"/>
                                      <w:sz w:val="18"/>
                                      <w:szCs w:val="18"/>
                                      <w:lang w:val="en-US"/>
                                    </w:rPr>
                                    <w:t>Resultados</w:t>
                                  </w:r>
                                </w:p>
                              </w:tc>
                            </w:tr>
                            <w:tr>
                              <w:trPr>
                                <w:trHeight w:val="379" w:hRule="atLeast"/>
                                <w:cantSplit w:val="true"/>
                              </w:trPr>
                              <w:tc>
                                <w:tcPr>
                                  <w:tcW w:w="229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left"/>
                                    <w:rPr>
                                      <w:color w:val="00000A"/>
                                    </w:rPr>
                                  </w:pPr>
                                  <w:bookmarkStart w:id="2034" w:name="__UnoMark__17011_118561941"/>
                                  <w:bookmarkEnd w:id="2034"/>
                                  <w:r>
                                    <w:rPr>
                                      <w:i/>
                                      <w:color w:val="00000A"/>
                                      <w:sz w:val="18"/>
                                      <w:szCs w:val="18"/>
                                      <w:lang w:val="en-US"/>
                                    </w:rPr>
                                    <w:t>Wilcoxon test</w:t>
                                  </w:r>
                                  <w:r>
                                    <w:rPr>
                                      <w:color w:val="00000A"/>
                                      <w:sz w:val="18"/>
                                      <w:szCs w:val="18"/>
                                      <w:lang w:val="en-US"/>
                                    </w:rPr>
                                    <w:t xml:space="preserve"> (grupo A)</w:t>
                                  </w:r>
                                </w:p>
                                <w:p>
                                  <w:pPr>
                                    <w:pStyle w:val="FrameContents"/>
                                    <w:spacing w:lineRule="auto" w:line="240" w:before="80" w:after="60"/>
                                    <w:jc w:val="left"/>
                                    <w:rPr>
                                      <w:color w:val="00000A"/>
                                    </w:rPr>
                                  </w:pPr>
                                  <w:bookmarkStart w:id="2035" w:name="__UnoMark__17012_118561941"/>
                                  <w:bookmarkEnd w:id="2035"/>
                                  <w:r>
                                    <w:rPr>
                                      <w:color w:val="00000A"/>
                                      <w:sz w:val="18"/>
                                      <w:szCs w:val="18"/>
                                      <w:lang w:val="en-US"/>
                                    </w:rPr>
                                    <w:t xml:space="preserve">RST_LDS - GA_LDS </w:t>
                                  </w:r>
                                </w:p>
                              </w:tc>
                              <w:tc>
                                <w:tcPr>
                                  <w:tcW w:w="738"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2036" w:name="__UnoMark__17014_118561941"/>
                                  <w:bookmarkStart w:id="2037" w:name="__UnoMark__17013_118561941"/>
                                  <w:bookmarkEnd w:id="2036"/>
                                  <w:bookmarkEnd w:id="2037"/>
                                  <w:r>
                                    <w:rPr>
                                      <w:color w:val="00000A"/>
                                      <w:sz w:val="18"/>
                                      <w:szCs w:val="18"/>
                                      <w:lang w:val="en-US"/>
                                    </w:rPr>
                                    <w:t>0.423</w:t>
                                  </w:r>
                                </w:p>
                              </w:tc>
                              <w:tc>
                                <w:tcPr>
                                  <w:tcW w:w="150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2038" w:name="__UnoMark__17016_118561941"/>
                                  <w:bookmarkStart w:id="2039" w:name="__UnoMark__17015_118561941"/>
                                  <w:bookmarkEnd w:id="2038"/>
                                  <w:bookmarkEnd w:id="2039"/>
                                  <w:r>
                                    <w:rPr>
                                      <w:color w:val="00000A"/>
                                      <w:sz w:val="18"/>
                                      <w:szCs w:val="18"/>
                                      <w:lang w:val="en-US"/>
                                    </w:rPr>
                                    <w:t>No hay diferencias significativas</w:t>
                                  </w:r>
                                </w:p>
                              </w:tc>
                            </w:tr>
                            <w:tr>
                              <w:trPr>
                                <w:trHeight w:val="935" w:hRule="atLeast"/>
                                <w:cantSplit w:val="true"/>
                              </w:trPr>
                              <w:tc>
                                <w:tcPr>
                                  <w:tcW w:w="229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left"/>
                                    <w:rPr>
                                      <w:color w:val="00000A"/>
                                    </w:rPr>
                                  </w:pPr>
                                  <w:bookmarkStart w:id="2040" w:name="__UnoMark__17017_118561941"/>
                                  <w:bookmarkEnd w:id="2040"/>
                                  <w:r>
                                    <w:rPr>
                                      <w:i/>
                                      <w:color w:val="00000A"/>
                                      <w:sz w:val="18"/>
                                      <w:szCs w:val="18"/>
                                      <w:lang w:val="en-US"/>
                                    </w:rPr>
                                    <w:t xml:space="preserve">Wilcoxon test </w:t>
                                  </w:r>
                                </w:p>
                                <w:p>
                                  <w:pPr>
                                    <w:pStyle w:val="FrameContents"/>
                                    <w:spacing w:lineRule="auto" w:line="240" w:before="80" w:after="60"/>
                                    <w:jc w:val="left"/>
                                    <w:rPr>
                                      <w:color w:val="00000A"/>
                                    </w:rPr>
                                  </w:pPr>
                                  <w:bookmarkStart w:id="2041" w:name="__UnoMark__17018_118561941"/>
                                  <w:bookmarkEnd w:id="2041"/>
                                  <w:r>
                                    <w:rPr>
                                      <w:color w:val="00000A"/>
                                      <w:sz w:val="18"/>
                                      <w:szCs w:val="18"/>
                                    </w:rPr>
                                    <w:t>RST_LDS (grupo A) – PCA_LDS (grupo B)</w:t>
                                  </w:r>
                                </w:p>
                              </w:tc>
                              <w:tc>
                                <w:tcPr>
                                  <w:tcW w:w="738"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80" w:after="60"/>
                                    <w:jc w:val="center"/>
                                    <w:rPr>
                                      <w:color w:val="00000A"/>
                                    </w:rPr>
                                  </w:pPr>
                                  <w:bookmarkStart w:id="2042" w:name="__UnoMark__17020_118561941"/>
                                  <w:bookmarkStart w:id="2043" w:name="__UnoMark__17019_118561941"/>
                                  <w:bookmarkEnd w:id="2042"/>
                                  <w:bookmarkEnd w:id="2043"/>
                                  <w:r>
                                    <w:rPr>
                                      <w:color w:val="00000A"/>
                                      <w:sz w:val="18"/>
                                      <w:szCs w:val="18"/>
                                      <w:lang w:val="en-US"/>
                                    </w:rPr>
                                    <w:t>0.004</w:t>
                                  </w:r>
                                </w:p>
                              </w:tc>
                              <w:tc>
                                <w:tcPr>
                                  <w:tcW w:w="150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2044" w:name="__UnoMark__17022_118561941"/>
                                  <w:bookmarkStart w:id="2045" w:name="__UnoMark__17021_118561941"/>
                                  <w:bookmarkEnd w:id="2044"/>
                                  <w:bookmarkEnd w:id="2045"/>
                                  <w:r>
                                    <w:rPr>
                                      <w:color w:val="00000A"/>
                                      <w:sz w:val="18"/>
                                      <w:szCs w:val="18"/>
                                      <w:lang w:val="en-US"/>
                                    </w:rPr>
                                    <w:t>Hay diferencias significativas</w:t>
                                  </w:r>
                                </w:p>
                              </w:tc>
                            </w:tr>
                            <w:tr>
                              <w:trPr>
                                <w:trHeight w:val="947" w:hRule="atLeast"/>
                                <w:cantSplit w:val="true"/>
                              </w:trPr>
                              <w:tc>
                                <w:tcPr>
                                  <w:tcW w:w="229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left"/>
                                    <w:rPr>
                                      <w:color w:val="00000A"/>
                                    </w:rPr>
                                  </w:pPr>
                                  <w:bookmarkStart w:id="2046" w:name="__UnoMark__17023_118561941"/>
                                  <w:bookmarkEnd w:id="2046"/>
                                  <w:r>
                                    <w:rPr>
                                      <w:i/>
                                      <w:color w:val="00000A"/>
                                      <w:sz w:val="18"/>
                                      <w:szCs w:val="18"/>
                                      <w:lang w:val="en-US"/>
                                    </w:rPr>
                                    <w:t>Wilcoxon test</w:t>
                                  </w:r>
                                  <w:r>
                                    <w:rPr>
                                      <w:color w:val="00000A"/>
                                      <w:sz w:val="18"/>
                                      <w:szCs w:val="18"/>
                                      <w:lang w:val="en-US"/>
                                    </w:rPr>
                                    <w:t xml:space="preserve"> (grupo B) </w:t>
                                  </w:r>
                                </w:p>
                                <w:p>
                                  <w:pPr>
                                    <w:pStyle w:val="FrameContents"/>
                                    <w:spacing w:lineRule="auto" w:line="240"/>
                                    <w:jc w:val="left"/>
                                    <w:rPr>
                                      <w:color w:val="00000A"/>
                                    </w:rPr>
                                  </w:pPr>
                                  <w:r>
                                    <w:rPr>
                                      <w:color w:val="00000A"/>
                                      <w:sz w:val="18"/>
                                      <w:szCs w:val="18"/>
                                      <w:lang w:val="en-US"/>
                                    </w:rPr>
                                    <w:t>PCA_LDS - Apriori_LDS</w:t>
                                  </w:r>
                                </w:p>
                                <w:p>
                                  <w:pPr>
                                    <w:pStyle w:val="FrameContents"/>
                                    <w:spacing w:lineRule="auto" w:line="240" w:before="80" w:after="60"/>
                                    <w:jc w:val="left"/>
                                    <w:rPr>
                                      <w:color w:val="00000A"/>
                                    </w:rPr>
                                  </w:pPr>
                                  <w:bookmarkStart w:id="2047" w:name="__UnoMark__17024_118561941"/>
                                  <w:bookmarkEnd w:id="2047"/>
                                  <w:r>
                                    <w:rPr>
                                      <w:color w:val="00000A"/>
                                      <w:sz w:val="18"/>
                                      <w:szCs w:val="18"/>
                                      <w:lang w:val="en-US"/>
                                    </w:rPr>
                                    <w:t xml:space="preserve">PCA_LDS - LPA_LDS </w:t>
                                  </w:r>
                                </w:p>
                              </w:tc>
                              <w:tc>
                                <w:tcPr>
                                  <w:tcW w:w="738"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sz w:val="18"/>
                                      <w:szCs w:val="18"/>
                                      <w:lang w:val="en-US"/>
                                    </w:rPr>
                                  </w:pPr>
                                  <w:bookmarkStart w:id="2048" w:name="__UnoMark__17025_118561941"/>
                                  <w:bookmarkStart w:id="2049" w:name="__UnoMark__17025_118561941"/>
                                  <w:bookmarkEnd w:id="2049"/>
                                  <w:r>
                                    <w:rPr>
                                      <w:color w:val="00000A"/>
                                      <w:sz w:val="18"/>
                                      <w:szCs w:val="18"/>
                                      <w:lang w:val="en-US"/>
                                    </w:rPr>
                                  </w:r>
                                </w:p>
                                <w:p>
                                  <w:pPr>
                                    <w:pStyle w:val="FrameContents"/>
                                    <w:spacing w:lineRule="auto" w:line="240"/>
                                    <w:jc w:val="center"/>
                                    <w:rPr>
                                      <w:color w:val="00000A"/>
                                    </w:rPr>
                                  </w:pPr>
                                  <w:r>
                                    <w:rPr>
                                      <w:color w:val="00000A"/>
                                      <w:sz w:val="18"/>
                                      <w:szCs w:val="18"/>
                                      <w:lang w:val="en-US"/>
                                    </w:rPr>
                                    <w:t>1.000</w:t>
                                  </w:r>
                                </w:p>
                                <w:p>
                                  <w:pPr>
                                    <w:pStyle w:val="FrameContents"/>
                                    <w:spacing w:lineRule="auto" w:line="240" w:before="80" w:after="60"/>
                                    <w:jc w:val="center"/>
                                    <w:rPr>
                                      <w:color w:val="00000A"/>
                                    </w:rPr>
                                  </w:pPr>
                                  <w:bookmarkStart w:id="2050" w:name="__UnoMark__17026_118561941"/>
                                  <w:bookmarkEnd w:id="2050"/>
                                  <w:r>
                                    <w:rPr>
                                      <w:color w:val="00000A"/>
                                      <w:sz w:val="18"/>
                                      <w:szCs w:val="18"/>
                                      <w:lang w:val="en-US"/>
                                    </w:rPr>
                                    <w:t>1.000</w:t>
                                  </w:r>
                                </w:p>
                              </w:tc>
                              <w:tc>
                                <w:tcPr>
                                  <w:tcW w:w="150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2051" w:name="__UnoMark__17028_118561941"/>
                                  <w:bookmarkStart w:id="2052" w:name="__UnoMark__17027_118561941"/>
                                  <w:bookmarkEnd w:id="2051"/>
                                  <w:bookmarkEnd w:id="2052"/>
                                  <w:r>
                                    <w:rPr>
                                      <w:color w:val="00000A"/>
                                      <w:sz w:val="18"/>
                                      <w:szCs w:val="18"/>
                                      <w:lang w:val="en-US"/>
                                    </w:rPr>
                                    <w:t>No hay diferencias significativas</w:t>
                                  </w:r>
                                </w:p>
                              </w:tc>
                            </w:tr>
                            <w:tr>
                              <w:trPr>
                                <w:trHeight w:val="947" w:hRule="atLeast"/>
                                <w:cantSplit w:val="true"/>
                              </w:trPr>
                              <w:tc>
                                <w:tcPr>
                                  <w:tcW w:w="229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left"/>
                                    <w:rPr>
                                      <w:color w:val="00000A"/>
                                    </w:rPr>
                                  </w:pPr>
                                  <w:bookmarkStart w:id="2053" w:name="__UnoMark__17029_118561941"/>
                                  <w:bookmarkEnd w:id="2053"/>
                                  <w:r>
                                    <w:rPr>
                                      <w:i/>
                                      <w:color w:val="00000A"/>
                                      <w:sz w:val="18"/>
                                      <w:szCs w:val="18"/>
                                    </w:rPr>
                                    <w:t xml:space="preserve">Wilcoxon test </w:t>
                                  </w:r>
                                </w:p>
                                <w:p>
                                  <w:pPr>
                                    <w:pStyle w:val="FrameContents"/>
                                    <w:spacing w:lineRule="auto" w:line="240" w:before="80" w:after="60"/>
                                    <w:jc w:val="left"/>
                                    <w:rPr>
                                      <w:color w:val="00000A"/>
                                    </w:rPr>
                                  </w:pPr>
                                  <w:bookmarkStart w:id="2054" w:name="__UnoMark__17030_118561941"/>
                                  <w:bookmarkEnd w:id="2054"/>
                                  <w:r>
                                    <w:rPr>
                                      <w:color w:val="00000A"/>
                                      <w:sz w:val="18"/>
                                      <w:szCs w:val="18"/>
                                    </w:rPr>
                                    <w:t>PCA_LDS (grupo B) – ACO_LDS (grupo C)</w:t>
                                  </w:r>
                                </w:p>
                              </w:tc>
                              <w:tc>
                                <w:tcPr>
                                  <w:tcW w:w="738"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80" w:after="60"/>
                                    <w:jc w:val="center"/>
                                    <w:rPr>
                                      <w:color w:val="00000A"/>
                                    </w:rPr>
                                  </w:pPr>
                                  <w:bookmarkStart w:id="2055" w:name="__UnoMark__17032_118561941"/>
                                  <w:bookmarkStart w:id="2056" w:name="__UnoMark__17031_118561941"/>
                                  <w:bookmarkEnd w:id="2055"/>
                                  <w:bookmarkEnd w:id="2056"/>
                                  <w:r>
                                    <w:rPr>
                                      <w:color w:val="00000A"/>
                                      <w:sz w:val="18"/>
                                      <w:szCs w:val="18"/>
                                      <w:lang w:val="en-US"/>
                                    </w:rPr>
                                    <w:t>0.002</w:t>
                                  </w:r>
                                </w:p>
                              </w:tc>
                              <w:tc>
                                <w:tcPr>
                                  <w:tcW w:w="150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2057" w:name="__UnoMark__17033_118561941"/>
                                  <w:bookmarkEnd w:id="2057"/>
                                  <w:r>
                                    <w:rPr>
                                      <w:color w:val="00000A"/>
                                      <w:sz w:val="18"/>
                                      <w:szCs w:val="18"/>
                                      <w:lang w:val="en-US"/>
                                    </w:rPr>
                                    <w:t>Hay diferencias significativas</w:t>
                                  </w:r>
                                </w:p>
                              </w:tc>
                            </w:tr>
                          </w:tbl>
                          <w:p>
                            <w:pPr>
                              <w:pStyle w:val="FrameContents"/>
                              <w:spacing w:before="80" w:after="60"/>
                              <w:rPr>
                                <w:color w:val="000000"/>
                              </w:rPr>
                            </w:pPr>
                            <w:r>
                              <w:rPr>
                                <w:color w:val="000000"/>
                              </w:rPr>
                            </w:r>
                          </w:p>
                        </w:txbxContent>
                      </wps:txbx>
                      <wps:bodyPr lIns="0" rIns="0" tIns="0" bIns="0">
                        <a:spAutoFit/>
                      </wps:bodyPr>
                    </wps:wsp>
                  </a:graphicData>
                </a:graphic>
              </wp:anchor>
            </w:drawing>
          </mc:Choice>
          <mc:Fallback>
            <w:pict>
              <v:rect id="shape_0" ID="Frame13" stroked="f" style="position:absolute;margin-left:111pt;margin-top:-6.55pt;width:226.85pt;height:209.65pt;mso-position-horizontal:center;mso-position-horizontal-relative:margin">
                <w10:wrap type="none"/>
                <v:fill o:detectmouseclick="t" on="false"/>
                <v:stroke color="#3465a4" joinstyle="round" endcap="flat"/>
                <v:textbox>
                  <w:txbxContent>
                    <w:tbl>
                      <w:tblPr>
                        <w:tblW w:w="4536" w:type="dxa"/>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2297"/>
                        <w:gridCol w:w="738"/>
                        <w:gridCol w:w="1501"/>
                      </w:tblGrid>
                      <w:tr>
                        <w:trPr>
                          <w:trHeight w:val="390" w:hRule="atLeast"/>
                          <w:cantSplit w:val="true"/>
                        </w:trPr>
                        <w:tc>
                          <w:tcPr>
                            <w:tcW w:w="229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left"/>
                              <w:rPr>
                                <w:color w:val="00000A"/>
                              </w:rPr>
                            </w:pPr>
                            <w:bookmarkStart w:id="2058" w:name="__UnoMark__17006_118561941"/>
                            <w:bookmarkEnd w:id="2058"/>
                            <w:r>
                              <w:rPr>
                                <w:color w:val="00000A"/>
                                <w:sz w:val="18"/>
                                <w:szCs w:val="18"/>
                                <w:lang w:val="en-US"/>
                              </w:rPr>
                              <w:t>Algoritmos</w:t>
                            </w:r>
                          </w:p>
                        </w:tc>
                        <w:tc>
                          <w:tcPr>
                            <w:tcW w:w="738"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2059" w:name="__UnoMark__17008_118561941"/>
                            <w:bookmarkStart w:id="2060" w:name="__UnoMark__17007_118561941"/>
                            <w:bookmarkEnd w:id="2059"/>
                            <w:bookmarkEnd w:id="2060"/>
                            <w:r>
                              <w:rPr>
                                <w:color w:val="00000A"/>
                                <w:sz w:val="18"/>
                                <w:szCs w:val="18"/>
                                <w:lang w:val="en-US"/>
                              </w:rPr>
                              <w:t>p-value</w:t>
                            </w:r>
                          </w:p>
                        </w:tc>
                        <w:tc>
                          <w:tcPr>
                            <w:tcW w:w="150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2061" w:name="__UnoMark__17010_118561941"/>
                            <w:bookmarkStart w:id="2062" w:name="__UnoMark__17009_118561941"/>
                            <w:bookmarkEnd w:id="2061"/>
                            <w:bookmarkEnd w:id="2062"/>
                            <w:r>
                              <w:rPr>
                                <w:color w:val="00000A"/>
                                <w:sz w:val="18"/>
                                <w:szCs w:val="18"/>
                                <w:lang w:val="en-US"/>
                              </w:rPr>
                              <w:t>Resultados</w:t>
                            </w:r>
                          </w:p>
                        </w:tc>
                      </w:tr>
                      <w:tr>
                        <w:trPr>
                          <w:trHeight w:val="379" w:hRule="atLeast"/>
                          <w:cantSplit w:val="true"/>
                        </w:trPr>
                        <w:tc>
                          <w:tcPr>
                            <w:tcW w:w="229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left"/>
                              <w:rPr>
                                <w:color w:val="00000A"/>
                              </w:rPr>
                            </w:pPr>
                            <w:bookmarkStart w:id="2063" w:name="__UnoMark__17011_118561941"/>
                            <w:bookmarkEnd w:id="2063"/>
                            <w:r>
                              <w:rPr>
                                <w:i/>
                                <w:color w:val="00000A"/>
                                <w:sz w:val="18"/>
                                <w:szCs w:val="18"/>
                                <w:lang w:val="en-US"/>
                              </w:rPr>
                              <w:t>Wilcoxon test</w:t>
                            </w:r>
                            <w:r>
                              <w:rPr>
                                <w:color w:val="00000A"/>
                                <w:sz w:val="18"/>
                                <w:szCs w:val="18"/>
                                <w:lang w:val="en-US"/>
                              </w:rPr>
                              <w:t xml:space="preserve"> (grupo A)</w:t>
                            </w:r>
                          </w:p>
                          <w:p>
                            <w:pPr>
                              <w:pStyle w:val="FrameContents"/>
                              <w:spacing w:lineRule="auto" w:line="240" w:before="80" w:after="60"/>
                              <w:jc w:val="left"/>
                              <w:rPr>
                                <w:color w:val="00000A"/>
                              </w:rPr>
                            </w:pPr>
                            <w:bookmarkStart w:id="2064" w:name="__UnoMark__17012_118561941"/>
                            <w:bookmarkEnd w:id="2064"/>
                            <w:r>
                              <w:rPr>
                                <w:color w:val="00000A"/>
                                <w:sz w:val="18"/>
                                <w:szCs w:val="18"/>
                                <w:lang w:val="en-US"/>
                              </w:rPr>
                              <w:t xml:space="preserve">RST_LDS - GA_LDS </w:t>
                            </w:r>
                          </w:p>
                        </w:tc>
                        <w:tc>
                          <w:tcPr>
                            <w:tcW w:w="738"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2065" w:name="__UnoMark__17014_118561941"/>
                            <w:bookmarkStart w:id="2066" w:name="__UnoMark__17013_118561941"/>
                            <w:bookmarkEnd w:id="2065"/>
                            <w:bookmarkEnd w:id="2066"/>
                            <w:r>
                              <w:rPr>
                                <w:color w:val="00000A"/>
                                <w:sz w:val="18"/>
                                <w:szCs w:val="18"/>
                                <w:lang w:val="en-US"/>
                              </w:rPr>
                              <w:t>0.423</w:t>
                            </w:r>
                          </w:p>
                        </w:tc>
                        <w:tc>
                          <w:tcPr>
                            <w:tcW w:w="150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2067" w:name="__UnoMark__17016_118561941"/>
                            <w:bookmarkStart w:id="2068" w:name="__UnoMark__17015_118561941"/>
                            <w:bookmarkEnd w:id="2067"/>
                            <w:bookmarkEnd w:id="2068"/>
                            <w:r>
                              <w:rPr>
                                <w:color w:val="00000A"/>
                                <w:sz w:val="18"/>
                                <w:szCs w:val="18"/>
                                <w:lang w:val="en-US"/>
                              </w:rPr>
                              <w:t>No hay diferencias significativas</w:t>
                            </w:r>
                          </w:p>
                        </w:tc>
                      </w:tr>
                      <w:tr>
                        <w:trPr>
                          <w:trHeight w:val="935" w:hRule="atLeast"/>
                          <w:cantSplit w:val="true"/>
                        </w:trPr>
                        <w:tc>
                          <w:tcPr>
                            <w:tcW w:w="229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left"/>
                              <w:rPr>
                                <w:color w:val="00000A"/>
                              </w:rPr>
                            </w:pPr>
                            <w:bookmarkStart w:id="2069" w:name="__UnoMark__17017_118561941"/>
                            <w:bookmarkEnd w:id="2069"/>
                            <w:r>
                              <w:rPr>
                                <w:i/>
                                <w:color w:val="00000A"/>
                                <w:sz w:val="18"/>
                                <w:szCs w:val="18"/>
                                <w:lang w:val="en-US"/>
                              </w:rPr>
                              <w:t xml:space="preserve">Wilcoxon test </w:t>
                            </w:r>
                          </w:p>
                          <w:p>
                            <w:pPr>
                              <w:pStyle w:val="FrameContents"/>
                              <w:spacing w:lineRule="auto" w:line="240" w:before="80" w:after="60"/>
                              <w:jc w:val="left"/>
                              <w:rPr>
                                <w:color w:val="00000A"/>
                              </w:rPr>
                            </w:pPr>
                            <w:bookmarkStart w:id="2070" w:name="__UnoMark__17018_118561941"/>
                            <w:bookmarkEnd w:id="2070"/>
                            <w:r>
                              <w:rPr>
                                <w:color w:val="00000A"/>
                                <w:sz w:val="18"/>
                                <w:szCs w:val="18"/>
                              </w:rPr>
                              <w:t>RST_LDS (grupo A) – PCA_LDS (grupo B)</w:t>
                            </w:r>
                          </w:p>
                        </w:tc>
                        <w:tc>
                          <w:tcPr>
                            <w:tcW w:w="738"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80" w:after="60"/>
                              <w:jc w:val="center"/>
                              <w:rPr>
                                <w:color w:val="00000A"/>
                              </w:rPr>
                            </w:pPr>
                            <w:bookmarkStart w:id="2071" w:name="__UnoMark__17020_118561941"/>
                            <w:bookmarkStart w:id="2072" w:name="__UnoMark__17019_118561941"/>
                            <w:bookmarkEnd w:id="2071"/>
                            <w:bookmarkEnd w:id="2072"/>
                            <w:r>
                              <w:rPr>
                                <w:color w:val="00000A"/>
                                <w:sz w:val="18"/>
                                <w:szCs w:val="18"/>
                                <w:lang w:val="en-US"/>
                              </w:rPr>
                              <w:t>0.004</w:t>
                            </w:r>
                          </w:p>
                        </w:tc>
                        <w:tc>
                          <w:tcPr>
                            <w:tcW w:w="150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2073" w:name="__UnoMark__17022_118561941"/>
                            <w:bookmarkStart w:id="2074" w:name="__UnoMark__17021_118561941"/>
                            <w:bookmarkEnd w:id="2073"/>
                            <w:bookmarkEnd w:id="2074"/>
                            <w:r>
                              <w:rPr>
                                <w:color w:val="00000A"/>
                                <w:sz w:val="18"/>
                                <w:szCs w:val="18"/>
                                <w:lang w:val="en-US"/>
                              </w:rPr>
                              <w:t>Hay diferencias significativas</w:t>
                            </w:r>
                          </w:p>
                        </w:tc>
                      </w:tr>
                      <w:tr>
                        <w:trPr>
                          <w:trHeight w:val="947" w:hRule="atLeast"/>
                          <w:cantSplit w:val="true"/>
                        </w:trPr>
                        <w:tc>
                          <w:tcPr>
                            <w:tcW w:w="229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left"/>
                              <w:rPr>
                                <w:color w:val="00000A"/>
                              </w:rPr>
                            </w:pPr>
                            <w:bookmarkStart w:id="2075" w:name="__UnoMark__17023_118561941"/>
                            <w:bookmarkEnd w:id="2075"/>
                            <w:r>
                              <w:rPr>
                                <w:i/>
                                <w:color w:val="00000A"/>
                                <w:sz w:val="18"/>
                                <w:szCs w:val="18"/>
                                <w:lang w:val="en-US"/>
                              </w:rPr>
                              <w:t>Wilcoxon test</w:t>
                            </w:r>
                            <w:r>
                              <w:rPr>
                                <w:color w:val="00000A"/>
                                <w:sz w:val="18"/>
                                <w:szCs w:val="18"/>
                                <w:lang w:val="en-US"/>
                              </w:rPr>
                              <w:t xml:space="preserve"> (grupo B) </w:t>
                            </w:r>
                          </w:p>
                          <w:p>
                            <w:pPr>
                              <w:pStyle w:val="FrameContents"/>
                              <w:spacing w:lineRule="auto" w:line="240"/>
                              <w:jc w:val="left"/>
                              <w:rPr>
                                <w:color w:val="00000A"/>
                              </w:rPr>
                            </w:pPr>
                            <w:r>
                              <w:rPr>
                                <w:color w:val="00000A"/>
                                <w:sz w:val="18"/>
                                <w:szCs w:val="18"/>
                                <w:lang w:val="en-US"/>
                              </w:rPr>
                              <w:t>PCA_LDS - Apriori_LDS</w:t>
                            </w:r>
                          </w:p>
                          <w:p>
                            <w:pPr>
                              <w:pStyle w:val="FrameContents"/>
                              <w:spacing w:lineRule="auto" w:line="240" w:before="80" w:after="60"/>
                              <w:jc w:val="left"/>
                              <w:rPr>
                                <w:color w:val="00000A"/>
                              </w:rPr>
                            </w:pPr>
                            <w:bookmarkStart w:id="2076" w:name="__UnoMark__17024_118561941"/>
                            <w:bookmarkEnd w:id="2076"/>
                            <w:r>
                              <w:rPr>
                                <w:color w:val="00000A"/>
                                <w:sz w:val="18"/>
                                <w:szCs w:val="18"/>
                                <w:lang w:val="en-US"/>
                              </w:rPr>
                              <w:t xml:space="preserve">PCA_LDS - LPA_LDS </w:t>
                            </w:r>
                          </w:p>
                        </w:tc>
                        <w:tc>
                          <w:tcPr>
                            <w:tcW w:w="738"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sz w:val="18"/>
                                <w:szCs w:val="18"/>
                                <w:lang w:val="en-US"/>
                              </w:rPr>
                            </w:pPr>
                            <w:bookmarkStart w:id="2077" w:name="__UnoMark__17025_118561941"/>
                            <w:bookmarkStart w:id="2078" w:name="__UnoMark__17025_118561941"/>
                            <w:bookmarkEnd w:id="2078"/>
                            <w:r>
                              <w:rPr>
                                <w:color w:val="00000A"/>
                                <w:sz w:val="18"/>
                                <w:szCs w:val="18"/>
                                <w:lang w:val="en-US"/>
                              </w:rPr>
                            </w:r>
                          </w:p>
                          <w:p>
                            <w:pPr>
                              <w:pStyle w:val="FrameContents"/>
                              <w:spacing w:lineRule="auto" w:line="240"/>
                              <w:jc w:val="center"/>
                              <w:rPr>
                                <w:color w:val="00000A"/>
                              </w:rPr>
                            </w:pPr>
                            <w:r>
                              <w:rPr>
                                <w:color w:val="00000A"/>
                                <w:sz w:val="18"/>
                                <w:szCs w:val="18"/>
                                <w:lang w:val="en-US"/>
                              </w:rPr>
                              <w:t>1.000</w:t>
                            </w:r>
                          </w:p>
                          <w:p>
                            <w:pPr>
                              <w:pStyle w:val="FrameContents"/>
                              <w:spacing w:lineRule="auto" w:line="240" w:before="80" w:after="60"/>
                              <w:jc w:val="center"/>
                              <w:rPr>
                                <w:color w:val="00000A"/>
                              </w:rPr>
                            </w:pPr>
                            <w:bookmarkStart w:id="2079" w:name="__UnoMark__17026_118561941"/>
                            <w:bookmarkEnd w:id="2079"/>
                            <w:r>
                              <w:rPr>
                                <w:color w:val="00000A"/>
                                <w:sz w:val="18"/>
                                <w:szCs w:val="18"/>
                                <w:lang w:val="en-US"/>
                              </w:rPr>
                              <w:t>1.000</w:t>
                            </w:r>
                          </w:p>
                        </w:tc>
                        <w:tc>
                          <w:tcPr>
                            <w:tcW w:w="150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2080" w:name="__UnoMark__17028_118561941"/>
                            <w:bookmarkStart w:id="2081" w:name="__UnoMark__17027_118561941"/>
                            <w:bookmarkEnd w:id="2080"/>
                            <w:bookmarkEnd w:id="2081"/>
                            <w:r>
                              <w:rPr>
                                <w:color w:val="00000A"/>
                                <w:sz w:val="18"/>
                                <w:szCs w:val="18"/>
                                <w:lang w:val="en-US"/>
                              </w:rPr>
                              <w:t>No hay diferencias significativas</w:t>
                            </w:r>
                          </w:p>
                        </w:tc>
                      </w:tr>
                      <w:tr>
                        <w:trPr>
                          <w:trHeight w:val="947" w:hRule="atLeast"/>
                          <w:cantSplit w:val="true"/>
                        </w:trPr>
                        <w:tc>
                          <w:tcPr>
                            <w:tcW w:w="229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left"/>
                              <w:rPr>
                                <w:color w:val="00000A"/>
                              </w:rPr>
                            </w:pPr>
                            <w:bookmarkStart w:id="2082" w:name="__UnoMark__17029_118561941"/>
                            <w:bookmarkEnd w:id="2082"/>
                            <w:r>
                              <w:rPr>
                                <w:i/>
                                <w:color w:val="00000A"/>
                                <w:sz w:val="18"/>
                                <w:szCs w:val="18"/>
                              </w:rPr>
                              <w:t xml:space="preserve">Wilcoxon test </w:t>
                            </w:r>
                          </w:p>
                          <w:p>
                            <w:pPr>
                              <w:pStyle w:val="FrameContents"/>
                              <w:spacing w:lineRule="auto" w:line="240" w:before="80" w:after="60"/>
                              <w:jc w:val="left"/>
                              <w:rPr>
                                <w:color w:val="00000A"/>
                              </w:rPr>
                            </w:pPr>
                            <w:bookmarkStart w:id="2083" w:name="__UnoMark__17030_118561941"/>
                            <w:bookmarkEnd w:id="2083"/>
                            <w:r>
                              <w:rPr>
                                <w:color w:val="00000A"/>
                                <w:sz w:val="18"/>
                                <w:szCs w:val="18"/>
                              </w:rPr>
                              <w:t>PCA_LDS (grupo B) – ACO_LDS (grupo C)</w:t>
                            </w:r>
                          </w:p>
                        </w:tc>
                        <w:tc>
                          <w:tcPr>
                            <w:tcW w:w="738"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80" w:after="60"/>
                              <w:jc w:val="center"/>
                              <w:rPr>
                                <w:color w:val="00000A"/>
                              </w:rPr>
                            </w:pPr>
                            <w:bookmarkStart w:id="2084" w:name="__UnoMark__17032_118561941"/>
                            <w:bookmarkStart w:id="2085" w:name="__UnoMark__17031_118561941"/>
                            <w:bookmarkEnd w:id="2084"/>
                            <w:bookmarkEnd w:id="2085"/>
                            <w:r>
                              <w:rPr>
                                <w:color w:val="00000A"/>
                                <w:sz w:val="18"/>
                                <w:szCs w:val="18"/>
                                <w:lang w:val="en-US"/>
                              </w:rPr>
                              <w:t>0.002</w:t>
                            </w:r>
                          </w:p>
                        </w:tc>
                        <w:tc>
                          <w:tcPr>
                            <w:tcW w:w="150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2086" w:name="__UnoMark__17033_118561941"/>
                            <w:bookmarkEnd w:id="2086"/>
                            <w:r>
                              <w:rPr>
                                <w:color w:val="00000A"/>
                                <w:sz w:val="18"/>
                                <w:szCs w:val="18"/>
                                <w:lang w:val="en-US"/>
                              </w:rPr>
                              <w:t>Hay diferencias significativas</w:t>
                            </w:r>
                          </w:p>
                        </w:tc>
                      </w:tr>
                    </w:tbl>
                    <w:p>
                      <w:pPr>
                        <w:pStyle w:val="FrameContents"/>
                        <w:spacing w:before="80" w:after="60"/>
                        <w:rPr>
                          <w:color w:val="000000"/>
                        </w:rPr>
                      </w:pPr>
                      <w:r>
                        <w:rPr>
                          <w:color w:val="000000"/>
                        </w:rPr>
                      </w:r>
                    </w:p>
                  </w:txbxContent>
                </v:textbox>
              </v:rect>
            </w:pict>
          </mc:Fallback>
        </mc:AlternateContent>
      </w:r>
    </w:p>
    <w:p>
      <w:pPr>
        <w:pStyle w:val="Heading3"/>
        <w:numPr>
          <w:ilvl w:val="2"/>
          <w:numId w:val="80"/>
        </w:numPr>
        <w:rPr/>
      </w:pPr>
      <w:r>
        <w:rPr/>
        <w:t>Comparación de los algoritmos respecto al indicador T</w:t>
      </w:r>
      <w:r>
        <w:rPr>
          <w:vertAlign w:val="subscript"/>
        </w:rPr>
        <w:t>4</w:t>
      </w:r>
    </w:p>
    <w:p>
      <w:pPr>
        <w:pStyle w:val="Normal"/>
        <w:rPr/>
      </w:pPr>
      <w:r>
        <w:rPr>
          <w:lang w:val="en-US"/>
        </w:rPr>
        <w:t xml:space="preserve">Respecto a la media aritmética del indicador </w:t>
      </w:r>
      <w:r>
        <w:rPr>
          <w:i/>
          <w:lang w:val="en-US"/>
        </w:rPr>
        <w:t>T</w:t>
      </w:r>
      <w:r>
        <w:rPr>
          <w:i/>
          <w:vertAlign w:val="subscript"/>
          <w:lang w:val="en-US"/>
        </w:rPr>
        <w:t>4</w:t>
      </w:r>
      <w:r>
        <w:rPr>
          <w:vertAlign w:val="subscript"/>
          <w:lang w:val="en-US"/>
        </w:rPr>
        <w:t>,</w:t>
      </w:r>
      <w:r>
        <w:rPr>
          <w:lang w:val="en-US"/>
        </w:rPr>
        <w:t xml:space="preserve"> los algoritmos quedan ubicados en el siguiente orden: </w:t>
      </w:r>
      <w:r>
        <w:rPr>
          <w:rFonts w:cs="Courier New" w:ascii="Courier New" w:hAnsi="Courier New"/>
          <w:szCs w:val="20"/>
        </w:rPr>
        <w:t>GA_LDS</w:t>
      </w:r>
      <w:r>
        <w:rPr>
          <w:lang w:val="en-US"/>
        </w:rPr>
        <w:t xml:space="preserve">, </w:t>
      </w:r>
      <w:r>
        <w:rPr>
          <w:rFonts w:cs="Courier New" w:ascii="Courier New" w:hAnsi="Courier New"/>
          <w:szCs w:val="20"/>
        </w:rPr>
        <w:t>LPA_LDS</w:t>
      </w:r>
      <w:r>
        <w:rPr>
          <w:lang w:val="en-US"/>
        </w:rPr>
        <w:t xml:space="preserve">, </w:t>
      </w:r>
      <w:r>
        <w:rPr>
          <w:rFonts w:cs="Courier New" w:ascii="Courier New" w:hAnsi="Courier New"/>
          <w:szCs w:val="20"/>
        </w:rPr>
        <w:t>RST_LDS</w:t>
      </w:r>
      <w:r>
        <w:rPr>
          <w:lang w:val="en-US"/>
        </w:rPr>
        <w:t xml:space="preserve">, </w:t>
      </w:r>
      <w:r>
        <w:rPr>
          <w:rFonts w:cs="Courier New" w:ascii="Courier New" w:hAnsi="Courier New"/>
          <w:szCs w:val="20"/>
        </w:rPr>
        <w:t>ACO_LDS</w:t>
      </w:r>
      <w:r>
        <w:rPr>
          <w:lang w:val="en-US"/>
        </w:rPr>
        <w:t xml:space="preserve">, </w:t>
      </w:r>
      <w:r>
        <w:rPr>
          <w:rFonts w:cs="Courier New" w:ascii="Courier New" w:hAnsi="Courier New"/>
          <w:szCs w:val="20"/>
        </w:rPr>
        <w:t>Apriori_LDS</w:t>
      </w:r>
      <w:r>
        <w:rPr>
          <w:lang w:val="en-US"/>
        </w:rPr>
        <w:t xml:space="preserve"> y </w:t>
      </w:r>
      <w:r>
        <w:rPr>
          <w:rFonts w:cs="Courier New" w:ascii="Courier New" w:hAnsi="Courier New"/>
          <w:szCs w:val="20"/>
        </w:rPr>
        <w:t>PCA_LDS</w:t>
      </w:r>
      <w:r>
        <w:rPr>
          <w:lang w:val="en-US"/>
        </w:rPr>
        <w:t xml:space="preserve">. En el análisis se identifica que los resultados no cumplen con una distribución normal, ver </w:t>
      </w:r>
      <w:r>
        <w:rPr>
          <w:lang w:val="en-US"/>
        </w:rPr>
        <w:fldChar w:fldCharType="begin"/>
      </w:r>
      <w:r>
        <w:instrText> REF _Ref65842706 \h </w:instrText>
      </w:r>
      <w:r>
        <w:fldChar w:fldCharType="separate"/>
      </w:r>
      <w:r>
        <w:t>Tabla 11</w:t>
      </w:r>
      <w:r>
        <w:fldChar w:fldCharType="end"/>
      </w:r>
      <w:r>
        <w:rPr>
          <w:lang w:val="en-US"/>
        </w:rPr>
        <w:t xml:space="preserve">. La </w:t>
      </w:r>
      <w:r>
        <w:rPr>
          <w:lang w:val="en-US"/>
        </w:rPr>
        <w:fldChar w:fldCharType="begin"/>
      </w:r>
      <w:r>
        <w:instrText> REF _Ref68932598 \h </w:instrText>
      </w:r>
      <w:r>
        <w:fldChar w:fldCharType="separate"/>
      </w:r>
      <w:r>
        <w:t>Figura 13</w:t>
      </w:r>
      <w:r>
        <w:fldChar w:fldCharType="end"/>
      </w:r>
      <w:r>
        <w:rPr>
          <w:lang w:val="en-US"/>
        </w:rPr>
        <w:t xml:space="preserve"> evidencia los resultados de las pruebas estadísticas.</w:t>
      </w:r>
    </w:p>
    <w:p>
      <w:pPr>
        <w:pStyle w:val="TablaFigura"/>
        <w:numPr>
          <w:ilvl w:val="0"/>
          <w:numId w:val="2"/>
        </w:numPr>
        <w:ind w:left="431" w:hanging="431"/>
        <w:rPr/>
      </w:pPr>
      <w:bookmarkStart w:id="2087" w:name="_Toc84598981"/>
      <w:bookmarkStart w:id="2088" w:name="_Ref65842706"/>
      <w:r>
        <w:rPr/>
        <w:t xml:space="preserve">Tabla </w:t>
      </w:r>
      <w:r>
        <w:rPr/>
        <w:fldChar w:fldCharType="begin"/>
      </w:r>
      <w:r>
        <w:instrText> SEQ Tabla \* ARABIC </w:instrText>
      </w:r>
      <w:r>
        <w:fldChar w:fldCharType="separate"/>
      </w:r>
      <w:r>
        <w:t>11</w:t>
      </w:r>
      <w:r>
        <w:fldChar w:fldCharType="end"/>
      </w:r>
      <w:bookmarkEnd w:id="2088"/>
      <w:r>
        <w:rPr/>
        <w:t xml:space="preserve">: Comparación de los algoritmos respecto a la media aritmética del </w:t>
      </w:r>
      <w:r>
        <w:rPr>
          <w:i/>
        </w:rPr>
        <w:t>T</w:t>
      </w:r>
      <w:r>
        <w:rPr>
          <w:i/>
          <w:vertAlign w:val="subscript"/>
        </w:rPr>
        <w:t>4</w:t>
      </w:r>
      <w:bookmarkEnd w:id="2087"/>
      <w:r>
        <w:rPr/>
        <w:t>.</w:t>
      </w:r>
    </w:p>
    <w:p>
      <w:pPr>
        <w:pStyle w:val="Normal"/>
        <w:rPr>
          <w:i/>
          <w:i/>
          <w:lang w:val="en-US"/>
        </w:rPr>
      </w:pPr>
      <w:r>
        <w:rPr>
          <w:i/>
          <w:lang w:val="en-US"/>
        </w:rPr>
        <mc:AlternateContent>
          <mc:Choice Requires="wps">
            <w:drawing>
              <wp:anchor behindDoc="0" distT="0" distB="0" distL="114300" distR="114300" simplePos="0" locked="0" layoutInCell="1" allowOverlap="1" relativeHeight="39">
                <wp:simplePos x="0" y="0"/>
                <wp:positionH relativeFrom="margin">
                  <wp:align>center</wp:align>
                </wp:positionH>
                <wp:positionV relativeFrom="paragraph">
                  <wp:posOffset>35560</wp:posOffset>
                </wp:positionV>
                <wp:extent cx="2105660" cy="3531870"/>
                <wp:effectExtent l="0" t="0" r="0" b="0"/>
                <wp:wrapSquare wrapText="bothSides"/>
                <wp:docPr id="44" name="Frame14"/>
                <a:graphic xmlns:a="http://schemas.openxmlformats.org/drawingml/2006/main">
                  <a:graphicData uri="http://schemas.microsoft.com/office/word/2010/wordprocessingShape">
                    <wps:wsp>
                      <wps:cNvSpPr/>
                      <wps:spPr>
                        <a:xfrm>
                          <a:off x="0" y="0"/>
                          <a:ext cx="2104920" cy="3531240"/>
                        </a:xfrm>
                        <a:prstGeom prst="rect">
                          <a:avLst/>
                        </a:prstGeom>
                        <a:noFill/>
                        <a:ln>
                          <a:noFill/>
                        </a:ln>
                      </wps:spPr>
                      <wps:style>
                        <a:lnRef idx="0"/>
                        <a:fillRef idx="0"/>
                        <a:effectRef idx="0"/>
                        <a:fontRef idx="minor"/>
                      </wps:style>
                      <wps:txbx>
                        <w:txbxContent>
                          <w:tbl>
                            <w:tblPr>
                              <w:tblW w:w="3313" w:type="dxa"/>
                              <w:jc w:val="center"/>
                              <w:tblInd w:w="0" w:type="dxa"/>
                              <w:tblBorders/>
                              <w:tblCellMar>
                                <w:top w:w="0" w:type="dxa"/>
                                <w:left w:w="0" w:type="dxa"/>
                                <w:bottom w:w="0" w:type="dxa"/>
                                <w:right w:w="0" w:type="dxa"/>
                              </w:tblCellMar>
                              <w:tblLook w:val="0000" w:noVBand="0" w:noHBand="0" w:lastColumn="0" w:firstColumn="0" w:lastRow="0" w:firstRow="0"/>
                            </w:tblPr>
                            <w:tblGrid>
                              <w:gridCol w:w="999"/>
                              <w:gridCol w:w="521"/>
                              <w:gridCol w:w="621"/>
                              <w:gridCol w:w="499"/>
                              <w:gridCol w:w="673"/>
                            </w:tblGrid>
                            <w:tr>
                              <w:trPr>
                                <w:trHeight w:val="3618" w:hRule="atLeast"/>
                              </w:trPr>
                              <w:tc>
                                <w:tcPr>
                                  <w:tcW w:w="999" w:type="dxa"/>
                                  <w:tcBorders/>
                                  <w:shd w:color="auto" w:fill="auto" w:val="clear"/>
                                  <w:vAlign w:val="center"/>
                                </w:tcPr>
                                <w:p>
                                  <w:pPr>
                                    <w:pStyle w:val="FrameContents"/>
                                    <w:spacing w:lineRule="auto" w:line="240" w:before="0" w:after="60"/>
                                    <w:jc w:val="center"/>
                                    <w:rPr/>
                                  </w:pPr>
                                  <w:bookmarkStart w:id="2089" w:name="__UnoMark__17157_118561941"/>
                                  <w:bookmarkEnd w:id="2089"/>
                                  <w:r>
                                    <w:rPr>
                                      <w:color w:val="00000A"/>
                                      <w:sz w:val="18"/>
                                      <w:szCs w:val="18"/>
                                    </w:rPr>
                                    <w:t>Algoritmos</w:t>
                                  </w:r>
                                </w:p>
                              </w:tc>
                              <w:tc>
                                <w:tcPr>
                                  <w:tcW w:w="1142" w:type="dxa"/>
                                  <w:gridSpan w:val="2"/>
                                  <w:tcBorders/>
                                  <w:shd w:color="auto" w:fill="auto" w:val="clear"/>
                                </w:tcPr>
                                <w:p>
                                  <w:pPr>
                                    <w:pStyle w:val="FrameContents"/>
                                    <w:spacing w:lineRule="auto" w:line="240" w:before="0" w:after="60"/>
                                    <w:ind w:left="60" w:right="60" w:hanging="0"/>
                                    <w:jc w:val="center"/>
                                    <w:rPr/>
                                  </w:pPr>
                                  <w:bookmarkStart w:id="2090" w:name="__UnoMark__17158_118561941"/>
                                  <w:bookmarkEnd w:id="2090"/>
                                  <w:r>
                                    <w:rPr>
                                      <w:color w:val="00000A"/>
                                      <w:sz w:val="18"/>
                                      <w:szCs w:val="18"/>
                                    </w:rPr>
                                    <w:t>Kolmogorov-Smirnov</w:t>
                                  </w:r>
                                  <w:r>
                                    <w:rPr>
                                      <w:color w:val="00000A"/>
                                      <w:sz w:val="18"/>
                                      <w:szCs w:val="18"/>
                                      <w:vertAlign w:val="superscript"/>
                                    </w:rPr>
                                    <w:t>a</w:t>
                                  </w:r>
                                  <w:bookmarkStart w:id="2091" w:name="__UnoMark__17159_118561941"/>
                                  <w:bookmarkEnd w:id="2091"/>
                                  <w:r>
                                    <w:rPr>
                                      <w:color w:val="00000A"/>
                                      <w:sz w:val="18"/>
                                      <w:szCs w:val="18"/>
                                    </w:rPr>
                                    <w:t xml:space="preserve"> Sig.</w:t>
                                  </w:r>
                                </w:p>
                              </w:tc>
                              <w:tc>
                                <w:tcPr>
                                  <w:tcW w:w="1172" w:type="dxa"/>
                                  <w:gridSpan w:val="2"/>
                                  <w:tcBorders/>
                                  <w:shd w:color="auto" w:fill="auto" w:val="clear"/>
                                </w:tcPr>
                                <w:p>
                                  <w:pPr>
                                    <w:pStyle w:val="FrameContents"/>
                                    <w:spacing w:lineRule="auto" w:line="240" w:before="0" w:after="60"/>
                                    <w:ind w:left="60" w:right="60" w:hanging="0"/>
                                    <w:jc w:val="center"/>
                                    <w:rPr/>
                                  </w:pPr>
                                  <w:bookmarkStart w:id="2092" w:name="__UnoMark__17161_118561941"/>
                                  <w:bookmarkStart w:id="2093" w:name="__UnoMark__17160_118561941"/>
                                  <w:bookmarkEnd w:id="2092"/>
                                  <w:bookmarkEnd w:id="2093"/>
                                  <w:r>
                                    <w:rPr>
                                      <w:color w:val="00000A"/>
                                      <w:sz w:val="18"/>
                                      <w:szCs w:val="18"/>
                                    </w:rPr>
                                    <w:t>Shapiro-Wilk Sig.</w:t>
                                  </w:r>
                                </w:p>
                              </w:tc>
                            </w:tr>
                            <w:tr>
                              <w:trPr>
                                <w:cantSplit w:val="true"/>
                              </w:trPr>
                              <w:tc>
                                <w:tcPr>
                                  <w:tcW w:w="1520" w:type="dxa"/>
                                  <w:gridSpan w:val="2"/>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2094" w:name="__UnoMark__17163_118561941"/>
                                  <w:bookmarkStart w:id="2095" w:name="__UnoMark__17162_118561941"/>
                                  <w:bookmarkEnd w:id="2094"/>
                                  <w:bookmarkEnd w:id="2095"/>
                                  <w:r>
                                    <w:rPr>
                                      <w:color w:val="00000A"/>
                                      <w:sz w:val="18"/>
                                      <w:szCs w:val="18"/>
                                    </w:rPr>
                                    <w:t>RST_LDS</w:t>
                                  </w:r>
                                </w:p>
                              </w:tc>
                              <w:tc>
                                <w:tcPr>
                                  <w:tcW w:w="1120" w:type="dxa"/>
                                  <w:gridSpan w:val="2"/>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2096" w:name="__UnoMark__17164_118561941"/>
                                  <w:bookmarkEnd w:id="2096"/>
                                  <w:r>
                                    <w:rPr>
                                      <w:color w:val="00000A"/>
                                      <w:sz w:val="18"/>
                                      <w:szCs w:val="18"/>
                                    </w:rPr>
                                    <w:t>.200</w:t>
                                  </w:r>
                                  <w:bookmarkStart w:id="2097" w:name="__UnoMark__17165_118561941"/>
                                  <w:bookmarkEnd w:id="2097"/>
                                  <w:r>
                                    <w:rPr>
                                      <w:color w:val="00000A"/>
                                      <w:sz w:val="18"/>
                                      <w:szCs w:val="18"/>
                                      <w:vertAlign w:val="superscript"/>
                                    </w:rPr>
                                    <w:t>*</w:t>
                                  </w:r>
                                </w:p>
                              </w:tc>
                              <w:tc>
                                <w:tcPr>
                                  <w:tcW w:w="673"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2098" w:name="__UnoMark__17167_118561941"/>
                                  <w:bookmarkStart w:id="2099" w:name="__UnoMark__17166_118561941"/>
                                  <w:bookmarkEnd w:id="2098"/>
                                  <w:bookmarkEnd w:id="2099"/>
                                  <w:r>
                                    <w:rPr>
                                      <w:color w:val="00000A"/>
                                      <w:sz w:val="18"/>
                                      <w:szCs w:val="18"/>
                                    </w:rPr>
                                    <w:t>.609</w:t>
                                  </w:r>
                                </w:p>
                              </w:tc>
                            </w:tr>
                            <w:tr>
                              <w:trPr>
                                <w:cantSplit w:val="true"/>
                              </w:trPr>
                              <w:tc>
                                <w:tcPr>
                                  <w:tcW w:w="1520" w:type="dxa"/>
                                  <w:gridSpan w:val="2"/>
                                  <w:tcBorders>
                                    <w:top w:val="single" w:sz="2" w:space="0" w:color="00000A"/>
                                  </w:tcBorders>
                                  <w:shd w:color="auto" w:fill="auto" w:val="clear"/>
                                </w:tcPr>
                                <w:p>
                                  <w:pPr>
                                    <w:pStyle w:val="FrameContents"/>
                                    <w:spacing w:lineRule="auto" w:line="240" w:before="0" w:after="60"/>
                                    <w:ind w:left="60" w:right="60" w:hanging="0"/>
                                    <w:jc w:val="center"/>
                                    <w:rPr/>
                                  </w:pPr>
                                  <w:bookmarkStart w:id="2100" w:name="__UnoMark__17169_118561941"/>
                                  <w:bookmarkStart w:id="2101" w:name="__UnoMark__17168_118561941"/>
                                  <w:bookmarkEnd w:id="2100"/>
                                  <w:bookmarkEnd w:id="2101"/>
                                  <w:r>
                                    <w:rPr>
                                      <w:color w:val="00000A"/>
                                      <w:sz w:val="18"/>
                                      <w:szCs w:val="18"/>
                                    </w:rPr>
                                    <w:t>LPA_LDS</w:t>
                                  </w:r>
                                </w:p>
                              </w:tc>
                              <w:tc>
                                <w:tcPr>
                                  <w:tcW w:w="1120" w:type="dxa"/>
                                  <w:gridSpan w:val="2"/>
                                  <w:tcBorders>
                                    <w:top w:val="single" w:sz="2" w:space="0" w:color="00000A"/>
                                  </w:tcBorders>
                                  <w:shd w:color="auto" w:fill="FFFFFF" w:val="clear"/>
                                </w:tcPr>
                                <w:p>
                                  <w:pPr>
                                    <w:pStyle w:val="FrameContents"/>
                                    <w:spacing w:lineRule="auto" w:line="240" w:before="0" w:after="60"/>
                                    <w:ind w:left="60" w:right="60" w:hanging="0"/>
                                    <w:jc w:val="center"/>
                                    <w:rPr/>
                                  </w:pPr>
                                  <w:bookmarkStart w:id="2102" w:name="__UnoMark__17171_118561941"/>
                                  <w:bookmarkStart w:id="2103" w:name="__UnoMark__17170_118561941"/>
                                  <w:bookmarkEnd w:id="2102"/>
                                  <w:bookmarkEnd w:id="2103"/>
                                  <w:r>
                                    <w:rPr>
                                      <w:color w:val="00000A"/>
                                      <w:sz w:val="18"/>
                                      <w:szCs w:val="18"/>
                                    </w:rPr>
                                    <w:t>.133</w:t>
                                  </w:r>
                                </w:p>
                              </w:tc>
                              <w:tc>
                                <w:tcPr>
                                  <w:tcW w:w="673" w:type="dxa"/>
                                  <w:tcBorders>
                                    <w:top w:val="single" w:sz="2" w:space="0" w:color="00000A"/>
                                  </w:tcBorders>
                                  <w:shd w:color="auto" w:fill="FFFFFF" w:val="clear"/>
                                </w:tcPr>
                                <w:p>
                                  <w:pPr>
                                    <w:pStyle w:val="FrameContents"/>
                                    <w:spacing w:lineRule="auto" w:line="240" w:before="0" w:after="60"/>
                                    <w:ind w:left="60" w:right="60" w:hanging="0"/>
                                    <w:jc w:val="center"/>
                                    <w:rPr/>
                                  </w:pPr>
                                  <w:bookmarkStart w:id="2104" w:name="__UnoMark__17173_118561941"/>
                                  <w:bookmarkStart w:id="2105" w:name="__UnoMark__17172_118561941"/>
                                  <w:bookmarkEnd w:id="2104"/>
                                  <w:bookmarkEnd w:id="2105"/>
                                  <w:r>
                                    <w:rPr>
                                      <w:color w:val="00000A"/>
                                      <w:sz w:val="18"/>
                                      <w:szCs w:val="18"/>
                                    </w:rPr>
                                    <w:t>.007</w:t>
                                  </w:r>
                                </w:p>
                              </w:tc>
                            </w:tr>
                            <w:tr>
                              <w:trPr>
                                <w:cantSplit w:val="true"/>
                              </w:trPr>
                              <w:tc>
                                <w:tcPr>
                                  <w:tcW w:w="1520" w:type="dxa"/>
                                  <w:gridSpan w:val="2"/>
                                  <w:tcBorders/>
                                  <w:shd w:color="auto" w:fill="auto" w:val="clear"/>
                                </w:tcPr>
                                <w:p>
                                  <w:pPr>
                                    <w:pStyle w:val="FrameContents"/>
                                    <w:spacing w:lineRule="auto" w:line="240" w:before="0" w:after="60"/>
                                    <w:ind w:left="60" w:right="60" w:hanging="0"/>
                                    <w:jc w:val="center"/>
                                    <w:rPr/>
                                  </w:pPr>
                                  <w:bookmarkStart w:id="2106" w:name="__UnoMark__17175_118561941"/>
                                  <w:bookmarkStart w:id="2107" w:name="__UnoMark__17174_118561941"/>
                                  <w:bookmarkEnd w:id="2106"/>
                                  <w:bookmarkEnd w:id="2107"/>
                                  <w:r>
                                    <w:rPr>
                                      <w:color w:val="00000A"/>
                                      <w:sz w:val="18"/>
                                      <w:szCs w:val="18"/>
                                    </w:rPr>
                                    <w:t>Apriori_LDS</w:t>
                                  </w:r>
                                </w:p>
                              </w:tc>
                              <w:tc>
                                <w:tcPr>
                                  <w:tcW w:w="1120" w:type="dxa"/>
                                  <w:gridSpan w:val="2"/>
                                  <w:tcBorders/>
                                  <w:shd w:color="auto" w:fill="FFFFFF" w:val="clear"/>
                                </w:tcPr>
                                <w:p>
                                  <w:pPr>
                                    <w:pStyle w:val="FrameContents"/>
                                    <w:spacing w:lineRule="auto" w:line="240" w:before="0" w:after="60"/>
                                    <w:ind w:left="60" w:right="60" w:hanging="0"/>
                                    <w:jc w:val="center"/>
                                    <w:rPr/>
                                  </w:pPr>
                                  <w:bookmarkStart w:id="2108" w:name="__UnoMark__17177_118561941"/>
                                  <w:bookmarkStart w:id="2109" w:name="__UnoMark__17176_118561941"/>
                                  <w:bookmarkEnd w:id="2108"/>
                                  <w:bookmarkEnd w:id="2109"/>
                                  <w:r>
                                    <w:rPr>
                                      <w:color w:val="00000A"/>
                                      <w:sz w:val="18"/>
                                      <w:szCs w:val="18"/>
                                    </w:rPr>
                                    <w:t>.010</w:t>
                                  </w:r>
                                </w:p>
                              </w:tc>
                              <w:tc>
                                <w:tcPr>
                                  <w:tcW w:w="673" w:type="dxa"/>
                                  <w:tcBorders/>
                                  <w:shd w:color="auto" w:fill="FFFFFF" w:val="clear"/>
                                </w:tcPr>
                                <w:p>
                                  <w:pPr>
                                    <w:pStyle w:val="FrameContents"/>
                                    <w:spacing w:lineRule="auto" w:line="240" w:before="0" w:after="60"/>
                                    <w:ind w:left="60" w:right="60" w:hanging="0"/>
                                    <w:jc w:val="center"/>
                                    <w:rPr/>
                                  </w:pPr>
                                  <w:bookmarkStart w:id="2110" w:name="__UnoMark__17179_118561941"/>
                                  <w:bookmarkStart w:id="2111" w:name="__UnoMark__17178_118561941"/>
                                  <w:bookmarkEnd w:id="2110"/>
                                  <w:bookmarkEnd w:id="2111"/>
                                  <w:r>
                                    <w:rPr>
                                      <w:color w:val="00000A"/>
                                      <w:sz w:val="18"/>
                                      <w:szCs w:val="18"/>
                                    </w:rPr>
                                    <w:t>.000</w:t>
                                  </w:r>
                                </w:p>
                              </w:tc>
                            </w:tr>
                            <w:tr>
                              <w:trPr>
                                <w:cantSplit w:val="true"/>
                              </w:trPr>
                              <w:tc>
                                <w:tcPr>
                                  <w:tcW w:w="1520" w:type="dxa"/>
                                  <w:gridSpan w:val="2"/>
                                  <w:tcBorders/>
                                  <w:shd w:color="auto" w:fill="auto" w:val="clear"/>
                                </w:tcPr>
                                <w:p>
                                  <w:pPr>
                                    <w:pStyle w:val="FrameContents"/>
                                    <w:spacing w:lineRule="auto" w:line="240" w:before="0" w:after="60"/>
                                    <w:ind w:left="60" w:right="60" w:hanging="0"/>
                                    <w:jc w:val="center"/>
                                    <w:rPr/>
                                  </w:pPr>
                                  <w:bookmarkStart w:id="2112" w:name="__UnoMark__17181_118561941"/>
                                  <w:bookmarkStart w:id="2113" w:name="__UnoMark__17180_118561941"/>
                                  <w:bookmarkEnd w:id="2112"/>
                                  <w:bookmarkEnd w:id="2113"/>
                                  <w:r>
                                    <w:rPr>
                                      <w:color w:val="00000A"/>
                                      <w:sz w:val="18"/>
                                      <w:szCs w:val="18"/>
                                    </w:rPr>
                                    <w:t>ACO_LDS</w:t>
                                  </w:r>
                                </w:p>
                              </w:tc>
                              <w:tc>
                                <w:tcPr>
                                  <w:tcW w:w="1120" w:type="dxa"/>
                                  <w:gridSpan w:val="2"/>
                                  <w:tcBorders/>
                                  <w:shd w:color="auto" w:fill="FFFFFF" w:val="clear"/>
                                </w:tcPr>
                                <w:p>
                                  <w:pPr>
                                    <w:pStyle w:val="FrameContents"/>
                                    <w:spacing w:lineRule="auto" w:line="240" w:before="0" w:after="60"/>
                                    <w:ind w:left="60" w:right="60" w:hanging="0"/>
                                    <w:jc w:val="center"/>
                                    <w:rPr/>
                                  </w:pPr>
                                  <w:bookmarkStart w:id="2114" w:name="__UnoMark__17183_118561941"/>
                                  <w:bookmarkStart w:id="2115" w:name="__UnoMark__17182_118561941"/>
                                  <w:bookmarkEnd w:id="2114"/>
                                  <w:bookmarkEnd w:id="2115"/>
                                  <w:r>
                                    <w:rPr>
                                      <w:color w:val="00000A"/>
                                      <w:sz w:val="18"/>
                                      <w:szCs w:val="18"/>
                                    </w:rPr>
                                    <w:t>.097</w:t>
                                  </w:r>
                                </w:p>
                              </w:tc>
                              <w:tc>
                                <w:tcPr>
                                  <w:tcW w:w="673" w:type="dxa"/>
                                  <w:tcBorders/>
                                  <w:shd w:color="auto" w:fill="FFFFFF" w:val="clear"/>
                                </w:tcPr>
                                <w:p>
                                  <w:pPr>
                                    <w:pStyle w:val="FrameContents"/>
                                    <w:spacing w:lineRule="auto" w:line="240" w:before="0" w:after="60"/>
                                    <w:ind w:left="60" w:right="60" w:hanging="0"/>
                                    <w:jc w:val="center"/>
                                    <w:rPr/>
                                  </w:pPr>
                                  <w:bookmarkStart w:id="2116" w:name="__UnoMark__17185_118561941"/>
                                  <w:bookmarkStart w:id="2117" w:name="__UnoMark__17184_118561941"/>
                                  <w:bookmarkEnd w:id="2116"/>
                                  <w:bookmarkEnd w:id="2117"/>
                                  <w:r>
                                    <w:rPr>
                                      <w:color w:val="00000A"/>
                                      <w:sz w:val="18"/>
                                      <w:szCs w:val="18"/>
                                    </w:rPr>
                                    <w:t>.029</w:t>
                                  </w:r>
                                </w:p>
                              </w:tc>
                            </w:tr>
                            <w:tr>
                              <w:trPr>
                                <w:cantSplit w:val="true"/>
                              </w:trPr>
                              <w:tc>
                                <w:tcPr>
                                  <w:tcW w:w="1520" w:type="dxa"/>
                                  <w:gridSpan w:val="2"/>
                                  <w:tcBorders/>
                                  <w:shd w:color="auto" w:fill="auto" w:val="clear"/>
                                </w:tcPr>
                                <w:p>
                                  <w:pPr>
                                    <w:pStyle w:val="FrameContents"/>
                                    <w:spacing w:lineRule="auto" w:line="240" w:before="0" w:after="60"/>
                                    <w:ind w:left="60" w:right="60" w:hanging="0"/>
                                    <w:jc w:val="center"/>
                                    <w:rPr/>
                                  </w:pPr>
                                  <w:bookmarkStart w:id="2118" w:name="__UnoMark__17187_118561941"/>
                                  <w:bookmarkStart w:id="2119" w:name="__UnoMark__17186_118561941"/>
                                  <w:bookmarkEnd w:id="2118"/>
                                  <w:bookmarkEnd w:id="2119"/>
                                  <w:r>
                                    <w:rPr>
                                      <w:color w:val="00000A"/>
                                      <w:sz w:val="18"/>
                                      <w:szCs w:val="18"/>
                                    </w:rPr>
                                    <w:t>GA_LDS</w:t>
                                  </w:r>
                                </w:p>
                              </w:tc>
                              <w:tc>
                                <w:tcPr>
                                  <w:tcW w:w="1120" w:type="dxa"/>
                                  <w:gridSpan w:val="2"/>
                                  <w:tcBorders/>
                                  <w:shd w:color="auto" w:fill="FFFFFF" w:val="clear"/>
                                </w:tcPr>
                                <w:p>
                                  <w:pPr>
                                    <w:pStyle w:val="FrameContents"/>
                                    <w:spacing w:lineRule="auto" w:line="240" w:before="0" w:after="60"/>
                                    <w:ind w:left="60" w:right="60" w:hanging="0"/>
                                    <w:jc w:val="center"/>
                                    <w:rPr/>
                                  </w:pPr>
                                  <w:bookmarkStart w:id="2120" w:name="__UnoMark__17189_118561941"/>
                                  <w:bookmarkStart w:id="2121" w:name="__UnoMark__17188_118561941"/>
                                  <w:bookmarkEnd w:id="2120"/>
                                  <w:bookmarkEnd w:id="2121"/>
                                  <w:r>
                                    <w:rPr>
                                      <w:color w:val="00000A"/>
                                      <w:sz w:val="18"/>
                                      <w:szCs w:val="18"/>
                                    </w:rPr>
                                    <w:t>.100</w:t>
                                  </w:r>
                                </w:p>
                              </w:tc>
                              <w:tc>
                                <w:tcPr>
                                  <w:tcW w:w="673" w:type="dxa"/>
                                  <w:tcBorders/>
                                  <w:shd w:color="auto" w:fill="FFFFFF" w:val="clear"/>
                                </w:tcPr>
                                <w:p>
                                  <w:pPr>
                                    <w:pStyle w:val="FrameContents"/>
                                    <w:spacing w:lineRule="auto" w:line="240" w:before="0" w:after="60"/>
                                    <w:ind w:left="60" w:right="60" w:hanging="0"/>
                                    <w:jc w:val="center"/>
                                    <w:rPr/>
                                  </w:pPr>
                                  <w:bookmarkStart w:id="2122" w:name="__UnoMark__17191_118561941"/>
                                  <w:bookmarkStart w:id="2123" w:name="__UnoMark__17190_118561941"/>
                                  <w:bookmarkEnd w:id="2122"/>
                                  <w:bookmarkEnd w:id="2123"/>
                                  <w:r>
                                    <w:rPr>
                                      <w:color w:val="00000A"/>
                                      <w:sz w:val="18"/>
                                      <w:szCs w:val="18"/>
                                    </w:rPr>
                                    <w:t>.033</w:t>
                                  </w:r>
                                </w:p>
                              </w:tc>
                            </w:tr>
                            <w:tr>
                              <w:trPr>
                                <w:cantSplit w:val="true"/>
                              </w:trPr>
                              <w:tc>
                                <w:tcPr>
                                  <w:tcW w:w="1520" w:type="dxa"/>
                                  <w:gridSpan w:val="2"/>
                                  <w:tcBorders/>
                                  <w:shd w:color="auto" w:fill="auto" w:val="clear"/>
                                </w:tcPr>
                                <w:p>
                                  <w:pPr>
                                    <w:pStyle w:val="FrameContents"/>
                                    <w:spacing w:lineRule="auto" w:line="240" w:before="0" w:after="60"/>
                                    <w:ind w:left="60" w:right="60" w:hanging="0"/>
                                    <w:jc w:val="center"/>
                                    <w:rPr/>
                                  </w:pPr>
                                  <w:bookmarkStart w:id="2124" w:name="__UnoMark__17193_118561941"/>
                                  <w:bookmarkStart w:id="2125" w:name="__UnoMark__17192_118561941"/>
                                  <w:bookmarkEnd w:id="2124"/>
                                  <w:bookmarkEnd w:id="2125"/>
                                  <w:r>
                                    <w:rPr>
                                      <w:color w:val="00000A"/>
                                      <w:sz w:val="18"/>
                                      <w:szCs w:val="18"/>
                                    </w:rPr>
                                    <w:t>PCA_LDS</w:t>
                                  </w:r>
                                </w:p>
                              </w:tc>
                              <w:tc>
                                <w:tcPr>
                                  <w:tcW w:w="1120" w:type="dxa"/>
                                  <w:gridSpan w:val="2"/>
                                  <w:tcBorders/>
                                  <w:shd w:color="auto" w:fill="FFFFFF" w:val="clear"/>
                                </w:tcPr>
                                <w:p>
                                  <w:pPr>
                                    <w:pStyle w:val="FrameContents"/>
                                    <w:spacing w:lineRule="auto" w:line="240" w:before="0" w:after="60"/>
                                    <w:ind w:left="60" w:right="60" w:hanging="0"/>
                                    <w:jc w:val="center"/>
                                    <w:rPr/>
                                  </w:pPr>
                                  <w:bookmarkStart w:id="2126" w:name="__UnoMark__17195_118561941"/>
                                  <w:bookmarkStart w:id="2127" w:name="__UnoMark__17194_118561941"/>
                                  <w:bookmarkEnd w:id="2126"/>
                                  <w:bookmarkEnd w:id="2127"/>
                                  <w:r>
                                    <w:rPr>
                                      <w:color w:val="00000A"/>
                                      <w:sz w:val="18"/>
                                      <w:szCs w:val="18"/>
                                    </w:rPr>
                                    <w:t>.011</w:t>
                                  </w:r>
                                </w:p>
                              </w:tc>
                              <w:tc>
                                <w:tcPr>
                                  <w:tcW w:w="673" w:type="dxa"/>
                                  <w:tcBorders/>
                                  <w:shd w:color="auto" w:fill="FFFFFF" w:val="clear"/>
                                </w:tcPr>
                                <w:p>
                                  <w:pPr>
                                    <w:pStyle w:val="FrameContents"/>
                                    <w:spacing w:lineRule="auto" w:line="240" w:before="0" w:after="60"/>
                                    <w:ind w:left="60" w:right="60" w:hanging="0"/>
                                    <w:jc w:val="center"/>
                                    <w:rPr/>
                                  </w:pPr>
                                  <w:bookmarkStart w:id="2128" w:name="__UnoMark__17196_118561941"/>
                                  <w:bookmarkEnd w:id="2128"/>
                                  <w:r>
                                    <w:rPr>
                                      <w:color w:val="00000A"/>
                                      <w:sz w:val="18"/>
                                      <w:szCs w:val="18"/>
                                    </w:rPr>
                                    <w:t>.000</w:t>
                                  </w:r>
                                </w:p>
                              </w:tc>
                            </w:tr>
                          </w:tbl>
                          <w:p>
                            <w:pPr>
                              <w:pStyle w:val="FrameContents"/>
                              <w:spacing w:before="80" w:after="60"/>
                              <w:rPr>
                                <w:color w:val="000000"/>
                              </w:rPr>
                            </w:pPr>
                            <w:r>
                              <w:rPr>
                                <w:color w:val="000000"/>
                              </w:rPr>
                            </w:r>
                          </w:p>
                        </w:txbxContent>
                      </wps:txbx>
                      <wps:bodyPr lIns="0" rIns="0" tIns="0" bIns="0">
                        <a:spAutoFit/>
                      </wps:bodyPr>
                    </wps:wsp>
                  </a:graphicData>
                </a:graphic>
              </wp:anchor>
            </w:drawing>
          </mc:Choice>
          <mc:Fallback>
            <w:pict>
              <v:rect id="shape_0" ID="Frame14" stroked="f" style="position:absolute;margin-left:141.55pt;margin-top:2.8pt;width:165.7pt;height:278pt;mso-position-horizontal:center;mso-position-horizontal-relative:margin">
                <w10:wrap type="none"/>
                <v:fill o:detectmouseclick="t" on="false"/>
                <v:stroke color="#3465a4" joinstyle="round" endcap="flat"/>
                <v:textbox>
                  <w:txbxContent>
                    <w:tbl>
                      <w:tblPr>
                        <w:tblW w:w="3313" w:type="dxa"/>
                        <w:jc w:val="center"/>
                        <w:tblInd w:w="0" w:type="dxa"/>
                        <w:tblBorders/>
                        <w:tblCellMar>
                          <w:top w:w="0" w:type="dxa"/>
                          <w:left w:w="0" w:type="dxa"/>
                          <w:bottom w:w="0" w:type="dxa"/>
                          <w:right w:w="0" w:type="dxa"/>
                        </w:tblCellMar>
                        <w:tblLook w:val="0000" w:noVBand="0" w:noHBand="0" w:lastColumn="0" w:firstColumn="0" w:lastRow="0" w:firstRow="0"/>
                      </w:tblPr>
                      <w:tblGrid>
                        <w:gridCol w:w="999"/>
                        <w:gridCol w:w="521"/>
                        <w:gridCol w:w="621"/>
                        <w:gridCol w:w="499"/>
                        <w:gridCol w:w="673"/>
                      </w:tblGrid>
                      <w:tr>
                        <w:trPr>
                          <w:trHeight w:val="3618" w:hRule="atLeast"/>
                        </w:trPr>
                        <w:tc>
                          <w:tcPr>
                            <w:tcW w:w="999" w:type="dxa"/>
                            <w:tcBorders/>
                            <w:shd w:color="auto" w:fill="auto" w:val="clear"/>
                            <w:vAlign w:val="center"/>
                          </w:tcPr>
                          <w:p>
                            <w:pPr>
                              <w:pStyle w:val="FrameContents"/>
                              <w:spacing w:lineRule="auto" w:line="240" w:before="0" w:after="60"/>
                              <w:jc w:val="center"/>
                              <w:rPr/>
                            </w:pPr>
                            <w:bookmarkStart w:id="2129" w:name="__UnoMark__17157_118561941"/>
                            <w:bookmarkEnd w:id="2129"/>
                            <w:r>
                              <w:rPr>
                                <w:color w:val="00000A"/>
                                <w:sz w:val="18"/>
                                <w:szCs w:val="18"/>
                              </w:rPr>
                              <w:t>Algoritmos</w:t>
                            </w:r>
                          </w:p>
                        </w:tc>
                        <w:tc>
                          <w:tcPr>
                            <w:tcW w:w="1142" w:type="dxa"/>
                            <w:gridSpan w:val="2"/>
                            <w:tcBorders/>
                            <w:shd w:color="auto" w:fill="auto" w:val="clear"/>
                          </w:tcPr>
                          <w:p>
                            <w:pPr>
                              <w:pStyle w:val="FrameContents"/>
                              <w:spacing w:lineRule="auto" w:line="240" w:before="0" w:after="60"/>
                              <w:ind w:left="60" w:right="60" w:hanging="0"/>
                              <w:jc w:val="center"/>
                              <w:rPr/>
                            </w:pPr>
                            <w:bookmarkStart w:id="2130" w:name="__UnoMark__17158_118561941"/>
                            <w:bookmarkEnd w:id="2130"/>
                            <w:r>
                              <w:rPr>
                                <w:color w:val="00000A"/>
                                <w:sz w:val="18"/>
                                <w:szCs w:val="18"/>
                              </w:rPr>
                              <w:t>Kolmogorov-Smirnov</w:t>
                            </w:r>
                            <w:r>
                              <w:rPr>
                                <w:color w:val="00000A"/>
                                <w:sz w:val="18"/>
                                <w:szCs w:val="18"/>
                                <w:vertAlign w:val="superscript"/>
                              </w:rPr>
                              <w:t>a</w:t>
                            </w:r>
                            <w:bookmarkStart w:id="2131" w:name="__UnoMark__17159_118561941"/>
                            <w:bookmarkEnd w:id="2131"/>
                            <w:r>
                              <w:rPr>
                                <w:color w:val="00000A"/>
                                <w:sz w:val="18"/>
                                <w:szCs w:val="18"/>
                              </w:rPr>
                              <w:t xml:space="preserve"> Sig.</w:t>
                            </w:r>
                          </w:p>
                        </w:tc>
                        <w:tc>
                          <w:tcPr>
                            <w:tcW w:w="1172" w:type="dxa"/>
                            <w:gridSpan w:val="2"/>
                            <w:tcBorders/>
                            <w:shd w:color="auto" w:fill="auto" w:val="clear"/>
                          </w:tcPr>
                          <w:p>
                            <w:pPr>
                              <w:pStyle w:val="FrameContents"/>
                              <w:spacing w:lineRule="auto" w:line="240" w:before="0" w:after="60"/>
                              <w:ind w:left="60" w:right="60" w:hanging="0"/>
                              <w:jc w:val="center"/>
                              <w:rPr/>
                            </w:pPr>
                            <w:bookmarkStart w:id="2132" w:name="__UnoMark__17161_118561941"/>
                            <w:bookmarkStart w:id="2133" w:name="__UnoMark__17160_118561941"/>
                            <w:bookmarkEnd w:id="2132"/>
                            <w:bookmarkEnd w:id="2133"/>
                            <w:r>
                              <w:rPr>
                                <w:color w:val="00000A"/>
                                <w:sz w:val="18"/>
                                <w:szCs w:val="18"/>
                              </w:rPr>
                              <w:t>Shapiro-Wilk Sig.</w:t>
                            </w:r>
                          </w:p>
                        </w:tc>
                      </w:tr>
                      <w:tr>
                        <w:trPr>
                          <w:cantSplit w:val="true"/>
                        </w:trPr>
                        <w:tc>
                          <w:tcPr>
                            <w:tcW w:w="1520" w:type="dxa"/>
                            <w:gridSpan w:val="2"/>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2134" w:name="__UnoMark__17163_118561941"/>
                            <w:bookmarkStart w:id="2135" w:name="__UnoMark__17162_118561941"/>
                            <w:bookmarkEnd w:id="2134"/>
                            <w:bookmarkEnd w:id="2135"/>
                            <w:r>
                              <w:rPr>
                                <w:color w:val="00000A"/>
                                <w:sz w:val="18"/>
                                <w:szCs w:val="18"/>
                              </w:rPr>
                              <w:t>RST_LDS</w:t>
                            </w:r>
                          </w:p>
                        </w:tc>
                        <w:tc>
                          <w:tcPr>
                            <w:tcW w:w="1120" w:type="dxa"/>
                            <w:gridSpan w:val="2"/>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2136" w:name="__UnoMark__17164_118561941"/>
                            <w:bookmarkEnd w:id="2136"/>
                            <w:r>
                              <w:rPr>
                                <w:color w:val="00000A"/>
                                <w:sz w:val="18"/>
                                <w:szCs w:val="18"/>
                              </w:rPr>
                              <w:t>.200</w:t>
                            </w:r>
                            <w:bookmarkStart w:id="2137" w:name="__UnoMark__17165_118561941"/>
                            <w:bookmarkEnd w:id="2137"/>
                            <w:r>
                              <w:rPr>
                                <w:color w:val="00000A"/>
                                <w:sz w:val="18"/>
                                <w:szCs w:val="18"/>
                                <w:vertAlign w:val="superscript"/>
                              </w:rPr>
                              <w:t>*</w:t>
                            </w:r>
                          </w:p>
                        </w:tc>
                        <w:tc>
                          <w:tcPr>
                            <w:tcW w:w="673"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2138" w:name="__UnoMark__17167_118561941"/>
                            <w:bookmarkStart w:id="2139" w:name="__UnoMark__17166_118561941"/>
                            <w:bookmarkEnd w:id="2138"/>
                            <w:bookmarkEnd w:id="2139"/>
                            <w:r>
                              <w:rPr>
                                <w:color w:val="00000A"/>
                                <w:sz w:val="18"/>
                                <w:szCs w:val="18"/>
                              </w:rPr>
                              <w:t>.609</w:t>
                            </w:r>
                          </w:p>
                        </w:tc>
                      </w:tr>
                      <w:tr>
                        <w:trPr>
                          <w:cantSplit w:val="true"/>
                        </w:trPr>
                        <w:tc>
                          <w:tcPr>
                            <w:tcW w:w="1520" w:type="dxa"/>
                            <w:gridSpan w:val="2"/>
                            <w:tcBorders>
                              <w:top w:val="single" w:sz="2" w:space="0" w:color="00000A"/>
                            </w:tcBorders>
                            <w:shd w:color="auto" w:fill="auto" w:val="clear"/>
                          </w:tcPr>
                          <w:p>
                            <w:pPr>
                              <w:pStyle w:val="FrameContents"/>
                              <w:spacing w:lineRule="auto" w:line="240" w:before="0" w:after="60"/>
                              <w:ind w:left="60" w:right="60" w:hanging="0"/>
                              <w:jc w:val="center"/>
                              <w:rPr/>
                            </w:pPr>
                            <w:bookmarkStart w:id="2140" w:name="__UnoMark__17169_118561941"/>
                            <w:bookmarkStart w:id="2141" w:name="__UnoMark__17168_118561941"/>
                            <w:bookmarkEnd w:id="2140"/>
                            <w:bookmarkEnd w:id="2141"/>
                            <w:r>
                              <w:rPr>
                                <w:color w:val="00000A"/>
                                <w:sz w:val="18"/>
                                <w:szCs w:val="18"/>
                              </w:rPr>
                              <w:t>LPA_LDS</w:t>
                            </w:r>
                          </w:p>
                        </w:tc>
                        <w:tc>
                          <w:tcPr>
                            <w:tcW w:w="1120" w:type="dxa"/>
                            <w:gridSpan w:val="2"/>
                            <w:tcBorders>
                              <w:top w:val="single" w:sz="2" w:space="0" w:color="00000A"/>
                            </w:tcBorders>
                            <w:shd w:color="auto" w:fill="FFFFFF" w:val="clear"/>
                          </w:tcPr>
                          <w:p>
                            <w:pPr>
                              <w:pStyle w:val="FrameContents"/>
                              <w:spacing w:lineRule="auto" w:line="240" w:before="0" w:after="60"/>
                              <w:ind w:left="60" w:right="60" w:hanging="0"/>
                              <w:jc w:val="center"/>
                              <w:rPr/>
                            </w:pPr>
                            <w:bookmarkStart w:id="2142" w:name="__UnoMark__17171_118561941"/>
                            <w:bookmarkStart w:id="2143" w:name="__UnoMark__17170_118561941"/>
                            <w:bookmarkEnd w:id="2142"/>
                            <w:bookmarkEnd w:id="2143"/>
                            <w:r>
                              <w:rPr>
                                <w:color w:val="00000A"/>
                                <w:sz w:val="18"/>
                                <w:szCs w:val="18"/>
                              </w:rPr>
                              <w:t>.133</w:t>
                            </w:r>
                          </w:p>
                        </w:tc>
                        <w:tc>
                          <w:tcPr>
                            <w:tcW w:w="673" w:type="dxa"/>
                            <w:tcBorders>
                              <w:top w:val="single" w:sz="2" w:space="0" w:color="00000A"/>
                            </w:tcBorders>
                            <w:shd w:color="auto" w:fill="FFFFFF" w:val="clear"/>
                          </w:tcPr>
                          <w:p>
                            <w:pPr>
                              <w:pStyle w:val="FrameContents"/>
                              <w:spacing w:lineRule="auto" w:line="240" w:before="0" w:after="60"/>
                              <w:ind w:left="60" w:right="60" w:hanging="0"/>
                              <w:jc w:val="center"/>
                              <w:rPr/>
                            </w:pPr>
                            <w:bookmarkStart w:id="2144" w:name="__UnoMark__17173_118561941"/>
                            <w:bookmarkStart w:id="2145" w:name="__UnoMark__17172_118561941"/>
                            <w:bookmarkEnd w:id="2144"/>
                            <w:bookmarkEnd w:id="2145"/>
                            <w:r>
                              <w:rPr>
                                <w:color w:val="00000A"/>
                                <w:sz w:val="18"/>
                                <w:szCs w:val="18"/>
                              </w:rPr>
                              <w:t>.007</w:t>
                            </w:r>
                          </w:p>
                        </w:tc>
                      </w:tr>
                      <w:tr>
                        <w:trPr>
                          <w:cantSplit w:val="true"/>
                        </w:trPr>
                        <w:tc>
                          <w:tcPr>
                            <w:tcW w:w="1520" w:type="dxa"/>
                            <w:gridSpan w:val="2"/>
                            <w:tcBorders/>
                            <w:shd w:color="auto" w:fill="auto" w:val="clear"/>
                          </w:tcPr>
                          <w:p>
                            <w:pPr>
                              <w:pStyle w:val="FrameContents"/>
                              <w:spacing w:lineRule="auto" w:line="240" w:before="0" w:after="60"/>
                              <w:ind w:left="60" w:right="60" w:hanging="0"/>
                              <w:jc w:val="center"/>
                              <w:rPr/>
                            </w:pPr>
                            <w:bookmarkStart w:id="2146" w:name="__UnoMark__17175_118561941"/>
                            <w:bookmarkStart w:id="2147" w:name="__UnoMark__17174_118561941"/>
                            <w:bookmarkEnd w:id="2146"/>
                            <w:bookmarkEnd w:id="2147"/>
                            <w:r>
                              <w:rPr>
                                <w:color w:val="00000A"/>
                                <w:sz w:val="18"/>
                                <w:szCs w:val="18"/>
                              </w:rPr>
                              <w:t>Apriori_LDS</w:t>
                            </w:r>
                          </w:p>
                        </w:tc>
                        <w:tc>
                          <w:tcPr>
                            <w:tcW w:w="1120" w:type="dxa"/>
                            <w:gridSpan w:val="2"/>
                            <w:tcBorders/>
                            <w:shd w:color="auto" w:fill="FFFFFF" w:val="clear"/>
                          </w:tcPr>
                          <w:p>
                            <w:pPr>
                              <w:pStyle w:val="FrameContents"/>
                              <w:spacing w:lineRule="auto" w:line="240" w:before="0" w:after="60"/>
                              <w:ind w:left="60" w:right="60" w:hanging="0"/>
                              <w:jc w:val="center"/>
                              <w:rPr/>
                            </w:pPr>
                            <w:bookmarkStart w:id="2148" w:name="__UnoMark__17177_118561941"/>
                            <w:bookmarkStart w:id="2149" w:name="__UnoMark__17176_118561941"/>
                            <w:bookmarkEnd w:id="2148"/>
                            <w:bookmarkEnd w:id="2149"/>
                            <w:r>
                              <w:rPr>
                                <w:color w:val="00000A"/>
                                <w:sz w:val="18"/>
                                <w:szCs w:val="18"/>
                              </w:rPr>
                              <w:t>.010</w:t>
                            </w:r>
                          </w:p>
                        </w:tc>
                        <w:tc>
                          <w:tcPr>
                            <w:tcW w:w="673" w:type="dxa"/>
                            <w:tcBorders/>
                            <w:shd w:color="auto" w:fill="FFFFFF" w:val="clear"/>
                          </w:tcPr>
                          <w:p>
                            <w:pPr>
                              <w:pStyle w:val="FrameContents"/>
                              <w:spacing w:lineRule="auto" w:line="240" w:before="0" w:after="60"/>
                              <w:ind w:left="60" w:right="60" w:hanging="0"/>
                              <w:jc w:val="center"/>
                              <w:rPr/>
                            </w:pPr>
                            <w:bookmarkStart w:id="2150" w:name="__UnoMark__17179_118561941"/>
                            <w:bookmarkStart w:id="2151" w:name="__UnoMark__17178_118561941"/>
                            <w:bookmarkEnd w:id="2150"/>
                            <w:bookmarkEnd w:id="2151"/>
                            <w:r>
                              <w:rPr>
                                <w:color w:val="00000A"/>
                                <w:sz w:val="18"/>
                                <w:szCs w:val="18"/>
                              </w:rPr>
                              <w:t>.000</w:t>
                            </w:r>
                          </w:p>
                        </w:tc>
                      </w:tr>
                      <w:tr>
                        <w:trPr>
                          <w:cantSplit w:val="true"/>
                        </w:trPr>
                        <w:tc>
                          <w:tcPr>
                            <w:tcW w:w="1520" w:type="dxa"/>
                            <w:gridSpan w:val="2"/>
                            <w:tcBorders/>
                            <w:shd w:color="auto" w:fill="auto" w:val="clear"/>
                          </w:tcPr>
                          <w:p>
                            <w:pPr>
                              <w:pStyle w:val="FrameContents"/>
                              <w:spacing w:lineRule="auto" w:line="240" w:before="0" w:after="60"/>
                              <w:ind w:left="60" w:right="60" w:hanging="0"/>
                              <w:jc w:val="center"/>
                              <w:rPr/>
                            </w:pPr>
                            <w:bookmarkStart w:id="2152" w:name="__UnoMark__17181_118561941"/>
                            <w:bookmarkStart w:id="2153" w:name="__UnoMark__17180_118561941"/>
                            <w:bookmarkEnd w:id="2152"/>
                            <w:bookmarkEnd w:id="2153"/>
                            <w:r>
                              <w:rPr>
                                <w:color w:val="00000A"/>
                                <w:sz w:val="18"/>
                                <w:szCs w:val="18"/>
                              </w:rPr>
                              <w:t>ACO_LDS</w:t>
                            </w:r>
                          </w:p>
                        </w:tc>
                        <w:tc>
                          <w:tcPr>
                            <w:tcW w:w="1120" w:type="dxa"/>
                            <w:gridSpan w:val="2"/>
                            <w:tcBorders/>
                            <w:shd w:color="auto" w:fill="FFFFFF" w:val="clear"/>
                          </w:tcPr>
                          <w:p>
                            <w:pPr>
                              <w:pStyle w:val="FrameContents"/>
                              <w:spacing w:lineRule="auto" w:line="240" w:before="0" w:after="60"/>
                              <w:ind w:left="60" w:right="60" w:hanging="0"/>
                              <w:jc w:val="center"/>
                              <w:rPr/>
                            </w:pPr>
                            <w:bookmarkStart w:id="2154" w:name="__UnoMark__17183_118561941"/>
                            <w:bookmarkStart w:id="2155" w:name="__UnoMark__17182_118561941"/>
                            <w:bookmarkEnd w:id="2154"/>
                            <w:bookmarkEnd w:id="2155"/>
                            <w:r>
                              <w:rPr>
                                <w:color w:val="00000A"/>
                                <w:sz w:val="18"/>
                                <w:szCs w:val="18"/>
                              </w:rPr>
                              <w:t>.097</w:t>
                            </w:r>
                          </w:p>
                        </w:tc>
                        <w:tc>
                          <w:tcPr>
                            <w:tcW w:w="673" w:type="dxa"/>
                            <w:tcBorders/>
                            <w:shd w:color="auto" w:fill="FFFFFF" w:val="clear"/>
                          </w:tcPr>
                          <w:p>
                            <w:pPr>
                              <w:pStyle w:val="FrameContents"/>
                              <w:spacing w:lineRule="auto" w:line="240" w:before="0" w:after="60"/>
                              <w:ind w:left="60" w:right="60" w:hanging="0"/>
                              <w:jc w:val="center"/>
                              <w:rPr/>
                            </w:pPr>
                            <w:bookmarkStart w:id="2156" w:name="__UnoMark__17185_118561941"/>
                            <w:bookmarkStart w:id="2157" w:name="__UnoMark__17184_118561941"/>
                            <w:bookmarkEnd w:id="2156"/>
                            <w:bookmarkEnd w:id="2157"/>
                            <w:r>
                              <w:rPr>
                                <w:color w:val="00000A"/>
                                <w:sz w:val="18"/>
                                <w:szCs w:val="18"/>
                              </w:rPr>
                              <w:t>.029</w:t>
                            </w:r>
                          </w:p>
                        </w:tc>
                      </w:tr>
                      <w:tr>
                        <w:trPr>
                          <w:cantSplit w:val="true"/>
                        </w:trPr>
                        <w:tc>
                          <w:tcPr>
                            <w:tcW w:w="1520" w:type="dxa"/>
                            <w:gridSpan w:val="2"/>
                            <w:tcBorders/>
                            <w:shd w:color="auto" w:fill="auto" w:val="clear"/>
                          </w:tcPr>
                          <w:p>
                            <w:pPr>
                              <w:pStyle w:val="FrameContents"/>
                              <w:spacing w:lineRule="auto" w:line="240" w:before="0" w:after="60"/>
                              <w:ind w:left="60" w:right="60" w:hanging="0"/>
                              <w:jc w:val="center"/>
                              <w:rPr/>
                            </w:pPr>
                            <w:bookmarkStart w:id="2158" w:name="__UnoMark__17187_118561941"/>
                            <w:bookmarkStart w:id="2159" w:name="__UnoMark__17186_118561941"/>
                            <w:bookmarkEnd w:id="2158"/>
                            <w:bookmarkEnd w:id="2159"/>
                            <w:r>
                              <w:rPr>
                                <w:color w:val="00000A"/>
                                <w:sz w:val="18"/>
                                <w:szCs w:val="18"/>
                              </w:rPr>
                              <w:t>GA_LDS</w:t>
                            </w:r>
                          </w:p>
                        </w:tc>
                        <w:tc>
                          <w:tcPr>
                            <w:tcW w:w="1120" w:type="dxa"/>
                            <w:gridSpan w:val="2"/>
                            <w:tcBorders/>
                            <w:shd w:color="auto" w:fill="FFFFFF" w:val="clear"/>
                          </w:tcPr>
                          <w:p>
                            <w:pPr>
                              <w:pStyle w:val="FrameContents"/>
                              <w:spacing w:lineRule="auto" w:line="240" w:before="0" w:after="60"/>
                              <w:ind w:left="60" w:right="60" w:hanging="0"/>
                              <w:jc w:val="center"/>
                              <w:rPr/>
                            </w:pPr>
                            <w:bookmarkStart w:id="2160" w:name="__UnoMark__17189_118561941"/>
                            <w:bookmarkStart w:id="2161" w:name="__UnoMark__17188_118561941"/>
                            <w:bookmarkEnd w:id="2160"/>
                            <w:bookmarkEnd w:id="2161"/>
                            <w:r>
                              <w:rPr>
                                <w:color w:val="00000A"/>
                                <w:sz w:val="18"/>
                                <w:szCs w:val="18"/>
                              </w:rPr>
                              <w:t>.100</w:t>
                            </w:r>
                          </w:p>
                        </w:tc>
                        <w:tc>
                          <w:tcPr>
                            <w:tcW w:w="673" w:type="dxa"/>
                            <w:tcBorders/>
                            <w:shd w:color="auto" w:fill="FFFFFF" w:val="clear"/>
                          </w:tcPr>
                          <w:p>
                            <w:pPr>
                              <w:pStyle w:val="FrameContents"/>
                              <w:spacing w:lineRule="auto" w:line="240" w:before="0" w:after="60"/>
                              <w:ind w:left="60" w:right="60" w:hanging="0"/>
                              <w:jc w:val="center"/>
                              <w:rPr/>
                            </w:pPr>
                            <w:bookmarkStart w:id="2162" w:name="__UnoMark__17191_118561941"/>
                            <w:bookmarkStart w:id="2163" w:name="__UnoMark__17190_118561941"/>
                            <w:bookmarkEnd w:id="2162"/>
                            <w:bookmarkEnd w:id="2163"/>
                            <w:r>
                              <w:rPr>
                                <w:color w:val="00000A"/>
                                <w:sz w:val="18"/>
                                <w:szCs w:val="18"/>
                              </w:rPr>
                              <w:t>.033</w:t>
                            </w:r>
                          </w:p>
                        </w:tc>
                      </w:tr>
                      <w:tr>
                        <w:trPr>
                          <w:cantSplit w:val="true"/>
                        </w:trPr>
                        <w:tc>
                          <w:tcPr>
                            <w:tcW w:w="1520" w:type="dxa"/>
                            <w:gridSpan w:val="2"/>
                            <w:tcBorders/>
                            <w:shd w:color="auto" w:fill="auto" w:val="clear"/>
                          </w:tcPr>
                          <w:p>
                            <w:pPr>
                              <w:pStyle w:val="FrameContents"/>
                              <w:spacing w:lineRule="auto" w:line="240" w:before="0" w:after="60"/>
                              <w:ind w:left="60" w:right="60" w:hanging="0"/>
                              <w:jc w:val="center"/>
                              <w:rPr/>
                            </w:pPr>
                            <w:bookmarkStart w:id="2164" w:name="__UnoMark__17193_118561941"/>
                            <w:bookmarkStart w:id="2165" w:name="__UnoMark__17192_118561941"/>
                            <w:bookmarkEnd w:id="2164"/>
                            <w:bookmarkEnd w:id="2165"/>
                            <w:r>
                              <w:rPr>
                                <w:color w:val="00000A"/>
                                <w:sz w:val="18"/>
                                <w:szCs w:val="18"/>
                              </w:rPr>
                              <w:t>PCA_LDS</w:t>
                            </w:r>
                          </w:p>
                        </w:tc>
                        <w:tc>
                          <w:tcPr>
                            <w:tcW w:w="1120" w:type="dxa"/>
                            <w:gridSpan w:val="2"/>
                            <w:tcBorders/>
                            <w:shd w:color="auto" w:fill="FFFFFF" w:val="clear"/>
                          </w:tcPr>
                          <w:p>
                            <w:pPr>
                              <w:pStyle w:val="FrameContents"/>
                              <w:spacing w:lineRule="auto" w:line="240" w:before="0" w:after="60"/>
                              <w:ind w:left="60" w:right="60" w:hanging="0"/>
                              <w:jc w:val="center"/>
                              <w:rPr/>
                            </w:pPr>
                            <w:bookmarkStart w:id="2166" w:name="__UnoMark__17195_118561941"/>
                            <w:bookmarkStart w:id="2167" w:name="__UnoMark__17194_118561941"/>
                            <w:bookmarkEnd w:id="2166"/>
                            <w:bookmarkEnd w:id="2167"/>
                            <w:r>
                              <w:rPr>
                                <w:color w:val="00000A"/>
                                <w:sz w:val="18"/>
                                <w:szCs w:val="18"/>
                              </w:rPr>
                              <w:t>.011</w:t>
                            </w:r>
                          </w:p>
                        </w:tc>
                        <w:tc>
                          <w:tcPr>
                            <w:tcW w:w="673" w:type="dxa"/>
                            <w:tcBorders/>
                            <w:shd w:color="auto" w:fill="FFFFFF" w:val="clear"/>
                          </w:tcPr>
                          <w:p>
                            <w:pPr>
                              <w:pStyle w:val="FrameContents"/>
                              <w:spacing w:lineRule="auto" w:line="240" w:before="0" w:after="60"/>
                              <w:ind w:left="60" w:right="60" w:hanging="0"/>
                              <w:jc w:val="center"/>
                              <w:rPr/>
                            </w:pPr>
                            <w:bookmarkStart w:id="2168" w:name="__UnoMark__17196_118561941"/>
                            <w:bookmarkEnd w:id="2168"/>
                            <w:r>
                              <w:rPr>
                                <w:color w:val="00000A"/>
                                <w:sz w:val="18"/>
                                <w:szCs w:val="18"/>
                              </w:rPr>
                              <w:t>.000</w:t>
                            </w:r>
                          </w:p>
                        </w:tc>
                      </w:tr>
                    </w:tbl>
                    <w:p>
                      <w:pPr>
                        <w:pStyle w:val="FrameContents"/>
                        <w:spacing w:before="80" w:after="60"/>
                        <w:rPr>
                          <w:color w:val="000000"/>
                        </w:rPr>
                      </w:pPr>
                      <w:r>
                        <w:rPr>
                          <w:color w:val="000000"/>
                        </w:rPr>
                      </w:r>
                    </w:p>
                  </w:txbxContent>
                </v:textbox>
              </v:rect>
            </w:pict>
          </mc:Fallback>
        </mc:AlternateContent>
      </w:r>
    </w:p>
    <w:p>
      <w:pPr>
        <w:pStyle w:val="Caption1"/>
        <w:keepNext/>
        <w:rPr/>
      </w:pPr>
      <w:r>
        <w:rPr/>
      </w:r>
    </w:p>
    <w:p>
      <w:pPr>
        <w:pStyle w:val="Normal"/>
        <w:rPr>
          <w:lang w:val="en-US"/>
        </w:rPr>
      </w:pPr>
      <w:r>
        <w:rPr>
          <w:lang w:val="en-US"/>
        </w:rPr>
        <mc:AlternateContent>
          <mc:Choice Requires="wps">
            <w:drawing>
              <wp:anchor behindDoc="0" distT="0" distB="0" distL="114300" distR="114300" simplePos="0" locked="0" layoutInCell="1" allowOverlap="1" relativeHeight="40">
                <wp:simplePos x="0" y="0"/>
                <wp:positionH relativeFrom="margin">
                  <wp:align>center</wp:align>
                </wp:positionH>
                <wp:positionV relativeFrom="paragraph">
                  <wp:posOffset>-83185</wp:posOffset>
                </wp:positionV>
                <wp:extent cx="5701665" cy="2511425"/>
                <wp:effectExtent l="0" t="0" r="0" b="0"/>
                <wp:wrapSquare wrapText="bothSides"/>
                <wp:docPr id="46" name="Frame15"/>
                <a:graphic xmlns:a="http://schemas.openxmlformats.org/drawingml/2006/main">
                  <a:graphicData uri="http://schemas.microsoft.com/office/word/2010/wordprocessingShape">
                    <wps:wsp>
                      <wps:cNvSpPr/>
                      <wps:spPr>
                        <a:xfrm>
                          <a:off x="0" y="0"/>
                          <a:ext cx="5700960" cy="2510640"/>
                        </a:xfrm>
                        <a:prstGeom prst="rect">
                          <a:avLst/>
                        </a:prstGeom>
                        <a:noFill/>
                        <a:ln>
                          <a:noFill/>
                        </a:ln>
                      </wps:spPr>
                      <wps:style>
                        <a:lnRef idx="0"/>
                        <a:fillRef idx="0"/>
                        <a:effectRef idx="0"/>
                        <a:fontRef idx="minor"/>
                      </wps:style>
                      <wps:txbx>
                        <w:txbxContent>
                          <w:tbl>
                            <w:tblPr>
                              <w:tblW w:w="5000" w:type="pct"/>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4342"/>
                              <w:gridCol w:w="1447"/>
                              <w:gridCol w:w="3191"/>
                            </w:tblGrid>
                            <w:tr>
                              <w:trPr>
                                <w:cantSplit w:val="true"/>
                              </w:trPr>
                              <w:tc>
                                <w:tcPr>
                                  <w:tcW w:w="434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pPr>
                                  <w:bookmarkStart w:id="2169" w:name="__UnoMark__17296_118561941"/>
                                  <w:bookmarkEnd w:id="2169"/>
                                  <w:r>
                                    <w:rPr>
                                      <w:sz w:val="18"/>
                                      <w:szCs w:val="18"/>
                                      <w:lang w:val="en-US"/>
                                    </w:rPr>
                                    <w:t>Algoritmos</w:t>
                                  </w:r>
                                </w:p>
                              </w:tc>
                              <w:tc>
                                <w:tcPr>
                                  <w:tcW w:w="144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pPr>
                                  <w:bookmarkStart w:id="2170" w:name="__UnoMark__17298_118561941"/>
                                  <w:bookmarkStart w:id="2171" w:name="__UnoMark__17297_118561941"/>
                                  <w:bookmarkEnd w:id="2170"/>
                                  <w:bookmarkEnd w:id="2171"/>
                                  <w:r>
                                    <w:rPr>
                                      <w:sz w:val="18"/>
                                      <w:szCs w:val="18"/>
                                      <w:lang w:val="en-US"/>
                                    </w:rPr>
                                    <w:t>p-value</w:t>
                                  </w:r>
                                </w:p>
                              </w:tc>
                              <w:tc>
                                <w:tcPr>
                                  <w:tcW w:w="319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pPr>
                                  <w:bookmarkStart w:id="2172" w:name="__UnoMark__17300_118561941"/>
                                  <w:bookmarkStart w:id="2173" w:name="__UnoMark__17299_118561941"/>
                                  <w:bookmarkEnd w:id="2172"/>
                                  <w:bookmarkEnd w:id="2173"/>
                                  <w:r>
                                    <w:rPr>
                                      <w:sz w:val="18"/>
                                      <w:szCs w:val="18"/>
                                      <w:lang w:val="en-US"/>
                                    </w:rPr>
                                    <w:t>Resultados</w:t>
                                  </w:r>
                                </w:p>
                              </w:tc>
                            </w:tr>
                            <w:tr>
                              <w:trPr>
                                <w:trHeight w:val="655" w:hRule="atLeast"/>
                                <w:cantSplit w:val="true"/>
                              </w:trPr>
                              <w:tc>
                                <w:tcPr>
                                  <w:tcW w:w="434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pPr>
                                  <w:bookmarkStart w:id="2174" w:name="__UnoMark__17301_118561941"/>
                                  <w:bookmarkEnd w:id="2174"/>
                                  <w:r>
                                    <w:rPr>
                                      <w:i/>
                                      <w:sz w:val="18"/>
                                      <w:szCs w:val="18"/>
                                    </w:rPr>
                                    <w:t>Wilcoxon test</w:t>
                                  </w:r>
                                  <w:r>
                                    <w:rPr>
                                      <w:sz w:val="18"/>
                                      <w:szCs w:val="18"/>
                                    </w:rPr>
                                    <w:t xml:space="preserve"> (grupo A)</w:t>
                                  </w:r>
                                </w:p>
                                <w:p>
                                  <w:pPr>
                                    <w:pStyle w:val="FrameContents"/>
                                    <w:spacing w:lineRule="auto" w:line="240" w:before="0" w:after="0"/>
                                    <w:jc w:val="left"/>
                                    <w:rPr/>
                                  </w:pPr>
                                  <w:bookmarkStart w:id="2175" w:name="__UnoMark__17302_118561941"/>
                                  <w:bookmarkEnd w:id="2175"/>
                                  <w:r>
                                    <w:rPr>
                                      <w:sz w:val="18"/>
                                      <w:szCs w:val="18"/>
                                    </w:rPr>
                                    <w:t xml:space="preserve">GA_LDS - LPA_LDS </w:t>
                                  </w:r>
                                </w:p>
                              </w:tc>
                              <w:tc>
                                <w:tcPr>
                                  <w:tcW w:w="144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pPr>
                                  <w:bookmarkStart w:id="2176" w:name="__UnoMark__17304_118561941"/>
                                  <w:bookmarkStart w:id="2177" w:name="__UnoMark__17303_118561941"/>
                                  <w:bookmarkEnd w:id="2176"/>
                                  <w:bookmarkEnd w:id="2177"/>
                                  <w:r>
                                    <w:rPr>
                                      <w:sz w:val="18"/>
                                      <w:szCs w:val="18"/>
                                      <w:lang w:val="en-US"/>
                                    </w:rPr>
                                    <w:t>0.130</w:t>
                                  </w:r>
                                </w:p>
                              </w:tc>
                              <w:tc>
                                <w:tcPr>
                                  <w:tcW w:w="319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pPr>
                                  <w:bookmarkStart w:id="2178" w:name="__UnoMark__17306_118561941"/>
                                  <w:bookmarkStart w:id="2179" w:name="__UnoMark__17305_118561941"/>
                                  <w:bookmarkEnd w:id="2178"/>
                                  <w:bookmarkEnd w:id="2179"/>
                                  <w:r>
                                    <w:rPr>
                                      <w:sz w:val="18"/>
                                      <w:szCs w:val="18"/>
                                      <w:lang w:val="en-US"/>
                                    </w:rPr>
                                    <w:t>No hay diferencias significativas</w:t>
                                  </w:r>
                                </w:p>
                              </w:tc>
                            </w:tr>
                            <w:tr>
                              <w:trPr>
                                <w:trHeight w:val="850" w:hRule="atLeast"/>
                                <w:cantSplit w:val="true"/>
                              </w:trPr>
                              <w:tc>
                                <w:tcPr>
                                  <w:tcW w:w="434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pPr>
                                  <w:bookmarkStart w:id="2180" w:name="__UnoMark__17307_118561941"/>
                                  <w:bookmarkEnd w:id="2180"/>
                                  <w:r>
                                    <w:rPr>
                                      <w:i/>
                                      <w:sz w:val="18"/>
                                      <w:szCs w:val="18"/>
                                      <w:lang w:val="en-US"/>
                                    </w:rPr>
                                    <w:t xml:space="preserve">Wilcoxon test </w:t>
                                  </w:r>
                                </w:p>
                                <w:p>
                                  <w:pPr>
                                    <w:pStyle w:val="FrameContents"/>
                                    <w:spacing w:lineRule="auto" w:line="240" w:before="0" w:after="0"/>
                                    <w:jc w:val="left"/>
                                    <w:rPr/>
                                  </w:pPr>
                                  <w:bookmarkStart w:id="2181" w:name="__UnoMark__17308_118561941"/>
                                  <w:bookmarkEnd w:id="2181"/>
                                  <w:r>
                                    <w:rPr>
                                      <w:sz w:val="18"/>
                                      <w:szCs w:val="18"/>
                                    </w:rPr>
                                    <w:t>GA_LDS (grupo A) - RST_LDS (grupo B)</w:t>
                                  </w:r>
                                </w:p>
                              </w:tc>
                              <w:tc>
                                <w:tcPr>
                                  <w:tcW w:w="1447"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pPr>
                                  <w:bookmarkStart w:id="2182" w:name="__UnoMark__17310_118561941"/>
                                  <w:bookmarkStart w:id="2183" w:name="__UnoMark__17309_118561941"/>
                                  <w:bookmarkEnd w:id="2182"/>
                                  <w:bookmarkEnd w:id="2183"/>
                                  <w:r>
                                    <w:rPr>
                                      <w:sz w:val="18"/>
                                      <w:szCs w:val="18"/>
                                      <w:lang w:val="en-US"/>
                                    </w:rPr>
                                    <w:t>0.005</w:t>
                                  </w:r>
                                </w:p>
                              </w:tc>
                              <w:tc>
                                <w:tcPr>
                                  <w:tcW w:w="319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pPr>
                                  <w:bookmarkStart w:id="2184" w:name="__UnoMark__17312_118561941"/>
                                  <w:bookmarkStart w:id="2185" w:name="__UnoMark__17311_118561941"/>
                                  <w:bookmarkEnd w:id="2184"/>
                                  <w:bookmarkEnd w:id="2185"/>
                                  <w:r>
                                    <w:rPr>
                                      <w:sz w:val="18"/>
                                      <w:szCs w:val="18"/>
                                      <w:lang w:val="en-US"/>
                                    </w:rPr>
                                    <w:t>Hay diferencias significativas</w:t>
                                  </w:r>
                                </w:p>
                              </w:tc>
                            </w:tr>
                            <w:tr>
                              <w:trPr>
                                <w:trHeight w:val="693" w:hRule="atLeast"/>
                                <w:cantSplit w:val="true"/>
                              </w:trPr>
                              <w:tc>
                                <w:tcPr>
                                  <w:tcW w:w="434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pPr>
                                  <w:bookmarkStart w:id="2186" w:name="__UnoMark__17313_118561941"/>
                                  <w:bookmarkEnd w:id="2186"/>
                                  <w:r>
                                    <w:rPr>
                                      <w:i/>
                                      <w:sz w:val="18"/>
                                      <w:szCs w:val="18"/>
                                      <w:lang w:val="en-US"/>
                                    </w:rPr>
                                    <w:t>Wilcoxon test</w:t>
                                  </w:r>
                                </w:p>
                                <w:p>
                                  <w:pPr>
                                    <w:pStyle w:val="FrameContents"/>
                                    <w:spacing w:lineRule="auto" w:line="240" w:before="0" w:after="0"/>
                                    <w:jc w:val="left"/>
                                    <w:rPr/>
                                  </w:pPr>
                                  <w:bookmarkStart w:id="2187" w:name="__UnoMark__17314_118561941"/>
                                  <w:bookmarkEnd w:id="2187"/>
                                  <w:r>
                                    <w:rPr>
                                      <w:sz w:val="18"/>
                                      <w:szCs w:val="18"/>
                                    </w:rPr>
                                    <w:t>RST_LDS (grupo B) - ACO_LDS (grupo C)</w:t>
                                  </w:r>
                                </w:p>
                              </w:tc>
                              <w:tc>
                                <w:tcPr>
                                  <w:tcW w:w="1447"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pPr>
                                  <w:bookmarkStart w:id="2188" w:name="__UnoMark__17316_118561941"/>
                                  <w:bookmarkStart w:id="2189" w:name="__UnoMark__17315_118561941"/>
                                  <w:bookmarkEnd w:id="2188"/>
                                  <w:bookmarkEnd w:id="2189"/>
                                  <w:r>
                                    <w:rPr>
                                      <w:sz w:val="18"/>
                                      <w:szCs w:val="18"/>
                                      <w:lang w:val="en-US"/>
                                    </w:rPr>
                                    <w:t>0.021</w:t>
                                  </w:r>
                                </w:p>
                              </w:tc>
                              <w:tc>
                                <w:tcPr>
                                  <w:tcW w:w="319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pPr>
                                  <w:bookmarkStart w:id="2190" w:name="__UnoMark__17318_118561941"/>
                                  <w:bookmarkStart w:id="2191" w:name="__UnoMark__17317_118561941"/>
                                  <w:bookmarkEnd w:id="2190"/>
                                  <w:bookmarkEnd w:id="2191"/>
                                  <w:r>
                                    <w:rPr>
                                      <w:sz w:val="18"/>
                                      <w:szCs w:val="18"/>
                                      <w:lang w:val="en-US"/>
                                    </w:rPr>
                                    <w:t>Hay diferencias significativas</w:t>
                                  </w:r>
                                </w:p>
                              </w:tc>
                            </w:tr>
                            <w:tr>
                              <w:trPr>
                                <w:trHeight w:val="604" w:hRule="atLeast"/>
                                <w:cantSplit w:val="true"/>
                              </w:trPr>
                              <w:tc>
                                <w:tcPr>
                                  <w:tcW w:w="434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pPr>
                                  <w:bookmarkStart w:id="2192" w:name="__UnoMark__17319_118561941"/>
                                  <w:bookmarkEnd w:id="2192"/>
                                  <w:r>
                                    <w:rPr>
                                      <w:i/>
                                      <w:sz w:val="18"/>
                                      <w:szCs w:val="18"/>
                                    </w:rPr>
                                    <w:t>Wilcoxon test</w:t>
                                  </w:r>
                                </w:p>
                                <w:p>
                                  <w:pPr>
                                    <w:pStyle w:val="FrameContents"/>
                                    <w:spacing w:lineRule="auto" w:line="240" w:before="0" w:after="0"/>
                                    <w:jc w:val="left"/>
                                    <w:rPr/>
                                  </w:pPr>
                                  <w:bookmarkStart w:id="2193" w:name="__UnoMark__17320_118561941"/>
                                  <w:bookmarkEnd w:id="2193"/>
                                  <w:r>
                                    <w:rPr>
                                      <w:sz w:val="18"/>
                                      <w:szCs w:val="18"/>
                                    </w:rPr>
                                    <w:t>ACO_LDS (grupo C) - Apriori_LDS (grupo D)</w:t>
                                  </w:r>
                                </w:p>
                              </w:tc>
                              <w:tc>
                                <w:tcPr>
                                  <w:tcW w:w="1447"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pPr>
                                  <w:bookmarkStart w:id="2194" w:name="__UnoMark__17322_118561941"/>
                                  <w:bookmarkStart w:id="2195" w:name="__UnoMark__17321_118561941"/>
                                  <w:bookmarkEnd w:id="2194"/>
                                  <w:bookmarkEnd w:id="2195"/>
                                  <w:r>
                                    <w:rPr>
                                      <w:sz w:val="18"/>
                                      <w:szCs w:val="18"/>
                                      <w:lang w:val="en-US"/>
                                    </w:rPr>
                                    <w:t>0.013</w:t>
                                  </w:r>
                                </w:p>
                              </w:tc>
                              <w:tc>
                                <w:tcPr>
                                  <w:tcW w:w="319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pPr>
                                  <w:bookmarkStart w:id="2196" w:name="__UnoMark__17324_118561941"/>
                                  <w:bookmarkStart w:id="2197" w:name="__UnoMark__17323_118561941"/>
                                  <w:bookmarkEnd w:id="2196"/>
                                  <w:bookmarkEnd w:id="2197"/>
                                  <w:r>
                                    <w:rPr>
                                      <w:sz w:val="18"/>
                                      <w:szCs w:val="18"/>
                                      <w:lang w:val="en-US"/>
                                    </w:rPr>
                                    <w:t>Hay diferencias significativas</w:t>
                                  </w:r>
                                </w:p>
                              </w:tc>
                            </w:tr>
                            <w:tr>
                              <w:trPr>
                                <w:trHeight w:val="604" w:hRule="atLeast"/>
                                <w:cantSplit w:val="true"/>
                              </w:trPr>
                              <w:tc>
                                <w:tcPr>
                                  <w:tcW w:w="434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pPr>
                                  <w:bookmarkStart w:id="2198" w:name="__UnoMark__17325_118561941"/>
                                  <w:bookmarkEnd w:id="2198"/>
                                  <w:r>
                                    <w:rPr>
                                      <w:i/>
                                      <w:sz w:val="18"/>
                                      <w:szCs w:val="18"/>
                                      <w:lang w:val="en-US"/>
                                    </w:rPr>
                                    <w:t>Wilcoxon test</w:t>
                                  </w:r>
                                  <w:r>
                                    <w:rPr>
                                      <w:sz w:val="18"/>
                                      <w:szCs w:val="18"/>
                                      <w:lang w:val="en-US"/>
                                    </w:rPr>
                                    <w:t xml:space="preserve"> (grupo D)</w:t>
                                  </w:r>
                                </w:p>
                                <w:p>
                                  <w:pPr>
                                    <w:pStyle w:val="FrameContents"/>
                                    <w:spacing w:lineRule="auto" w:line="240" w:before="0" w:after="0"/>
                                    <w:jc w:val="left"/>
                                    <w:rPr/>
                                  </w:pPr>
                                  <w:r>
                                    <w:rPr>
                                      <w:sz w:val="18"/>
                                      <w:szCs w:val="18"/>
                                      <w:lang w:val="en-US"/>
                                    </w:rPr>
                                    <w:t xml:space="preserve">Apriori_LDS - </w:t>
                                  </w:r>
                                  <w:bookmarkStart w:id="2199" w:name="__UnoMark__17326_118561941"/>
                                  <w:bookmarkEnd w:id="2199"/>
                                  <w:r>
                                    <w:rPr>
                                      <w:color w:val="00000A"/>
                                      <w:sz w:val="18"/>
                                      <w:szCs w:val="18"/>
                                      <w:lang w:val="en-US"/>
                                    </w:rPr>
                                    <w:t>PCA_LDS</w:t>
                                  </w:r>
                                </w:p>
                              </w:tc>
                              <w:tc>
                                <w:tcPr>
                                  <w:tcW w:w="144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pPr>
                                  <w:bookmarkStart w:id="2200" w:name="__UnoMark__17328_118561941"/>
                                  <w:bookmarkStart w:id="2201" w:name="__UnoMark__17327_118561941"/>
                                  <w:bookmarkEnd w:id="2200"/>
                                  <w:bookmarkEnd w:id="2201"/>
                                  <w:r>
                                    <w:rPr>
                                      <w:sz w:val="18"/>
                                      <w:szCs w:val="18"/>
                                      <w:lang w:val="en-US"/>
                                    </w:rPr>
                                    <w:t>0.317</w:t>
                                  </w:r>
                                </w:p>
                              </w:tc>
                              <w:tc>
                                <w:tcPr>
                                  <w:tcW w:w="319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pPr>
                                  <w:bookmarkStart w:id="2202" w:name="__UnoMark__17329_118561941"/>
                                  <w:bookmarkEnd w:id="2202"/>
                                  <w:r>
                                    <w:rPr>
                                      <w:sz w:val="18"/>
                                      <w:szCs w:val="18"/>
                                      <w:lang w:val="en-US"/>
                                    </w:rPr>
                                    <w:t>No hay diferencias significativas</w:t>
                                  </w:r>
                                </w:p>
                              </w:tc>
                            </w:tr>
                          </w:tbl>
                          <w:p>
                            <w:pPr>
                              <w:pStyle w:val="FrameContents"/>
                              <w:spacing w:before="80" w:after="60"/>
                              <w:rPr>
                                <w:color w:val="000000"/>
                              </w:rPr>
                            </w:pPr>
                            <w:r>
                              <w:rPr>
                                <w:color w:val="000000"/>
                              </w:rPr>
                            </w:r>
                          </w:p>
                        </w:txbxContent>
                      </wps:txbx>
                      <wps:bodyPr lIns="0" rIns="0" tIns="0" bIns="0">
                        <a:spAutoFit/>
                      </wps:bodyPr>
                    </wps:wsp>
                  </a:graphicData>
                </a:graphic>
                <wp14:sizeRelH relativeFrom="margin">
                  <wp14:pctWidth>100000</wp14:pctWidth>
                </wp14:sizeRelH>
              </wp:anchor>
            </w:drawing>
          </mc:Choice>
          <mc:Fallback>
            <w:pict>
              <v:rect id="shape_0" ID="Frame15" stroked="f" style="position:absolute;margin-left:0pt;margin-top:-6.55pt;width:448.85pt;height:197.65pt;mso-position-horizontal:center;mso-position-horizontal-relative:margin">
                <w10:wrap type="none"/>
                <v:fill o:detectmouseclick="t" on="false"/>
                <v:stroke color="#3465a4" joinstyle="round" endcap="flat"/>
                <v:textbox>
                  <w:txbxContent>
                    <w:tbl>
                      <w:tblPr>
                        <w:tblW w:w="5000" w:type="pct"/>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4342"/>
                        <w:gridCol w:w="1447"/>
                        <w:gridCol w:w="3191"/>
                      </w:tblGrid>
                      <w:tr>
                        <w:trPr>
                          <w:cantSplit w:val="true"/>
                        </w:trPr>
                        <w:tc>
                          <w:tcPr>
                            <w:tcW w:w="434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pPr>
                            <w:bookmarkStart w:id="2203" w:name="__UnoMark__17296_118561941"/>
                            <w:bookmarkEnd w:id="2203"/>
                            <w:r>
                              <w:rPr>
                                <w:sz w:val="18"/>
                                <w:szCs w:val="18"/>
                                <w:lang w:val="en-US"/>
                              </w:rPr>
                              <w:t>Algoritmos</w:t>
                            </w:r>
                          </w:p>
                        </w:tc>
                        <w:tc>
                          <w:tcPr>
                            <w:tcW w:w="144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pPr>
                            <w:bookmarkStart w:id="2204" w:name="__UnoMark__17298_118561941"/>
                            <w:bookmarkStart w:id="2205" w:name="__UnoMark__17297_118561941"/>
                            <w:bookmarkEnd w:id="2204"/>
                            <w:bookmarkEnd w:id="2205"/>
                            <w:r>
                              <w:rPr>
                                <w:sz w:val="18"/>
                                <w:szCs w:val="18"/>
                                <w:lang w:val="en-US"/>
                              </w:rPr>
                              <w:t>p-value</w:t>
                            </w:r>
                          </w:p>
                        </w:tc>
                        <w:tc>
                          <w:tcPr>
                            <w:tcW w:w="319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pPr>
                            <w:bookmarkStart w:id="2206" w:name="__UnoMark__17300_118561941"/>
                            <w:bookmarkStart w:id="2207" w:name="__UnoMark__17299_118561941"/>
                            <w:bookmarkEnd w:id="2206"/>
                            <w:bookmarkEnd w:id="2207"/>
                            <w:r>
                              <w:rPr>
                                <w:sz w:val="18"/>
                                <w:szCs w:val="18"/>
                                <w:lang w:val="en-US"/>
                              </w:rPr>
                              <w:t>Resultados</w:t>
                            </w:r>
                          </w:p>
                        </w:tc>
                      </w:tr>
                      <w:tr>
                        <w:trPr>
                          <w:trHeight w:val="655" w:hRule="atLeast"/>
                          <w:cantSplit w:val="true"/>
                        </w:trPr>
                        <w:tc>
                          <w:tcPr>
                            <w:tcW w:w="434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pPr>
                            <w:bookmarkStart w:id="2208" w:name="__UnoMark__17301_118561941"/>
                            <w:bookmarkEnd w:id="2208"/>
                            <w:r>
                              <w:rPr>
                                <w:i/>
                                <w:sz w:val="18"/>
                                <w:szCs w:val="18"/>
                              </w:rPr>
                              <w:t>Wilcoxon test</w:t>
                            </w:r>
                            <w:r>
                              <w:rPr>
                                <w:sz w:val="18"/>
                                <w:szCs w:val="18"/>
                              </w:rPr>
                              <w:t xml:space="preserve"> (grupo A)</w:t>
                            </w:r>
                          </w:p>
                          <w:p>
                            <w:pPr>
                              <w:pStyle w:val="FrameContents"/>
                              <w:spacing w:lineRule="auto" w:line="240" w:before="0" w:after="0"/>
                              <w:jc w:val="left"/>
                              <w:rPr/>
                            </w:pPr>
                            <w:bookmarkStart w:id="2209" w:name="__UnoMark__17302_118561941"/>
                            <w:bookmarkEnd w:id="2209"/>
                            <w:r>
                              <w:rPr>
                                <w:sz w:val="18"/>
                                <w:szCs w:val="18"/>
                              </w:rPr>
                              <w:t xml:space="preserve">GA_LDS - LPA_LDS </w:t>
                            </w:r>
                          </w:p>
                        </w:tc>
                        <w:tc>
                          <w:tcPr>
                            <w:tcW w:w="144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pPr>
                            <w:bookmarkStart w:id="2210" w:name="__UnoMark__17304_118561941"/>
                            <w:bookmarkStart w:id="2211" w:name="__UnoMark__17303_118561941"/>
                            <w:bookmarkEnd w:id="2210"/>
                            <w:bookmarkEnd w:id="2211"/>
                            <w:r>
                              <w:rPr>
                                <w:sz w:val="18"/>
                                <w:szCs w:val="18"/>
                                <w:lang w:val="en-US"/>
                              </w:rPr>
                              <w:t>0.130</w:t>
                            </w:r>
                          </w:p>
                        </w:tc>
                        <w:tc>
                          <w:tcPr>
                            <w:tcW w:w="319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pPr>
                            <w:bookmarkStart w:id="2212" w:name="__UnoMark__17306_118561941"/>
                            <w:bookmarkStart w:id="2213" w:name="__UnoMark__17305_118561941"/>
                            <w:bookmarkEnd w:id="2212"/>
                            <w:bookmarkEnd w:id="2213"/>
                            <w:r>
                              <w:rPr>
                                <w:sz w:val="18"/>
                                <w:szCs w:val="18"/>
                                <w:lang w:val="en-US"/>
                              </w:rPr>
                              <w:t>No hay diferencias significativas</w:t>
                            </w:r>
                          </w:p>
                        </w:tc>
                      </w:tr>
                      <w:tr>
                        <w:trPr>
                          <w:trHeight w:val="850" w:hRule="atLeast"/>
                          <w:cantSplit w:val="true"/>
                        </w:trPr>
                        <w:tc>
                          <w:tcPr>
                            <w:tcW w:w="434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pPr>
                            <w:bookmarkStart w:id="2214" w:name="__UnoMark__17307_118561941"/>
                            <w:bookmarkEnd w:id="2214"/>
                            <w:r>
                              <w:rPr>
                                <w:i/>
                                <w:sz w:val="18"/>
                                <w:szCs w:val="18"/>
                                <w:lang w:val="en-US"/>
                              </w:rPr>
                              <w:t xml:space="preserve">Wilcoxon test </w:t>
                            </w:r>
                          </w:p>
                          <w:p>
                            <w:pPr>
                              <w:pStyle w:val="FrameContents"/>
                              <w:spacing w:lineRule="auto" w:line="240" w:before="0" w:after="0"/>
                              <w:jc w:val="left"/>
                              <w:rPr/>
                            </w:pPr>
                            <w:bookmarkStart w:id="2215" w:name="__UnoMark__17308_118561941"/>
                            <w:bookmarkEnd w:id="2215"/>
                            <w:r>
                              <w:rPr>
                                <w:sz w:val="18"/>
                                <w:szCs w:val="18"/>
                              </w:rPr>
                              <w:t>GA_LDS (grupo A) - RST_LDS (grupo B)</w:t>
                            </w:r>
                          </w:p>
                        </w:tc>
                        <w:tc>
                          <w:tcPr>
                            <w:tcW w:w="1447"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pPr>
                            <w:bookmarkStart w:id="2216" w:name="__UnoMark__17310_118561941"/>
                            <w:bookmarkStart w:id="2217" w:name="__UnoMark__17309_118561941"/>
                            <w:bookmarkEnd w:id="2216"/>
                            <w:bookmarkEnd w:id="2217"/>
                            <w:r>
                              <w:rPr>
                                <w:sz w:val="18"/>
                                <w:szCs w:val="18"/>
                                <w:lang w:val="en-US"/>
                              </w:rPr>
                              <w:t>0.005</w:t>
                            </w:r>
                          </w:p>
                        </w:tc>
                        <w:tc>
                          <w:tcPr>
                            <w:tcW w:w="319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pPr>
                            <w:bookmarkStart w:id="2218" w:name="__UnoMark__17312_118561941"/>
                            <w:bookmarkStart w:id="2219" w:name="__UnoMark__17311_118561941"/>
                            <w:bookmarkEnd w:id="2218"/>
                            <w:bookmarkEnd w:id="2219"/>
                            <w:r>
                              <w:rPr>
                                <w:sz w:val="18"/>
                                <w:szCs w:val="18"/>
                                <w:lang w:val="en-US"/>
                              </w:rPr>
                              <w:t>Hay diferencias significativas</w:t>
                            </w:r>
                          </w:p>
                        </w:tc>
                      </w:tr>
                      <w:tr>
                        <w:trPr>
                          <w:trHeight w:val="693" w:hRule="atLeast"/>
                          <w:cantSplit w:val="true"/>
                        </w:trPr>
                        <w:tc>
                          <w:tcPr>
                            <w:tcW w:w="434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pPr>
                            <w:bookmarkStart w:id="2220" w:name="__UnoMark__17313_118561941"/>
                            <w:bookmarkEnd w:id="2220"/>
                            <w:r>
                              <w:rPr>
                                <w:i/>
                                <w:sz w:val="18"/>
                                <w:szCs w:val="18"/>
                                <w:lang w:val="en-US"/>
                              </w:rPr>
                              <w:t>Wilcoxon test</w:t>
                            </w:r>
                          </w:p>
                          <w:p>
                            <w:pPr>
                              <w:pStyle w:val="FrameContents"/>
                              <w:spacing w:lineRule="auto" w:line="240" w:before="0" w:after="0"/>
                              <w:jc w:val="left"/>
                              <w:rPr/>
                            </w:pPr>
                            <w:bookmarkStart w:id="2221" w:name="__UnoMark__17314_118561941"/>
                            <w:bookmarkEnd w:id="2221"/>
                            <w:r>
                              <w:rPr>
                                <w:sz w:val="18"/>
                                <w:szCs w:val="18"/>
                              </w:rPr>
                              <w:t>RST_LDS (grupo B) - ACO_LDS (grupo C)</w:t>
                            </w:r>
                          </w:p>
                        </w:tc>
                        <w:tc>
                          <w:tcPr>
                            <w:tcW w:w="1447"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pPr>
                            <w:bookmarkStart w:id="2222" w:name="__UnoMark__17316_118561941"/>
                            <w:bookmarkStart w:id="2223" w:name="__UnoMark__17315_118561941"/>
                            <w:bookmarkEnd w:id="2222"/>
                            <w:bookmarkEnd w:id="2223"/>
                            <w:r>
                              <w:rPr>
                                <w:sz w:val="18"/>
                                <w:szCs w:val="18"/>
                                <w:lang w:val="en-US"/>
                              </w:rPr>
                              <w:t>0.021</w:t>
                            </w:r>
                          </w:p>
                        </w:tc>
                        <w:tc>
                          <w:tcPr>
                            <w:tcW w:w="319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pPr>
                            <w:bookmarkStart w:id="2224" w:name="__UnoMark__17318_118561941"/>
                            <w:bookmarkStart w:id="2225" w:name="__UnoMark__17317_118561941"/>
                            <w:bookmarkEnd w:id="2224"/>
                            <w:bookmarkEnd w:id="2225"/>
                            <w:r>
                              <w:rPr>
                                <w:sz w:val="18"/>
                                <w:szCs w:val="18"/>
                                <w:lang w:val="en-US"/>
                              </w:rPr>
                              <w:t>Hay diferencias significativas</w:t>
                            </w:r>
                          </w:p>
                        </w:tc>
                      </w:tr>
                      <w:tr>
                        <w:trPr>
                          <w:trHeight w:val="604" w:hRule="atLeast"/>
                          <w:cantSplit w:val="true"/>
                        </w:trPr>
                        <w:tc>
                          <w:tcPr>
                            <w:tcW w:w="434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pPr>
                            <w:bookmarkStart w:id="2226" w:name="__UnoMark__17319_118561941"/>
                            <w:bookmarkEnd w:id="2226"/>
                            <w:r>
                              <w:rPr>
                                <w:i/>
                                <w:sz w:val="18"/>
                                <w:szCs w:val="18"/>
                              </w:rPr>
                              <w:t>Wilcoxon test</w:t>
                            </w:r>
                          </w:p>
                          <w:p>
                            <w:pPr>
                              <w:pStyle w:val="FrameContents"/>
                              <w:spacing w:lineRule="auto" w:line="240" w:before="0" w:after="0"/>
                              <w:jc w:val="left"/>
                              <w:rPr/>
                            </w:pPr>
                            <w:bookmarkStart w:id="2227" w:name="__UnoMark__17320_118561941"/>
                            <w:bookmarkEnd w:id="2227"/>
                            <w:r>
                              <w:rPr>
                                <w:sz w:val="18"/>
                                <w:szCs w:val="18"/>
                              </w:rPr>
                              <w:t>ACO_LDS (grupo C) - Apriori_LDS (grupo D)</w:t>
                            </w:r>
                          </w:p>
                        </w:tc>
                        <w:tc>
                          <w:tcPr>
                            <w:tcW w:w="1447"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pPr>
                            <w:bookmarkStart w:id="2228" w:name="__UnoMark__17322_118561941"/>
                            <w:bookmarkStart w:id="2229" w:name="__UnoMark__17321_118561941"/>
                            <w:bookmarkEnd w:id="2228"/>
                            <w:bookmarkEnd w:id="2229"/>
                            <w:r>
                              <w:rPr>
                                <w:sz w:val="18"/>
                                <w:szCs w:val="18"/>
                                <w:lang w:val="en-US"/>
                              </w:rPr>
                              <w:t>0.013</w:t>
                            </w:r>
                          </w:p>
                        </w:tc>
                        <w:tc>
                          <w:tcPr>
                            <w:tcW w:w="319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pPr>
                            <w:bookmarkStart w:id="2230" w:name="__UnoMark__17324_118561941"/>
                            <w:bookmarkStart w:id="2231" w:name="__UnoMark__17323_118561941"/>
                            <w:bookmarkEnd w:id="2230"/>
                            <w:bookmarkEnd w:id="2231"/>
                            <w:r>
                              <w:rPr>
                                <w:sz w:val="18"/>
                                <w:szCs w:val="18"/>
                                <w:lang w:val="en-US"/>
                              </w:rPr>
                              <w:t>Hay diferencias significativas</w:t>
                            </w:r>
                          </w:p>
                        </w:tc>
                      </w:tr>
                      <w:tr>
                        <w:trPr>
                          <w:trHeight w:val="604" w:hRule="atLeast"/>
                          <w:cantSplit w:val="true"/>
                        </w:trPr>
                        <w:tc>
                          <w:tcPr>
                            <w:tcW w:w="434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pPr>
                            <w:bookmarkStart w:id="2232" w:name="__UnoMark__17325_118561941"/>
                            <w:bookmarkEnd w:id="2232"/>
                            <w:r>
                              <w:rPr>
                                <w:i/>
                                <w:sz w:val="18"/>
                                <w:szCs w:val="18"/>
                                <w:lang w:val="en-US"/>
                              </w:rPr>
                              <w:t>Wilcoxon test</w:t>
                            </w:r>
                            <w:r>
                              <w:rPr>
                                <w:sz w:val="18"/>
                                <w:szCs w:val="18"/>
                                <w:lang w:val="en-US"/>
                              </w:rPr>
                              <w:t xml:space="preserve"> (grupo D)</w:t>
                            </w:r>
                          </w:p>
                          <w:p>
                            <w:pPr>
                              <w:pStyle w:val="FrameContents"/>
                              <w:spacing w:lineRule="auto" w:line="240" w:before="0" w:after="0"/>
                              <w:jc w:val="left"/>
                              <w:rPr/>
                            </w:pPr>
                            <w:r>
                              <w:rPr>
                                <w:sz w:val="18"/>
                                <w:szCs w:val="18"/>
                                <w:lang w:val="en-US"/>
                              </w:rPr>
                              <w:t xml:space="preserve">Apriori_LDS - </w:t>
                            </w:r>
                            <w:bookmarkStart w:id="2233" w:name="__UnoMark__17326_118561941"/>
                            <w:bookmarkEnd w:id="2233"/>
                            <w:r>
                              <w:rPr>
                                <w:color w:val="00000A"/>
                                <w:sz w:val="18"/>
                                <w:szCs w:val="18"/>
                                <w:lang w:val="en-US"/>
                              </w:rPr>
                              <w:t>PCA_LDS</w:t>
                            </w:r>
                          </w:p>
                        </w:tc>
                        <w:tc>
                          <w:tcPr>
                            <w:tcW w:w="144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pPr>
                            <w:bookmarkStart w:id="2234" w:name="__UnoMark__17328_118561941"/>
                            <w:bookmarkStart w:id="2235" w:name="__UnoMark__17327_118561941"/>
                            <w:bookmarkEnd w:id="2234"/>
                            <w:bookmarkEnd w:id="2235"/>
                            <w:r>
                              <w:rPr>
                                <w:sz w:val="18"/>
                                <w:szCs w:val="18"/>
                                <w:lang w:val="en-US"/>
                              </w:rPr>
                              <w:t>0.317</w:t>
                            </w:r>
                          </w:p>
                        </w:tc>
                        <w:tc>
                          <w:tcPr>
                            <w:tcW w:w="319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pPr>
                            <w:bookmarkStart w:id="2236" w:name="__UnoMark__17329_118561941"/>
                            <w:bookmarkEnd w:id="2236"/>
                            <w:r>
                              <w:rPr>
                                <w:sz w:val="18"/>
                                <w:szCs w:val="18"/>
                                <w:lang w:val="en-US"/>
                              </w:rPr>
                              <w:t>No hay diferencias significativas</w:t>
                            </w:r>
                          </w:p>
                        </w:tc>
                      </w:tr>
                    </w:tbl>
                    <w:p>
                      <w:pPr>
                        <w:pStyle w:val="FrameContents"/>
                        <w:spacing w:before="80" w:after="60"/>
                        <w:rPr>
                          <w:color w:val="000000"/>
                        </w:rPr>
                      </w:pPr>
                      <w:r>
                        <w:rPr>
                          <w:color w:val="000000"/>
                        </w:rPr>
                      </w:r>
                    </w:p>
                  </w:txbxContent>
                </v:textbox>
              </v:rect>
            </w:pict>
          </mc:Fallback>
        </mc:AlternateContent>
      </w:r>
    </w:p>
    <w:p>
      <w:pPr>
        <w:pStyle w:val="Normal"/>
        <w:rPr>
          <w:lang w:val="en-US"/>
        </w:rPr>
      </w:pPr>
      <w:r>
        <mc:AlternateContent>
          <mc:Choice Requires="wps">
            <w:drawing>
              <wp:anchor behindDoc="0" distT="45720" distB="45720" distL="114300" distR="114300" simplePos="0" locked="0" layoutInCell="1" allowOverlap="1" relativeHeight="5" wp14:anchorId="61B28F8A">
                <wp:simplePos x="0" y="0"/>
                <wp:positionH relativeFrom="margin">
                  <wp:posOffset>2535555</wp:posOffset>
                </wp:positionH>
                <wp:positionV relativeFrom="paragraph">
                  <wp:posOffset>164465</wp:posOffset>
                </wp:positionV>
                <wp:extent cx="3126105" cy="2479040"/>
                <wp:effectExtent l="0" t="0" r="635" b="0"/>
                <wp:wrapSquare wrapText="bothSides"/>
                <wp:docPr id="48" name="Cuadro de texto 2"/>
                <a:graphic xmlns:a="http://schemas.openxmlformats.org/drawingml/2006/main">
                  <a:graphicData uri="http://schemas.microsoft.com/office/word/2010/wordprocessingShape">
                    <wps:wsp>
                      <wps:cNvSpPr/>
                      <wps:spPr>
                        <a:xfrm>
                          <a:off x="0" y="0"/>
                          <a:ext cx="3125520" cy="2478240"/>
                        </a:xfrm>
                        <a:prstGeom prst="rect">
                          <a:avLst/>
                        </a:prstGeom>
                        <a:solidFill>
                          <a:srgbClr val="ffffff"/>
                        </a:solidFill>
                        <a:ln w="9360">
                          <a:noFill/>
                        </a:ln>
                      </wps:spPr>
                      <wps:style>
                        <a:lnRef idx="0"/>
                        <a:fillRef idx="0"/>
                        <a:effectRef idx="0"/>
                        <a:fontRef idx="minor"/>
                      </wps:style>
                      <wps:txbx>
                        <w:txbxContent>
                          <w:p>
                            <w:pPr>
                              <w:pStyle w:val="FrameContents"/>
                              <w:spacing w:before="80" w:after="60"/>
                              <w:jc w:val="center"/>
                              <w:rPr>
                                <w:bCs w:val="false"/>
                                <w:sz w:val="20"/>
                              </w:rPr>
                            </w:pPr>
                            <w:bookmarkStart w:id="2237" w:name="_Ref65851290"/>
                            <w:r>
                              <w:rPr/>
                              <w:drawing>
                                <wp:inline distT="0" distB="0" distL="0" distR="0">
                                  <wp:extent cx="3060700" cy="2063750"/>
                                  <wp:effectExtent l="0" t="0" r="0" b="0"/>
                                  <wp:docPr id="50" name="Chart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hart 77" descr=""/>
                                          <pic:cNvPicPr>
                                            <a:picLocks noChangeAspect="1" noChangeArrowheads="1"/>
                                          </pic:cNvPicPr>
                                        </pic:nvPicPr>
                                        <pic:blipFill>
                                          <a:blip r:embed="rId16"/>
                                          <a:stretch>
                                            <a:fillRect/>
                                          </a:stretch>
                                        </pic:blipFill>
                                        <pic:spPr bwMode="auto">
                                          <a:xfrm>
                                            <a:off x="0" y="0"/>
                                            <a:ext cx="3060700" cy="2063750"/>
                                          </a:xfrm>
                                          <a:prstGeom prst="rect">
                                            <a:avLst/>
                                          </a:prstGeom>
                                        </pic:spPr>
                                      </pic:pic>
                                    </a:graphicData>
                                  </a:graphic>
                                </wp:inline>
                              </w:drawing>
                            </w:r>
                          </w:p>
                          <w:p>
                            <w:pPr>
                              <w:pStyle w:val="FrameContents"/>
                              <w:spacing w:lineRule="auto" w:line="240" w:before="0" w:after="0"/>
                              <w:jc w:val="center"/>
                              <w:rPr/>
                            </w:pPr>
                            <w:bookmarkStart w:id="2238" w:name="_Toc84599020"/>
                            <w:bookmarkStart w:id="2239" w:name="_Ref68932598"/>
                            <w:r>
                              <w:rPr>
                                <w:bCs w:val="false"/>
                                <w:sz w:val="20"/>
                              </w:rPr>
                              <w:t xml:space="preserve">Figura </w:t>
                            </w:r>
                            <w:r>
                              <w:rPr>
                                <w:bCs w:val="false"/>
                                <w:sz w:val="20"/>
                              </w:rPr>
                              <w:fldChar w:fldCharType="begin"/>
                            </w:r>
                            <w:r>
                              <w:instrText> SEQ Figura \* ARABIC </w:instrText>
                            </w:r>
                            <w:r>
                              <w:fldChar w:fldCharType="separate"/>
                            </w:r>
                            <w:r>
                              <w:t>13</w:t>
                            </w:r>
                            <w:r>
                              <w:fldChar w:fldCharType="end"/>
                            </w:r>
                            <w:bookmarkEnd w:id="2237"/>
                            <w:bookmarkEnd w:id="2239"/>
                            <w:r>
                              <w:rPr>
                                <w:bCs w:val="false"/>
                                <w:sz w:val="20"/>
                              </w:rPr>
                              <w:t xml:space="preserve">: Media aritmética del indicador </w:t>
                            </w:r>
                            <w:r>
                              <w:rPr>
                                <w:bCs w:val="false"/>
                                <w:i/>
                                <w:sz w:val="20"/>
                              </w:rPr>
                              <w:t>T</w:t>
                            </w:r>
                            <w:r>
                              <w:rPr>
                                <w:bCs w:val="false"/>
                                <w:i/>
                                <w:sz w:val="20"/>
                                <w:vertAlign w:val="subscript"/>
                              </w:rPr>
                              <w:t>4</w:t>
                            </w:r>
                            <w:bookmarkEnd w:id="2238"/>
                            <w:r>
                              <w:rPr>
                                <w:bCs w:val="false"/>
                                <w:sz w:val="20"/>
                              </w:rPr>
                              <w:t>.</w:t>
                            </w:r>
                          </w:p>
                        </w:txbxContent>
                      </wps:txbx>
                      <wps:bodyPr lIns="90000" rIns="90000" tIns="45000" bIns="45000">
                        <a:noAutofit/>
                      </wps:bodyPr>
                    </wps:wsp>
                  </a:graphicData>
                </a:graphic>
              </wp:anchor>
            </w:drawing>
          </mc:Choice>
          <mc:Fallback>
            <w:pict>
              <v:rect id="shape_0" ID="Cuadro de texto 2" fillcolor="white" stroked="f" style="position:absolute;margin-left:199.65pt;margin-top:12.95pt;width:246.05pt;height:195.1pt;mso-position-horizontal-relative:margin" wp14:anchorId="61B28F8A">
                <w10:wrap type="square"/>
                <v:fill o:detectmouseclick="t" type="solid" color2="black"/>
                <v:stroke color="#3465a4" weight="9360" joinstyle="round" endcap="flat"/>
                <v:textbox>
                  <w:txbxContent>
                    <w:p>
                      <w:pPr>
                        <w:pStyle w:val="FrameContents"/>
                        <w:spacing w:before="80" w:after="60"/>
                        <w:jc w:val="center"/>
                        <w:rPr>
                          <w:bCs w:val="false"/>
                          <w:sz w:val="20"/>
                        </w:rPr>
                      </w:pPr>
                      <w:bookmarkStart w:id="2240" w:name="_Ref65851290"/>
                      <w:r>
                        <w:rPr/>
                        <w:drawing>
                          <wp:inline distT="0" distB="0" distL="0" distR="0">
                            <wp:extent cx="3060700" cy="2063750"/>
                            <wp:effectExtent l="0" t="0" r="0" b="0"/>
                            <wp:docPr id="51" name="Chart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hart 77" descr=""/>
                                    <pic:cNvPicPr>
                                      <a:picLocks noChangeAspect="1" noChangeArrowheads="1"/>
                                    </pic:cNvPicPr>
                                  </pic:nvPicPr>
                                  <pic:blipFill>
                                    <a:blip r:embed="rId16"/>
                                    <a:stretch>
                                      <a:fillRect/>
                                    </a:stretch>
                                  </pic:blipFill>
                                  <pic:spPr bwMode="auto">
                                    <a:xfrm>
                                      <a:off x="0" y="0"/>
                                      <a:ext cx="3060700" cy="2063750"/>
                                    </a:xfrm>
                                    <a:prstGeom prst="rect">
                                      <a:avLst/>
                                    </a:prstGeom>
                                  </pic:spPr>
                                </pic:pic>
                              </a:graphicData>
                            </a:graphic>
                          </wp:inline>
                        </w:drawing>
                      </w:r>
                    </w:p>
                    <w:p>
                      <w:pPr>
                        <w:pStyle w:val="FrameContents"/>
                        <w:spacing w:lineRule="auto" w:line="240" w:before="0" w:after="0"/>
                        <w:jc w:val="center"/>
                        <w:rPr/>
                      </w:pPr>
                      <w:bookmarkStart w:id="2241" w:name="_Toc84599020"/>
                      <w:bookmarkStart w:id="2242" w:name="_Ref68932598"/>
                      <w:r>
                        <w:rPr>
                          <w:bCs w:val="false"/>
                          <w:sz w:val="20"/>
                        </w:rPr>
                        <w:t xml:space="preserve">Figura </w:t>
                      </w:r>
                      <w:r>
                        <w:rPr>
                          <w:bCs w:val="false"/>
                          <w:sz w:val="20"/>
                        </w:rPr>
                        <w:fldChar w:fldCharType="begin"/>
                      </w:r>
                      <w:r>
                        <w:instrText> SEQ Figura \* ARABIC </w:instrText>
                      </w:r>
                      <w:r>
                        <w:fldChar w:fldCharType="separate"/>
                      </w:r>
                      <w:r>
                        <w:t>13</w:t>
                      </w:r>
                      <w:r>
                        <w:fldChar w:fldCharType="end"/>
                      </w:r>
                      <w:bookmarkEnd w:id="2240"/>
                      <w:bookmarkEnd w:id="2242"/>
                      <w:r>
                        <w:rPr>
                          <w:bCs w:val="false"/>
                          <w:sz w:val="20"/>
                        </w:rPr>
                        <w:t xml:space="preserve">: Media aritmética del indicador </w:t>
                      </w:r>
                      <w:r>
                        <w:rPr>
                          <w:bCs w:val="false"/>
                          <w:i/>
                          <w:sz w:val="20"/>
                        </w:rPr>
                        <w:t>T</w:t>
                      </w:r>
                      <w:r>
                        <w:rPr>
                          <w:bCs w:val="false"/>
                          <w:i/>
                          <w:sz w:val="20"/>
                          <w:vertAlign w:val="subscript"/>
                        </w:rPr>
                        <w:t>4</w:t>
                      </w:r>
                      <w:bookmarkEnd w:id="2241"/>
                      <w:r>
                        <w:rPr>
                          <w:bCs w:val="false"/>
                          <w:sz w:val="20"/>
                        </w:rPr>
                        <w:t>.</w:t>
                      </w:r>
                    </w:p>
                  </w:txbxContent>
                </v:textbox>
              </v:rect>
            </w:pict>
          </mc:Fallback>
        </mc:AlternateContent>
      </w:r>
      <w:r>
        <w:rPr>
          <w:lang w:val="en-US"/>
        </w:rPr>
        <w:t xml:space="preserve">Para la comparación se aplicó el test no paramétrico </w:t>
      </w:r>
      <w:r>
        <w:rPr>
          <w:i/>
          <w:lang w:val="en-US"/>
        </w:rPr>
        <w:t>Wilcoxon</w:t>
      </w:r>
      <w:r>
        <w:rPr>
          <w:lang w:val="en-US"/>
        </w:rPr>
        <w:t xml:space="preserve"> y se demuestra que los algoritmos </w:t>
      </w:r>
      <w:r>
        <w:rPr>
          <w:rFonts w:cs="Courier New" w:ascii="Courier New" w:hAnsi="Courier New"/>
        </w:rPr>
        <w:t>GA_LDS</w:t>
      </w:r>
      <w:r>
        <w:rPr>
          <w:lang w:val="en-US"/>
        </w:rPr>
        <w:t xml:space="preserve"> y </w:t>
      </w:r>
      <w:r>
        <w:rPr>
          <w:rFonts w:cs="Courier New" w:ascii="Courier New" w:hAnsi="Courier New"/>
          <w:szCs w:val="20"/>
        </w:rPr>
        <w:t>LPA_LDS</w:t>
      </w:r>
      <w:r>
        <w:rPr>
          <w:i/>
          <w:sz w:val="28"/>
          <w:lang w:val="en-US"/>
        </w:rPr>
        <w:t xml:space="preserve"> </w:t>
      </w:r>
      <w:r>
        <w:rPr>
          <w:lang w:val="en-US"/>
        </w:rPr>
        <w:t>reportan resultados significativamente mejores que el resto de los algoritmos, están ubicados</w:t>
      </w:r>
      <w:r>
        <w:rPr>
          <w:i/>
          <w:lang w:val="en-US"/>
        </w:rPr>
        <w:t xml:space="preserve"> </w:t>
      </w:r>
      <w:r>
        <w:rPr>
          <w:lang w:val="en-US"/>
        </w:rPr>
        <w:t>en el</w:t>
      </w:r>
      <w:r>
        <w:rPr>
          <w:i/>
          <w:lang w:val="en-US"/>
        </w:rPr>
        <w:t xml:space="preserve"> </w:t>
      </w:r>
      <w:r>
        <w:rPr>
          <w:lang w:val="en-US"/>
        </w:rPr>
        <w:t>“grupo A”. Luego se ubican los algoritmos</w:t>
      </w:r>
      <w:r>
        <w:rPr>
          <w:rFonts w:cs="Courier New" w:ascii="Courier New" w:hAnsi="Courier New"/>
        </w:rPr>
        <w:t xml:space="preserve"> RST_LDS</w:t>
      </w:r>
      <w:r>
        <w:rPr>
          <w:lang w:val="en-US"/>
        </w:rPr>
        <w:t xml:space="preserve"> y </w:t>
      </w:r>
      <w:r>
        <w:rPr>
          <w:rFonts w:cs="Courier New" w:ascii="Courier New" w:hAnsi="Courier New"/>
        </w:rPr>
        <w:t>ACO_LDS</w:t>
      </w:r>
      <w:r>
        <w:rPr>
          <w:lang w:val="en-US"/>
        </w:rPr>
        <w:t xml:space="preserve"> en los grupos B y C respectivamente. No se encontraron diferencias significativas en los algoritmos </w:t>
      </w:r>
      <w:r>
        <w:rPr>
          <w:rFonts w:cs="Courier New" w:ascii="Courier New" w:hAnsi="Courier New"/>
        </w:rPr>
        <w:t>Apriori_LDS</w:t>
      </w:r>
      <w:r>
        <w:rPr>
          <w:lang w:val="en-US"/>
        </w:rPr>
        <w:t xml:space="preserve"> y </w:t>
      </w:r>
      <w:r>
        <w:rPr>
          <w:rFonts w:cs="Courier New" w:ascii="Courier New" w:hAnsi="Courier New"/>
        </w:rPr>
        <w:t>PCA_LDS</w:t>
      </w:r>
      <w:r>
        <w:rPr>
          <w:lang w:val="en-US"/>
        </w:rPr>
        <w:t>, quedaron ubicados en el “grupo D” reportando peores resultados.</w:t>
      </w:r>
    </w:p>
    <w:p>
      <w:pPr>
        <w:pStyle w:val="Heading3"/>
        <w:numPr>
          <w:ilvl w:val="2"/>
          <w:numId w:val="80"/>
        </w:numPr>
        <w:rPr/>
      </w:pPr>
      <w:r>
        <w:rPr/>
        <w:t>Comparación de los algoritmos respecto al indicador T</w:t>
      </w:r>
      <w:r>
        <w:rPr>
          <w:vertAlign w:val="subscript"/>
        </w:rPr>
        <w:t>5</w:t>
      </w:r>
    </w:p>
    <w:p>
      <w:pPr>
        <w:pStyle w:val="Normal"/>
        <w:rPr>
          <w:rFonts w:ascii="Courier New" w:hAnsi="Courier New" w:cs="Courier New"/>
        </w:rPr>
      </w:pPr>
      <w:r>
        <w:drawing>
          <wp:anchor behindDoc="0" distT="0" distB="12700" distL="114300" distR="114300" simplePos="0" locked="0" layoutInCell="1" allowOverlap="1" relativeHeight="26">
            <wp:simplePos x="0" y="0"/>
            <wp:positionH relativeFrom="column">
              <wp:posOffset>2662555</wp:posOffset>
            </wp:positionH>
            <wp:positionV relativeFrom="paragraph">
              <wp:posOffset>255270</wp:posOffset>
            </wp:positionV>
            <wp:extent cx="2800350" cy="2559050"/>
            <wp:effectExtent l="0" t="0" r="0" b="0"/>
            <wp:wrapSquare wrapText="bothSides"/>
            <wp:docPr id="52" name="Chart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hart 29" descr=""/>
                    <pic:cNvPicPr>
                      <a:picLocks noChangeAspect="1" noChangeArrowheads="1"/>
                    </pic:cNvPicPr>
                  </pic:nvPicPr>
                  <pic:blipFill>
                    <a:blip r:embed="rId17"/>
                    <a:stretch>
                      <a:fillRect/>
                    </a:stretch>
                  </pic:blipFill>
                  <pic:spPr bwMode="auto">
                    <a:xfrm>
                      <a:off x="0" y="0"/>
                      <a:ext cx="2800350" cy="2559050"/>
                    </a:xfrm>
                    <a:prstGeom prst="rect">
                      <a:avLst/>
                    </a:prstGeom>
                  </pic:spPr>
                </pic:pic>
              </a:graphicData>
            </a:graphic>
          </wp:anchor>
        </w:drawing>
      </w:r>
      <w:r>
        <w:rPr>
          <w:lang w:val="en-US"/>
        </w:rPr>
        <w:t>R</w:t>
      </w:r>
      <w:r>
        <w:rPr>
          <w:lang w:val="en-US"/>
        </w:rPr>
        <w:t xml:space="preserve">especto a la media aritmética del indicador </w:t>
      </w:r>
      <w:r>
        <w:rPr>
          <w:i/>
          <w:lang w:val="en-US"/>
        </w:rPr>
        <w:t>T</w:t>
      </w:r>
      <w:r>
        <w:rPr>
          <w:i/>
          <w:vertAlign w:val="subscript"/>
          <w:lang w:val="en-US"/>
        </w:rPr>
        <w:t>5</w:t>
      </w:r>
      <w:r>
        <w:rPr>
          <w:vertAlign w:val="subscript"/>
          <w:lang w:val="en-US"/>
        </w:rPr>
        <w:t>,</w:t>
      </w:r>
      <w:r>
        <w:rPr>
          <w:lang w:val="en-US"/>
        </w:rPr>
        <w:t xml:space="preserve"> los algoritmos quedan ubicados en el siguiente orden: </w:t>
      </w:r>
      <w:r>
        <w:rPr>
          <w:rFonts w:cs="Courier New" w:ascii="Courier New" w:hAnsi="Courier New"/>
        </w:rPr>
        <w:t>RST_LDS</w:t>
      </w:r>
      <w:r>
        <w:rPr>
          <w:lang w:val="en-US"/>
        </w:rPr>
        <w:t>,</w:t>
      </w:r>
      <w:r>
        <w:rPr>
          <w:rFonts w:cs="Courier New" w:ascii="Courier New" w:hAnsi="Courier New"/>
        </w:rPr>
        <w:t xml:space="preserve"> GA_LDS</w:t>
      </w:r>
      <w:r>
        <w:rPr>
          <w:lang w:val="en-US"/>
        </w:rPr>
        <w:t>,</w:t>
      </w:r>
      <w:r>
        <w:rPr>
          <w:rFonts w:cs="Courier New" w:ascii="Courier New" w:hAnsi="Courier New"/>
        </w:rPr>
        <w:t xml:space="preserve"> LPA_LDS</w:t>
      </w:r>
      <w:r>
        <w:rPr>
          <w:lang w:val="en-US"/>
        </w:rPr>
        <w:t>,</w:t>
      </w:r>
      <w:r>
        <w:rPr>
          <w:rFonts w:cs="Courier New" w:ascii="Courier New" w:hAnsi="Courier New"/>
        </w:rPr>
        <w:t xml:space="preserve"> PCA_LDS</w:t>
      </w:r>
      <w:r>
        <w:rPr>
          <w:lang w:val="en-US"/>
        </w:rPr>
        <w:t xml:space="preserve">, </w:t>
      </w:r>
      <w:r>
        <w:rPr>
          <w:rFonts w:cs="Courier New" w:ascii="Courier New" w:hAnsi="Courier New"/>
        </w:rPr>
        <w:t>Apriori_LDS</w:t>
      </w:r>
      <w:r>
        <w:rPr>
          <w:lang w:val="en-US"/>
        </w:rPr>
        <w:t xml:space="preserve"> y </w:t>
      </w:r>
      <w:r>
        <w:rPr>
          <w:rFonts w:cs="Courier New" w:ascii="Courier New" w:hAnsi="Courier New"/>
        </w:rPr>
        <w:t>ACO_LDS</w:t>
      </w:r>
      <w:r>
        <w:rPr>
          <w:lang w:val="en-US"/>
        </w:rPr>
        <w:t>.</w:t>
      </w:r>
    </w:p>
    <w:p>
      <w:pPr>
        <w:pStyle w:val="Normal"/>
        <w:rPr/>
      </w:pPr>
      <w:r>
        <mc:AlternateContent>
          <mc:Choice Requires="wps">
            <w:drawing>
              <wp:anchor behindDoc="0" distT="0" distB="0" distL="114300" distR="114300" simplePos="0" locked="0" layoutInCell="1" allowOverlap="1" relativeHeight="23" wp14:anchorId="60BBC2BF">
                <wp:simplePos x="0" y="0"/>
                <wp:positionH relativeFrom="column">
                  <wp:posOffset>2701290</wp:posOffset>
                </wp:positionH>
                <wp:positionV relativeFrom="paragraph">
                  <wp:posOffset>1614805</wp:posOffset>
                </wp:positionV>
                <wp:extent cx="2812415" cy="145415"/>
                <wp:effectExtent l="0" t="0" r="0" b="0"/>
                <wp:wrapSquare wrapText="bothSides"/>
                <wp:docPr id="53" name="Text Box 30"/>
                <a:graphic xmlns:a="http://schemas.openxmlformats.org/drawingml/2006/main">
                  <a:graphicData uri="http://schemas.microsoft.com/office/word/2010/wordprocessingShape">
                    <wps:wsp>
                      <wps:cNvSpPr/>
                      <wps:spPr>
                        <a:xfrm>
                          <a:off x="0" y="0"/>
                          <a:ext cx="2811960" cy="144720"/>
                        </a:xfrm>
                        <a:prstGeom prst="rect">
                          <a:avLst/>
                        </a:prstGeom>
                        <a:solidFill>
                          <a:srgbClr val="ffffff"/>
                        </a:solidFill>
                        <a:ln>
                          <a:noFill/>
                        </a:ln>
                      </wps:spPr>
                      <wps:style>
                        <a:lnRef idx="0"/>
                        <a:fillRef idx="0"/>
                        <a:effectRef idx="0"/>
                        <a:fontRef idx="minor"/>
                      </wps:style>
                      <wps:txbx>
                        <w:txbxContent>
                          <w:p>
                            <w:pPr>
                              <w:pStyle w:val="Caption1"/>
                              <w:overflowPunct w:val="true"/>
                              <w:spacing w:before="0" w:after="60"/>
                              <w:ind w:left="170" w:hanging="170"/>
                              <w:jc w:val="center"/>
                              <w:textAlignment w:val="auto"/>
                              <w:rPr/>
                            </w:pPr>
                            <w:bookmarkStart w:id="2243" w:name="_Toc84599021"/>
                            <w:bookmarkStart w:id="2244" w:name="_Ref79664276"/>
                            <w:r>
                              <w:rPr>
                                <w:color w:val="00000A"/>
                              </w:rPr>
                              <w:t xml:space="preserve">Figura </w:t>
                            </w:r>
                            <w:r>
                              <w:rPr>
                                <w:color w:val="00000A"/>
                              </w:rPr>
                              <w:fldChar w:fldCharType="begin"/>
                            </w:r>
                            <w:r>
                              <w:instrText> SEQ Figura \* ARABIC </w:instrText>
                            </w:r>
                            <w:r>
                              <w:fldChar w:fldCharType="separate"/>
                            </w:r>
                            <w:r>
                              <w:t>14</w:t>
                            </w:r>
                            <w:r>
                              <w:fldChar w:fldCharType="end"/>
                            </w:r>
                            <w:bookmarkEnd w:id="2244"/>
                            <w:r>
                              <w:rPr>
                                <w:color w:val="00000A"/>
                              </w:rPr>
                              <w:t xml:space="preserve">: Comportamiento del indicador </w:t>
                            </w:r>
                            <w:r>
                              <w:rPr>
                                <w:i/>
                                <w:iCs/>
                                <w:color w:val="00000A"/>
                              </w:rPr>
                              <w:t>T</w:t>
                            </w:r>
                            <w:r>
                              <w:rPr>
                                <w:i/>
                                <w:iCs/>
                                <w:color w:val="00000A"/>
                                <w:vertAlign w:val="subscript"/>
                              </w:rPr>
                              <w:t>5</w:t>
                            </w:r>
                            <w:bookmarkEnd w:id="2243"/>
                            <w:r>
                              <w:rPr>
                                <w:color w:val="00000A"/>
                              </w:rPr>
                              <w:t xml:space="preserve"> </w:t>
                            </w:r>
                          </w:p>
                        </w:txbxContent>
                      </wps:txbx>
                      <wps:bodyPr lIns="0" rIns="0" tIns="0" bIns="0">
                        <a:prstTxWarp prst="textNoShape"/>
                        <a:spAutoFit/>
                      </wps:bodyPr>
                    </wps:wsp>
                  </a:graphicData>
                </a:graphic>
              </wp:anchor>
            </w:drawing>
          </mc:Choice>
          <mc:Fallback>
            <w:pict>
              <v:rect id="shape_0" ID="Text Box 30" fillcolor="white" stroked="f" style="position:absolute;margin-left:212.7pt;margin-top:127.15pt;width:221.35pt;height:11.35pt" wp14:anchorId="60BBC2BF">
                <w10:wrap type="square"/>
                <v:fill o:detectmouseclick="t" type="solid" color2="black"/>
                <v:stroke color="#3465a4" joinstyle="round" endcap="flat"/>
                <v:textbox>
                  <w:txbxContent>
                    <w:p>
                      <w:pPr>
                        <w:pStyle w:val="Caption1"/>
                        <w:overflowPunct w:val="true"/>
                        <w:spacing w:before="0" w:after="60"/>
                        <w:ind w:left="170" w:hanging="170"/>
                        <w:jc w:val="center"/>
                        <w:textAlignment w:val="auto"/>
                        <w:rPr/>
                      </w:pPr>
                      <w:bookmarkStart w:id="2245" w:name="_Toc84599021"/>
                      <w:bookmarkStart w:id="2246" w:name="_Ref79664276"/>
                      <w:r>
                        <w:rPr>
                          <w:color w:val="00000A"/>
                        </w:rPr>
                        <w:t xml:space="preserve">Figura </w:t>
                      </w:r>
                      <w:r>
                        <w:rPr>
                          <w:color w:val="00000A"/>
                        </w:rPr>
                        <w:fldChar w:fldCharType="begin"/>
                      </w:r>
                      <w:r>
                        <w:instrText> SEQ Figura \* ARABIC </w:instrText>
                      </w:r>
                      <w:r>
                        <w:fldChar w:fldCharType="separate"/>
                      </w:r>
                      <w:r>
                        <w:t>14</w:t>
                      </w:r>
                      <w:r>
                        <w:fldChar w:fldCharType="end"/>
                      </w:r>
                      <w:bookmarkEnd w:id="2246"/>
                      <w:r>
                        <w:rPr>
                          <w:color w:val="00000A"/>
                        </w:rPr>
                        <w:t xml:space="preserve">: Comportamiento del indicador </w:t>
                      </w:r>
                      <w:r>
                        <w:rPr>
                          <w:i/>
                          <w:iCs/>
                          <w:color w:val="00000A"/>
                        </w:rPr>
                        <w:t>T</w:t>
                      </w:r>
                      <w:r>
                        <w:rPr>
                          <w:i/>
                          <w:iCs/>
                          <w:color w:val="00000A"/>
                          <w:vertAlign w:val="subscript"/>
                        </w:rPr>
                        <w:t>5</w:t>
                      </w:r>
                      <w:bookmarkEnd w:id="2245"/>
                      <w:r>
                        <w:rPr>
                          <w:color w:val="00000A"/>
                        </w:rPr>
                        <w:t xml:space="preserve"> </w:t>
                      </w:r>
                    </w:p>
                  </w:txbxContent>
                </v:textbox>
              </v:rect>
            </w:pict>
          </mc:Fallback>
        </mc:AlternateContent>
      </w:r>
      <w:r>
        <w:rPr>
          <w:lang w:val="en-US"/>
        </w:rPr>
        <w:t xml:space="preserve">En el análisis se identifica que los resultados no cumplen con una distribución normal, ver </w:t>
      </w:r>
      <w:r>
        <w:rPr>
          <w:lang w:val="en-US"/>
        </w:rPr>
        <w:fldChar w:fldCharType="begin"/>
      </w:r>
      <w:r>
        <w:instrText> REF _Ref65852570 \h </w:instrText>
      </w:r>
      <w:r>
        <w:fldChar w:fldCharType="separate"/>
      </w:r>
      <w:r>
        <w:t>Tabla 12</w:t>
      </w:r>
      <w:r>
        <w:fldChar w:fldCharType="end"/>
      </w:r>
      <w:r>
        <w:rPr>
          <w:lang w:val="en-US"/>
        </w:rPr>
        <w:t xml:space="preserve">. Para la comparación se aplicó el test no paramétrico </w:t>
      </w:r>
      <w:r>
        <w:rPr>
          <w:i/>
          <w:lang w:val="en-US"/>
        </w:rPr>
        <w:t>Wilcoxon</w:t>
      </w:r>
      <w:r>
        <w:rPr>
          <w:lang w:val="en-US"/>
        </w:rPr>
        <w:t xml:space="preserve"> y se demuestra que los algoritmos </w:t>
      </w:r>
      <w:r>
        <w:rPr>
          <w:rFonts w:cs="Courier New" w:ascii="Courier New" w:hAnsi="Courier New"/>
        </w:rPr>
        <w:t>RST_LDS</w:t>
      </w:r>
      <w:r>
        <w:rPr>
          <w:lang w:val="en-US"/>
        </w:rPr>
        <w:t xml:space="preserve">, </w:t>
      </w:r>
      <w:r>
        <w:rPr>
          <w:rFonts w:cs="Courier New" w:ascii="Courier New" w:hAnsi="Courier New"/>
        </w:rPr>
        <w:t>GA_LDS</w:t>
      </w:r>
      <w:r>
        <w:rPr>
          <w:lang w:val="en-US"/>
        </w:rPr>
        <w:t xml:space="preserve"> y </w:t>
      </w:r>
      <w:r>
        <w:rPr>
          <w:rFonts w:cs="Courier New" w:ascii="Courier New" w:hAnsi="Courier New"/>
          <w:szCs w:val="20"/>
        </w:rPr>
        <w:t>LPA_LDS</w:t>
      </w:r>
      <w:r>
        <w:rPr>
          <w:lang w:val="en-US"/>
        </w:rPr>
        <w:t xml:space="preserve"> reportan resultados significativamente mejores, están bicados</w:t>
      </w:r>
      <w:r>
        <w:rPr>
          <w:i/>
          <w:lang w:val="en-US"/>
        </w:rPr>
        <w:t xml:space="preserve"> </w:t>
      </w:r>
      <w:r>
        <w:rPr>
          <w:lang w:val="en-US"/>
        </w:rPr>
        <w:t>en el</w:t>
      </w:r>
      <w:r>
        <w:rPr>
          <w:i/>
          <w:lang w:val="en-US"/>
        </w:rPr>
        <w:t xml:space="preserve"> </w:t>
      </w:r>
      <w:r>
        <w:rPr>
          <w:lang w:val="en-US"/>
        </w:rPr>
        <w:t xml:space="preserve">“grupo A”. Posteriormente, no se encontraron diferencias significativas en los algoritmos </w:t>
      </w:r>
      <w:r>
        <w:rPr>
          <w:rFonts w:cs="Courier New" w:ascii="Courier New" w:hAnsi="Courier New"/>
        </w:rPr>
        <w:t>PCA_LDS</w:t>
      </w:r>
      <w:r>
        <w:rPr>
          <w:lang w:val="en-US"/>
        </w:rPr>
        <w:t xml:space="preserve">, </w:t>
      </w:r>
      <w:r>
        <w:rPr>
          <w:rFonts w:cs="Courier New" w:ascii="Courier New" w:hAnsi="Courier New"/>
        </w:rPr>
        <w:t>Apriori_LDS</w:t>
      </w:r>
      <w:r>
        <w:rPr>
          <w:lang w:val="en-US"/>
        </w:rPr>
        <w:t xml:space="preserve"> y </w:t>
      </w:r>
      <w:r>
        <w:rPr>
          <w:rFonts w:cs="Courier New" w:ascii="Courier New" w:hAnsi="Courier New"/>
        </w:rPr>
        <w:t>ACO_LDS</w:t>
      </w:r>
      <w:r>
        <w:rPr>
          <w:lang w:val="en-US"/>
        </w:rPr>
        <w:t>, los cuales quedaron en el</w:t>
      </w:r>
      <w:r>
        <w:rPr>
          <w:rFonts w:cs="Courier New" w:ascii="Courier New" w:hAnsi="Courier New"/>
          <w:sz w:val="18"/>
          <w:szCs w:val="18"/>
        </w:rPr>
        <w:t xml:space="preserve"> </w:t>
      </w:r>
      <w:r>
        <w:rPr>
          <w:lang w:val="en-US"/>
        </w:rPr>
        <w:t>“grupo B” reportando peores resultados.</w:t>
      </w:r>
    </w:p>
    <w:p>
      <w:pPr>
        <w:pStyle w:val="Normal"/>
        <w:rPr/>
      </w:pPr>
      <w:r>
        <w:rPr/>
        <w:t xml:space="preserve">La </w:t>
      </w:r>
      <w:r>
        <w:rPr/>
        <w:fldChar w:fldCharType="begin"/>
      </w:r>
      <w:r>
        <w:instrText> REF _Ref79664276 \h </w:instrText>
      </w:r>
      <w:r>
        <w:fldChar w:fldCharType="separate"/>
      </w:r>
      <w:r>
        <w:t>Figura 14</w:t>
      </w:r>
      <w:r>
        <w:fldChar w:fldCharType="end"/>
      </w:r>
      <w:r>
        <w:rPr/>
        <w:t xml:space="preserve"> </w:t>
      </w:r>
      <w:r>
        <w:rPr>
          <w:lang w:val="en-US"/>
        </w:rPr>
        <w:t xml:space="preserve">evidencia los resultados de las pruebas estadísticas, presentando el </w:t>
      </w:r>
      <w:r>
        <w:rPr>
          <w:rFonts w:cs="Courier New" w:ascii="Courier New" w:hAnsi="Courier New"/>
        </w:rPr>
        <w:t>RST</w:t>
      </w:r>
      <w:r>
        <w:rPr>
          <w:rFonts w:cs="Courier New" w:ascii="Courier New" w:hAnsi="Courier New"/>
          <w:szCs w:val="20"/>
        </w:rPr>
        <w:t>_LDS</w:t>
      </w:r>
      <w:r>
        <w:rPr>
          <w:i/>
          <w:sz w:val="28"/>
          <w:lang w:val="en-US"/>
        </w:rPr>
        <w:t xml:space="preserve"> </w:t>
      </w:r>
      <w:r>
        <w:rPr>
          <w:lang w:val="en-US"/>
        </w:rPr>
        <w:t>como el algoritmo con mejores resultados y muy baja dispersión.</w:t>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TablaFigura"/>
        <w:numPr>
          <w:ilvl w:val="0"/>
          <w:numId w:val="2"/>
        </w:numPr>
        <w:ind w:left="431" w:hanging="431"/>
        <w:rPr/>
      </w:pPr>
      <w:bookmarkStart w:id="2247" w:name="_Toc84598982"/>
      <w:bookmarkStart w:id="2248" w:name="_Ref65852570"/>
      <w:r>
        <w:rPr/>
        <w:t xml:space="preserve">Tabla </w:t>
      </w:r>
      <w:r>
        <w:rPr/>
        <w:fldChar w:fldCharType="begin"/>
      </w:r>
      <w:r>
        <w:instrText> SEQ Tabla \* ARABIC </w:instrText>
      </w:r>
      <w:r>
        <w:fldChar w:fldCharType="separate"/>
      </w:r>
      <w:r>
        <w:t>12</w:t>
      </w:r>
      <w:r>
        <w:fldChar w:fldCharType="end"/>
      </w:r>
      <w:bookmarkEnd w:id="2248"/>
      <w:r>
        <w:rPr/>
        <w:t xml:space="preserve">: Comparación de los algoritmos respecto a la media aritmética del </w:t>
      </w:r>
      <w:r>
        <w:rPr>
          <w:i/>
        </w:rPr>
        <w:t>T</w:t>
      </w:r>
      <w:r>
        <w:rPr>
          <w:i/>
          <w:vertAlign w:val="subscript"/>
        </w:rPr>
        <w:t>5</w:t>
      </w:r>
      <w:bookmarkEnd w:id="2247"/>
      <w:r>
        <w:rPr/>
        <w:t>.</w:t>
      </w:r>
    </w:p>
    <w:p>
      <w:pPr>
        <w:pStyle w:val="Normal"/>
        <w:rPr>
          <w:i/>
          <w:i/>
          <w:lang w:val="en-US"/>
        </w:rPr>
      </w:pPr>
      <w:r>
        <w:rPr>
          <w:i/>
          <w:lang w:val="en-US"/>
        </w:rPr>
        <mc:AlternateContent>
          <mc:Choice Requires="wps">
            <w:drawing>
              <wp:anchor behindDoc="0" distT="0" distB="0" distL="114300" distR="114300" simplePos="0" locked="0" layoutInCell="1" allowOverlap="1" relativeHeight="41">
                <wp:simplePos x="0" y="0"/>
                <wp:positionH relativeFrom="margin">
                  <wp:align>center</wp:align>
                </wp:positionH>
                <wp:positionV relativeFrom="paragraph">
                  <wp:posOffset>35560</wp:posOffset>
                </wp:positionV>
                <wp:extent cx="2105660" cy="1685925"/>
                <wp:effectExtent l="0" t="0" r="0" b="0"/>
                <wp:wrapSquare wrapText="bothSides"/>
                <wp:docPr id="55" name="Frame18"/>
                <a:graphic xmlns:a="http://schemas.openxmlformats.org/drawingml/2006/main">
                  <a:graphicData uri="http://schemas.microsoft.com/office/word/2010/wordprocessingShape">
                    <wps:wsp>
                      <wps:cNvSpPr/>
                      <wps:spPr>
                        <a:xfrm>
                          <a:off x="0" y="0"/>
                          <a:ext cx="2104920" cy="1685160"/>
                        </a:xfrm>
                        <a:prstGeom prst="rect">
                          <a:avLst/>
                        </a:prstGeom>
                        <a:noFill/>
                        <a:ln>
                          <a:noFill/>
                        </a:ln>
                      </wps:spPr>
                      <wps:style>
                        <a:lnRef idx="0"/>
                        <a:fillRef idx="0"/>
                        <a:effectRef idx="0"/>
                        <a:fontRef idx="minor"/>
                      </wps:style>
                      <wps:txbx>
                        <w:txbxContent>
                          <w:tbl>
                            <w:tblPr>
                              <w:tblW w:w="3313" w:type="dxa"/>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1340"/>
                              <w:gridCol w:w="1158"/>
                              <w:gridCol w:w="815"/>
                            </w:tblGrid>
                            <w:tr>
                              <w:trPr>
                                <w:cantSplit w:val="true"/>
                              </w:trPr>
                              <w:tc>
                                <w:tcPr>
                                  <w:tcW w:w="1340"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jc w:val="center"/>
                                    <w:rPr/>
                                  </w:pPr>
                                  <w:bookmarkStart w:id="2249" w:name="__UnoMark__17568_118561941"/>
                                  <w:bookmarkEnd w:id="2249"/>
                                  <w:r>
                                    <w:rPr>
                                      <w:color w:val="00000A"/>
                                      <w:sz w:val="18"/>
                                      <w:szCs w:val="18"/>
                                    </w:rPr>
                                    <w:t>Algoritmos</w:t>
                                  </w:r>
                                </w:p>
                              </w:tc>
                              <w:tc>
                                <w:tcPr>
                                  <w:tcW w:w="1158"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2250" w:name="__UnoMark__17569_118561941"/>
                                  <w:bookmarkEnd w:id="2250"/>
                                  <w:r>
                                    <w:rPr>
                                      <w:color w:val="00000A"/>
                                      <w:sz w:val="18"/>
                                      <w:szCs w:val="18"/>
                                    </w:rPr>
                                    <w:t>Kolmogorov-Smirnov</w:t>
                                  </w:r>
                                  <w:r>
                                    <w:rPr>
                                      <w:color w:val="00000A"/>
                                      <w:sz w:val="18"/>
                                      <w:szCs w:val="18"/>
                                      <w:vertAlign w:val="superscript"/>
                                    </w:rPr>
                                    <w:t>a</w:t>
                                  </w:r>
                                  <w:bookmarkStart w:id="2251" w:name="__UnoMark__17570_118561941"/>
                                  <w:bookmarkEnd w:id="2251"/>
                                  <w:r>
                                    <w:rPr>
                                      <w:color w:val="00000A"/>
                                      <w:sz w:val="18"/>
                                      <w:szCs w:val="18"/>
                                    </w:rPr>
                                    <w:t xml:space="preserve"> Sig.</w:t>
                                  </w:r>
                                </w:p>
                              </w:tc>
                              <w:tc>
                                <w:tcPr>
                                  <w:tcW w:w="815"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2252" w:name="__UnoMark__17572_118561941"/>
                                  <w:bookmarkStart w:id="2253" w:name="__UnoMark__17571_118561941"/>
                                  <w:bookmarkEnd w:id="2252"/>
                                  <w:bookmarkEnd w:id="2253"/>
                                  <w:r>
                                    <w:rPr>
                                      <w:color w:val="00000A"/>
                                      <w:sz w:val="18"/>
                                      <w:szCs w:val="18"/>
                                    </w:rPr>
                                    <w:t>Shapiro-Wilk Sig.</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254" w:name="__UnoMark__17574_118561941"/>
                                  <w:bookmarkStart w:id="2255" w:name="__UnoMark__17573_118561941"/>
                                  <w:bookmarkEnd w:id="2254"/>
                                  <w:bookmarkEnd w:id="2255"/>
                                  <w:r>
                                    <w:rPr>
                                      <w:color w:val="00000A"/>
                                      <w:sz w:val="18"/>
                                      <w:szCs w:val="18"/>
                                    </w:rPr>
                                    <w:t>RST_LDS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256" w:name="__UnoMark__17576_118561941"/>
                                  <w:bookmarkStart w:id="2257" w:name="__UnoMark__17575_118561941"/>
                                  <w:bookmarkEnd w:id="2256"/>
                                  <w:bookmarkEnd w:id="2257"/>
                                  <w:r>
                                    <w:rPr>
                                      <w:color w:val="00000A"/>
                                      <w:sz w:val="18"/>
                                      <w:szCs w:val="18"/>
                                    </w:rPr>
                                    <w:t>.</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258" w:name="__UnoMark__17578_118561941"/>
                                  <w:bookmarkStart w:id="2259" w:name="__UnoMark__17577_118561941"/>
                                  <w:bookmarkEnd w:id="2258"/>
                                  <w:bookmarkEnd w:id="2259"/>
                                  <w:r>
                                    <w:rPr>
                                      <w:color w:val="00000A"/>
                                      <w:sz w:val="18"/>
                                      <w:szCs w:val="18"/>
                                    </w:rPr>
                                    <w:t>.</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260" w:name="__UnoMark__17580_118561941"/>
                                  <w:bookmarkStart w:id="2261" w:name="__UnoMark__17579_118561941"/>
                                  <w:bookmarkEnd w:id="2260"/>
                                  <w:bookmarkEnd w:id="2261"/>
                                  <w:r>
                                    <w:rPr>
                                      <w:color w:val="00000A"/>
                                      <w:sz w:val="18"/>
                                      <w:szCs w:val="18"/>
                                    </w:rPr>
                                    <w:t>LPA_LDS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262" w:name="__UnoMark__17582_118561941"/>
                                  <w:bookmarkStart w:id="2263" w:name="__UnoMark__17581_118561941"/>
                                  <w:bookmarkEnd w:id="2262"/>
                                  <w:bookmarkEnd w:id="2263"/>
                                  <w:r>
                                    <w:rPr>
                                      <w:color w:val="00000A"/>
                                      <w:sz w:val="18"/>
                                      <w:szCs w:val="18"/>
                                    </w:rPr>
                                    <w:t>.000</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264" w:name="__UnoMark__17584_118561941"/>
                                  <w:bookmarkStart w:id="2265" w:name="__UnoMark__17583_118561941"/>
                                  <w:bookmarkEnd w:id="2264"/>
                                  <w:bookmarkEnd w:id="2265"/>
                                  <w:r>
                                    <w:rPr>
                                      <w:color w:val="00000A"/>
                                      <w:sz w:val="18"/>
                                      <w:szCs w:val="18"/>
                                    </w:rPr>
                                    <w:t>.000</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266" w:name="__UnoMark__17586_118561941"/>
                                  <w:bookmarkStart w:id="2267" w:name="__UnoMark__17585_118561941"/>
                                  <w:bookmarkEnd w:id="2266"/>
                                  <w:bookmarkEnd w:id="2267"/>
                                  <w:r>
                                    <w:rPr>
                                      <w:color w:val="00000A"/>
                                      <w:sz w:val="18"/>
                                      <w:szCs w:val="18"/>
                                    </w:rPr>
                                    <w:t>Apriori_LDS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268" w:name="__UnoMark__17588_118561941"/>
                                  <w:bookmarkStart w:id="2269" w:name="__UnoMark__17587_118561941"/>
                                  <w:bookmarkEnd w:id="2268"/>
                                  <w:bookmarkEnd w:id="2269"/>
                                  <w:r>
                                    <w:rPr>
                                      <w:color w:val="00000A"/>
                                      <w:sz w:val="18"/>
                                      <w:szCs w:val="18"/>
                                    </w:rPr>
                                    <w:t>.006</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270" w:name="__UnoMark__17590_118561941"/>
                                  <w:bookmarkStart w:id="2271" w:name="__UnoMark__17589_118561941"/>
                                  <w:bookmarkEnd w:id="2270"/>
                                  <w:bookmarkEnd w:id="2271"/>
                                  <w:r>
                                    <w:rPr>
                                      <w:color w:val="00000A"/>
                                      <w:sz w:val="18"/>
                                      <w:szCs w:val="18"/>
                                    </w:rPr>
                                    <w:t>.007</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272" w:name="__UnoMark__17592_118561941"/>
                                  <w:bookmarkStart w:id="2273" w:name="__UnoMark__17591_118561941"/>
                                  <w:bookmarkEnd w:id="2272"/>
                                  <w:bookmarkEnd w:id="2273"/>
                                  <w:r>
                                    <w:rPr>
                                      <w:color w:val="00000A"/>
                                      <w:sz w:val="18"/>
                                      <w:szCs w:val="18"/>
                                    </w:rPr>
                                    <w:t>ACO_LDS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274" w:name="__UnoMark__17594_118561941"/>
                                  <w:bookmarkStart w:id="2275" w:name="__UnoMark__17593_118561941"/>
                                  <w:bookmarkEnd w:id="2274"/>
                                  <w:bookmarkEnd w:id="2275"/>
                                  <w:r>
                                    <w:rPr>
                                      <w:color w:val="00000A"/>
                                      <w:sz w:val="18"/>
                                      <w:szCs w:val="18"/>
                                    </w:rPr>
                                    <w:t>.037</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276" w:name="__UnoMark__17596_118561941"/>
                                  <w:bookmarkStart w:id="2277" w:name="__UnoMark__17595_118561941"/>
                                  <w:bookmarkEnd w:id="2276"/>
                                  <w:bookmarkEnd w:id="2277"/>
                                  <w:r>
                                    <w:rPr>
                                      <w:color w:val="00000A"/>
                                      <w:sz w:val="18"/>
                                      <w:szCs w:val="18"/>
                                    </w:rPr>
                                    <w:t>.170</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278" w:name="__UnoMark__17598_118561941"/>
                                  <w:bookmarkStart w:id="2279" w:name="__UnoMark__17597_118561941"/>
                                  <w:bookmarkEnd w:id="2278"/>
                                  <w:bookmarkEnd w:id="2279"/>
                                  <w:r>
                                    <w:rPr>
                                      <w:color w:val="00000A"/>
                                      <w:sz w:val="18"/>
                                      <w:szCs w:val="18"/>
                                    </w:rPr>
                                    <w:t>GA_LDS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280" w:name="__UnoMark__17600_118561941"/>
                                  <w:bookmarkStart w:id="2281" w:name="__UnoMark__17599_118561941"/>
                                  <w:bookmarkEnd w:id="2280"/>
                                  <w:bookmarkEnd w:id="2281"/>
                                  <w:r>
                                    <w:rPr>
                                      <w:color w:val="00000A"/>
                                      <w:sz w:val="18"/>
                                      <w:szCs w:val="18"/>
                                    </w:rPr>
                                    <w:t>.000</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282" w:name="__UnoMark__17602_118561941"/>
                                  <w:bookmarkStart w:id="2283" w:name="__UnoMark__17601_118561941"/>
                                  <w:bookmarkEnd w:id="2282"/>
                                  <w:bookmarkEnd w:id="2283"/>
                                  <w:r>
                                    <w:rPr>
                                      <w:color w:val="00000A"/>
                                      <w:sz w:val="18"/>
                                      <w:szCs w:val="18"/>
                                    </w:rPr>
                                    <w:t>.000</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284" w:name="__UnoMark__17604_118561941"/>
                                  <w:bookmarkStart w:id="2285" w:name="__UnoMark__17603_118561941"/>
                                  <w:bookmarkEnd w:id="2284"/>
                                  <w:bookmarkEnd w:id="2285"/>
                                  <w:r>
                                    <w:rPr>
                                      <w:color w:val="00000A"/>
                                      <w:sz w:val="18"/>
                                      <w:szCs w:val="18"/>
                                    </w:rPr>
                                    <w:t>PCA_LDS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286" w:name="__UnoMark__17606_118561941"/>
                                  <w:bookmarkStart w:id="2287" w:name="__UnoMark__17605_118561941"/>
                                  <w:bookmarkEnd w:id="2286"/>
                                  <w:bookmarkEnd w:id="2287"/>
                                  <w:r>
                                    <w:rPr>
                                      <w:color w:val="00000A"/>
                                      <w:sz w:val="18"/>
                                      <w:szCs w:val="18"/>
                                    </w:rPr>
                                    <w:t>.006</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288" w:name="__UnoMark__17607_118561941"/>
                                  <w:bookmarkEnd w:id="2288"/>
                                  <w:r>
                                    <w:rPr>
                                      <w:color w:val="00000A"/>
                                      <w:sz w:val="18"/>
                                      <w:szCs w:val="18"/>
                                    </w:rPr>
                                    <w:t>.007</w:t>
                                  </w:r>
                                </w:p>
                              </w:tc>
                            </w:tr>
                          </w:tbl>
                          <w:p>
                            <w:pPr>
                              <w:pStyle w:val="FrameContents"/>
                              <w:spacing w:before="80" w:after="60"/>
                              <w:rPr>
                                <w:color w:val="000000"/>
                              </w:rPr>
                            </w:pPr>
                            <w:r>
                              <w:rPr>
                                <w:color w:val="000000"/>
                              </w:rPr>
                            </w:r>
                          </w:p>
                        </w:txbxContent>
                      </wps:txbx>
                      <wps:bodyPr lIns="0" rIns="0" tIns="0" bIns="0">
                        <a:spAutoFit/>
                      </wps:bodyPr>
                    </wps:wsp>
                  </a:graphicData>
                </a:graphic>
              </wp:anchor>
            </w:drawing>
          </mc:Choice>
          <mc:Fallback>
            <w:pict>
              <v:rect id="shape_0" ID="Frame18" stroked="f" style="position:absolute;margin-left:141.55pt;margin-top:2.8pt;width:165.7pt;height:132.65pt;mso-position-horizontal:center;mso-position-horizontal-relative:margin">
                <w10:wrap type="none"/>
                <v:fill o:detectmouseclick="t" on="false"/>
                <v:stroke color="#3465a4" joinstyle="round" endcap="flat"/>
                <v:textbox>
                  <w:txbxContent>
                    <w:tbl>
                      <w:tblPr>
                        <w:tblW w:w="3313" w:type="dxa"/>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1340"/>
                        <w:gridCol w:w="1158"/>
                        <w:gridCol w:w="815"/>
                      </w:tblGrid>
                      <w:tr>
                        <w:trPr>
                          <w:cantSplit w:val="true"/>
                        </w:trPr>
                        <w:tc>
                          <w:tcPr>
                            <w:tcW w:w="1340"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jc w:val="center"/>
                              <w:rPr/>
                            </w:pPr>
                            <w:bookmarkStart w:id="2289" w:name="__UnoMark__17568_118561941"/>
                            <w:bookmarkEnd w:id="2289"/>
                            <w:r>
                              <w:rPr>
                                <w:color w:val="00000A"/>
                                <w:sz w:val="18"/>
                                <w:szCs w:val="18"/>
                              </w:rPr>
                              <w:t>Algoritmos</w:t>
                            </w:r>
                          </w:p>
                        </w:tc>
                        <w:tc>
                          <w:tcPr>
                            <w:tcW w:w="1158"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2290" w:name="__UnoMark__17569_118561941"/>
                            <w:bookmarkEnd w:id="2290"/>
                            <w:r>
                              <w:rPr>
                                <w:color w:val="00000A"/>
                                <w:sz w:val="18"/>
                                <w:szCs w:val="18"/>
                              </w:rPr>
                              <w:t>Kolmogorov-Smirnov</w:t>
                            </w:r>
                            <w:r>
                              <w:rPr>
                                <w:color w:val="00000A"/>
                                <w:sz w:val="18"/>
                                <w:szCs w:val="18"/>
                                <w:vertAlign w:val="superscript"/>
                              </w:rPr>
                              <w:t>a</w:t>
                            </w:r>
                            <w:bookmarkStart w:id="2291" w:name="__UnoMark__17570_118561941"/>
                            <w:bookmarkEnd w:id="2291"/>
                            <w:r>
                              <w:rPr>
                                <w:color w:val="00000A"/>
                                <w:sz w:val="18"/>
                                <w:szCs w:val="18"/>
                              </w:rPr>
                              <w:t xml:space="preserve"> Sig.</w:t>
                            </w:r>
                          </w:p>
                        </w:tc>
                        <w:tc>
                          <w:tcPr>
                            <w:tcW w:w="815"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2292" w:name="__UnoMark__17572_118561941"/>
                            <w:bookmarkStart w:id="2293" w:name="__UnoMark__17571_118561941"/>
                            <w:bookmarkEnd w:id="2292"/>
                            <w:bookmarkEnd w:id="2293"/>
                            <w:r>
                              <w:rPr>
                                <w:color w:val="00000A"/>
                                <w:sz w:val="18"/>
                                <w:szCs w:val="18"/>
                              </w:rPr>
                              <w:t>Shapiro-Wilk Sig.</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294" w:name="__UnoMark__17574_118561941"/>
                            <w:bookmarkStart w:id="2295" w:name="__UnoMark__17573_118561941"/>
                            <w:bookmarkEnd w:id="2294"/>
                            <w:bookmarkEnd w:id="2295"/>
                            <w:r>
                              <w:rPr>
                                <w:color w:val="00000A"/>
                                <w:sz w:val="18"/>
                                <w:szCs w:val="18"/>
                              </w:rPr>
                              <w:t>RST_LDS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296" w:name="__UnoMark__17576_118561941"/>
                            <w:bookmarkStart w:id="2297" w:name="__UnoMark__17575_118561941"/>
                            <w:bookmarkEnd w:id="2296"/>
                            <w:bookmarkEnd w:id="2297"/>
                            <w:r>
                              <w:rPr>
                                <w:color w:val="00000A"/>
                                <w:sz w:val="18"/>
                                <w:szCs w:val="18"/>
                              </w:rPr>
                              <w:t>.</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298" w:name="__UnoMark__17578_118561941"/>
                            <w:bookmarkStart w:id="2299" w:name="__UnoMark__17577_118561941"/>
                            <w:bookmarkEnd w:id="2298"/>
                            <w:bookmarkEnd w:id="2299"/>
                            <w:r>
                              <w:rPr>
                                <w:color w:val="00000A"/>
                                <w:sz w:val="18"/>
                                <w:szCs w:val="18"/>
                              </w:rPr>
                              <w:t>.</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300" w:name="__UnoMark__17580_118561941"/>
                            <w:bookmarkStart w:id="2301" w:name="__UnoMark__17579_118561941"/>
                            <w:bookmarkEnd w:id="2300"/>
                            <w:bookmarkEnd w:id="2301"/>
                            <w:r>
                              <w:rPr>
                                <w:color w:val="00000A"/>
                                <w:sz w:val="18"/>
                                <w:szCs w:val="18"/>
                              </w:rPr>
                              <w:t>LPA_LDS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302" w:name="__UnoMark__17582_118561941"/>
                            <w:bookmarkStart w:id="2303" w:name="__UnoMark__17581_118561941"/>
                            <w:bookmarkEnd w:id="2302"/>
                            <w:bookmarkEnd w:id="2303"/>
                            <w:r>
                              <w:rPr>
                                <w:color w:val="00000A"/>
                                <w:sz w:val="18"/>
                                <w:szCs w:val="18"/>
                              </w:rPr>
                              <w:t>.000</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304" w:name="__UnoMark__17584_118561941"/>
                            <w:bookmarkStart w:id="2305" w:name="__UnoMark__17583_118561941"/>
                            <w:bookmarkEnd w:id="2304"/>
                            <w:bookmarkEnd w:id="2305"/>
                            <w:r>
                              <w:rPr>
                                <w:color w:val="00000A"/>
                                <w:sz w:val="18"/>
                                <w:szCs w:val="18"/>
                              </w:rPr>
                              <w:t>.000</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306" w:name="__UnoMark__17586_118561941"/>
                            <w:bookmarkStart w:id="2307" w:name="__UnoMark__17585_118561941"/>
                            <w:bookmarkEnd w:id="2306"/>
                            <w:bookmarkEnd w:id="2307"/>
                            <w:r>
                              <w:rPr>
                                <w:color w:val="00000A"/>
                                <w:sz w:val="18"/>
                                <w:szCs w:val="18"/>
                              </w:rPr>
                              <w:t>Apriori_LDS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308" w:name="__UnoMark__17588_118561941"/>
                            <w:bookmarkStart w:id="2309" w:name="__UnoMark__17587_118561941"/>
                            <w:bookmarkEnd w:id="2308"/>
                            <w:bookmarkEnd w:id="2309"/>
                            <w:r>
                              <w:rPr>
                                <w:color w:val="00000A"/>
                                <w:sz w:val="18"/>
                                <w:szCs w:val="18"/>
                              </w:rPr>
                              <w:t>.006</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310" w:name="__UnoMark__17590_118561941"/>
                            <w:bookmarkStart w:id="2311" w:name="__UnoMark__17589_118561941"/>
                            <w:bookmarkEnd w:id="2310"/>
                            <w:bookmarkEnd w:id="2311"/>
                            <w:r>
                              <w:rPr>
                                <w:color w:val="00000A"/>
                                <w:sz w:val="18"/>
                                <w:szCs w:val="18"/>
                              </w:rPr>
                              <w:t>.007</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312" w:name="__UnoMark__17592_118561941"/>
                            <w:bookmarkStart w:id="2313" w:name="__UnoMark__17591_118561941"/>
                            <w:bookmarkEnd w:id="2312"/>
                            <w:bookmarkEnd w:id="2313"/>
                            <w:r>
                              <w:rPr>
                                <w:color w:val="00000A"/>
                                <w:sz w:val="18"/>
                                <w:szCs w:val="18"/>
                              </w:rPr>
                              <w:t>ACO_LDS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314" w:name="__UnoMark__17594_118561941"/>
                            <w:bookmarkStart w:id="2315" w:name="__UnoMark__17593_118561941"/>
                            <w:bookmarkEnd w:id="2314"/>
                            <w:bookmarkEnd w:id="2315"/>
                            <w:r>
                              <w:rPr>
                                <w:color w:val="00000A"/>
                                <w:sz w:val="18"/>
                                <w:szCs w:val="18"/>
                              </w:rPr>
                              <w:t>.037</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316" w:name="__UnoMark__17596_118561941"/>
                            <w:bookmarkStart w:id="2317" w:name="__UnoMark__17595_118561941"/>
                            <w:bookmarkEnd w:id="2316"/>
                            <w:bookmarkEnd w:id="2317"/>
                            <w:r>
                              <w:rPr>
                                <w:color w:val="00000A"/>
                                <w:sz w:val="18"/>
                                <w:szCs w:val="18"/>
                              </w:rPr>
                              <w:t>.170</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318" w:name="__UnoMark__17598_118561941"/>
                            <w:bookmarkStart w:id="2319" w:name="__UnoMark__17597_118561941"/>
                            <w:bookmarkEnd w:id="2318"/>
                            <w:bookmarkEnd w:id="2319"/>
                            <w:r>
                              <w:rPr>
                                <w:color w:val="00000A"/>
                                <w:sz w:val="18"/>
                                <w:szCs w:val="18"/>
                              </w:rPr>
                              <w:t>GA_LDS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320" w:name="__UnoMark__17600_118561941"/>
                            <w:bookmarkStart w:id="2321" w:name="__UnoMark__17599_118561941"/>
                            <w:bookmarkEnd w:id="2320"/>
                            <w:bookmarkEnd w:id="2321"/>
                            <w:r>
                              <w:rPr>
                                <w:color w:val="00000A"/>
                                <w:sz w:val="18"/>
                                <w:szCs w:val="18"/>
                              </w:rPr>
                              <w:t>.000</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322" w:name="__UnoMark__17602_118561941"/>
                            <w:bookmarkStart w:id="2323" w:name="__UnoMark__17601_118561941"/>
                            <w:bookmarkEnd w:id="2322"/>
                            <w:bookmarkEnd w:id="2323"/>
                            <w:r>
                              <w:rPr>
                                <w:color w:val="00000A"/>
                                <w:sz w:val="18"/>
                                <w:szCs w:val="18"/>
                              </w:rPr>
                              <w:t>.000</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324" w:name="__UnoMark__17604_118561941"/>
                            <w:bookmarkStart w:id="2325" w:name="__UnoMark__17603_118561941"/>
                            <w:bookmarkEnd w:id="2324"/>
                            <w:bookmarkEnd w:id="2325"/>
                            <w:r>
                              <w:rPr>
                                <w:color w:val="00000A"/>
                                <w:sz w:val="18"/>
                                <w:szCs w:val="18"/>
                              </w:rPr>
                              <w:t>PCA_LDS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326" w:name="__UnoMark__17606_118561941"/>
                            <w:bookmarkStart w:id="2327" w:name="__UnoMark__17605_118561941"/>
                            <w:bookmarkEnd w:id="2326"/>
                            <w:bookmarkEnd w:id="2327"/>
                            <w:r>
                              <w:rPr>
                                <w:color w:val="00000A"/>
                                <w:sz w:val="18"/>
                                <w:szCs w:val="18"/>
                              </w:rPr>
                              <w:t>.006</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328" w:name="__UnoMark__17607_118561941"/>
                            <w:bookmarkEnd w:id="2328"/>
                            <w:r>
                              <w:rPr>
                                <w:color w:val="00000A"/>
                                <w:sz w:val="18"/>
                                <w:szCs w:val="18"/>
                              </w:rPr>
                              <w:t>.007</w:t>
                            </w:r>
                          </w:p>
                        </w:tc>
                      </w:tr>
                    </w:tbl>
                    <w:p>
                      <w:pPr>
                        <w:pStyle w:val="FrameContents"/>
                        <w:spacing w:before="80" w:after="60"/>
                        <w:rPr>
                          <w:color w:val="000000"/>
                        </w:rPr>
                      </w:pPr>
                      <w:r>
                        <w:rPr>
                          <w:color w:val="000000"/>
                        </w:rPr>
                      </w:r>
                    </w:p>
                  </w:txbxContent>
                </v:textbox>
              </v:rect>
            </w:pict>
          </mc:Fallback>
        </mc:AlternateContent>
      </w:r>
    </w:p>
    <w:p>
      <w:pPr>
        <w:pStyle w:val="Caption1"/>
        <w:keepNext/>
        <w:rPr/>
      </w:pPr>
      <w:r>
        <w:rPr/>
      </w:r>
    </w:p>
    <w:p>
      <w:pPr>
        <w:pStyle w:val="Normal"/>
        <w:rPr>
          <w:lang w:val="en-US"/>
        </w:rPr>
      </w:pPr>
      <w:r>
        <w:rPr>
          <w:lang w:val="en-US"/>
        </w:rPr>
        <mc:AlternateContent>
          <mc:Choice Requires="wps">
            <w:drawing>
              <wp:anchor behindDoc="0" distT="0" distB="0" distL="114300" distR="114300" simplePos="0" locked="0" layoutInCell="1" allowOverlap="1" relativeHeight="42">
                <wp:simplePos x="0" y="0"/>
                <wp:positionH relativeFrom="margin">
                  <wp:align>center</wp:align>
                </wp:positionH>
                <wp:positionV relativeFrom="paragraph">
                  <wp:posOffset>-83185</wp:posOffset>
                </wp:positionV>
                <wp:extent cx="5701665" cy="1861185"/>
                <wp:effectExtent l="0" t="0" r="0" b="0"/>
                <wp:wrapSquare wrapText="bothSides"/>
                <wp:docPr id="57" name="Frame19"/>
                <a:graphic xmlns:a="http://schemas.openxmlformats.org/drawingml/2006/main">
                  <a:graphicData uri="http://schemas.microsoft.com/office/word/2010/wordprocessingShape">
                    <wps:wsp>
                      <wps:cNvSpPr/>
                      <wps:spPr>
                        <a:xfrm>
                          <a:off x="0" y="0"/>
                          <a:ext cx="5700960" cy="1860480"/>
                        </a:xfrm>
                        <a:prstGeom prst="rect">
                          <a:avLst/>
                        </a:prstGeom>
                        <a:noFill/>
                        <a:ln>
                          <a:noFill/>
                        </a:ln>
                      </wps:spPr>
                      <wps:style>
                        <a:lnRef idx="0"/>
                        <a:fillRef idx="0"/>
                        <a:effectRef idx="0"/>
                        <a:fontRef idx="minor"/>
                      </wps:style>
                      <wps:txbx>
                        <w:txbxContent>
                          <w:tbl>
                            <w:tblPr>
                              <w:tblW w:w="5000" w:type="pct"/>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4271"/>
                              <w:gridCol w:w="1372"/>
                              <w:gridCol w:w="3337"/>
                            </w:tblGrid>
                            <w:tr>
                              <w:trPr>
                                <w:cantSplit w:val="true"/>
                              </w:trPr>
                              <w:tc>
                                <w:tcPr>
                                  <w:tcW w:w="427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329" w:name="__UnoMark__17677_118561941"/>
                                  <w:bookmarkEnd w:id="2329"/>
                                  <w:r>
                                    <w:rPr>
                                      <w:color w:val="00000A"/>
                                      <w:sz w:val="18"/>
                                      <w:szCs w:val="18"/>
                                    </w:rPr>
                                    <w:t>Algoritmos</w:t>
                                  </w:r>
                                </w:p>
                              </w:tc>
                              <w:tc>
                                <w:tcPr>
                                  <w:tcW w:w="137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330" w:name="__UnoMark__17679_118561941"/>
                                  <w:bookmarkStart w:id="2331" w:name="__UnoMark__17678_118561941"/>
                                  <w:bookmarkEnd w:id="2330"/>
                                  <w:bookmarkEnd w:id="2331"/>
                                  <w:r>
                                    <w:rPr>
                                      <w:color w:val="00000A"/>
                                      <w:sz w:val="18"/>
                                      <w:szCs w:val="18"/>
                                    </w:rPr>
                                    <w:t>p-value</w:t>
                                  </w:r>
                                </w:p>
                              </w:tc>
                              <w:tc>
                                <w:tcPr>
                                  <w:tcW w:w="333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332" w:name="__UnoMark__17681_118561941"/>
                                  <w:bookmarkStart w:id="2333" w:name="__UnoMark__17680_118561941"/>
                                  <w:bookmarkEnd w:id="2332"/>
                                  <w:bookmarkEnd w:id="2333"/>
                                  <w:r>
                                    <w:rPr>
                                      <w:color w:val="00000A"/>
                                      <w:sz w:val="18"/>
                                      <w:szCs w:val="18"/>
                                    </w:rPr>
                                    <w:t>Resultados</w:t>
                                  </w:r>
                                </w:p>
                              </w:tc>
                            </w:tr>
                            <w:tr>
                              <w:trPr>
                                <w:trHeight w:val="660" w:hRule="atLeast"/>
                                <w:cantSplit w:val="true"/>
                              </w:trPr>
                              <w:tc>
                                <w:tcPr>
                                  <w:tcW w:w="427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334" w:name="__UnoMark__17682_118561941"/>
                                  <w:bookmarkEnd w:id="2334"/>
                                  <w:r>
                                    <w:rPr>
                                      <w:i/>
                                      <w:color w:val="00000A"/>
                                      <w:sz w:val="18"/>
                                      <w:szCs w:val="18"/>
                                      <w:lang w:val="en-US"/>
                                    </w:rPr>
                                    <w:t>Wilcoxon test</w:t>
                                  </w:r>
                                  <w:r>
                                    <w:rPr>
                                      <w:color w:val="00000A"/>
                                      <w:sz w:val="18"/>
                                      <w:szCs w:val="18"/>
                                      <w:lang w:val="en-US"/>
                                    </w:rPr>
                                    <w:t xml:space="preserve"> (grupo A)</w:t>
                                  </w:r>
                                </w:p>
                                <w:p>
                                  <w:pPr>
                                    <w:pStyle w:val="FrameContents"/>
                                    <w:spacing w:lineRule="auto" w:line="240" w:before="0" w:after="0"/>
                                    <w:jc w:val="left"/>
                                    <w:rPr>
                                      <w:color w:val="00000A"/>
                                    </w:rPr>
                                  </w:pPr>
                                  <w:r>
                                    <w:rPr>
                                      <w:color w:val="00000A"/>
                                      <w:sz w:val="18"/>
                                      <w:szCs w:val="18"/>
                                      <w:lang w:val="en-US"/>
                                    </w:rPr>
                                    <w:t xml:space="preserve">RST_LDS - GA_LDS </w:t>
                                  </w:r>
                                </w:p>
                                <w:p>
                                  <w:pPr>
                                    <w:pStyle w:val="FrameContents"/>
                                    <w:spacing w:lineRule="auto" w:line="240" w:before="0" w:after="0"/>
                                    <w:jc w:val="left"/>
                                    <w:rPr>
                                      <w:color w:val="00000A"/>
                                    </w:rPr>
                                  </w:pPr>
                                  <w:r>
                                    <w:rPr>
                                      <w:color w:val="00000A"/>
                                      <w:sz w:val="18"/>
                                      <w:szCs w:val="18"/>
                                      <w:lang w:val="en-US"/>
                                    </w:rPr>
                                    <w:t xml:space="preserve">RST_LDS - </w:t>
                                  </w:r>
                                  <w:bookmarkStart w:id="2335" w:name="__UnoMark__17683_118561941"/>
                                  <w:bookmarkEnd w:id="2335"/>
                                  <w:r>
                                    <w:rPr>
                                      <w:color w:val="00000A"/>
                                      <w:sz w:val="18"/>
                                      <w:szCs w:val="18"/>
                                    </w:rPr>
                                    <w:t>LPA_LDS</w:t>
                                  </w:r>
                                </w:p>
                              </w:tc>
                              <w:tc>
                                <w:tcPr>
                                  <w:tcW w:w="137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sz w:val="18"/>
                                      <w:szCs w:val="18"/>
                                    </w:rPr>
                                  </w:pPr>
                                  <w:bookmarkStart w:id="2336" w:name="__UnoMark__17684_118561941"/>
                                  <w:bookmarkStart w:id="2337" w:name="__UnoMark__17684_118561941"/>
                                  <w:bookmarkEnd w:id="2337"/>
                                  <w:r>
                                    <w:rPr>
                                      <w:color w:val="00000A"/>
                                      <w:sz w:val="18"/>
                                      <w:szCs w:val="18"/>
                                    </w:rPr>
                                  </w:r>
                                </w:p>
                                <w:p>
                                  <w:pPr>
                                    <w:pStyle w:val="FrameContents"/>
                                    <w:spacing w:lineRule="auto" w:line="240" w:before="0" w:after="0"/>
                                    <w:jc w:val="center"/>
                                    <w:rPr>
                                      <w:color w:val="00000A"/>
                                    </w:rPr>
                                  </w:pPr>
                                  <w:r>
                                    <w:rPr>
                                      <w:color w:val="00000A"/>
                                      <w:sz w:val="18"/>
                                      <w:szCs w:val="18"/>
                                    </w:rPr>
                                    <w:t>0.068</w:t>
                                  </w:r>
                                </w:p>
                                <w:p>
                                  <w:pPr>
                                    <w:pStyle w:val="FrameContents"/>
                                    <w:spacing w:lineRule="auto" w:line="240" w:before="0" w:after="0"/>
                                    <w:jc w:val="center"/>
                                    <w:rPr>
                                      <w:color w:val="00000A"/>
                                    </w:rPr>
                                  </w:pPr>
                                  <w:bookmarkStart w:id="2338" w:name="__UnoMark__17685_118561941"/>
                                  <w:bookmarkEnd w:id="2338"/>
                                  <w:r>
                                    <w:rPr>
                                      <w:color w:val="00000A"/>
                                      <w:sz w:val="18"/>
                                      <w:szCs w:val="18"/>
                                    </w:rPr>
                                    <w:t>0.317</w:t>
                                  </w:r>
                                </w:p>
                              </w:tc>
                              <w:tc>
                                <w:tcPr>
                                  <w:tcW w:w="333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339" w:name="__UnoMark__17687_118561941"/>
                                  <w:bookmarkStart w:id="2340" w:name="__UnoMark__17686_118561941"/>
                                  <w:bookmarkEnd w:id="2339"/>
                                  <w:bookmarkEnd w:id="2340"/>
                                  <w:r>
                                    <w:rPr>
                                      <w:color w:val="00000A"/>
                                      <w:sz w:val="18"/>
                                      <w:szCs w:val="18"/>
                                    </w:rPr>
                                    <w:t>No hay diferencias significativas</w:t>
                                  </w:r>
                                </w:p>
                              </w:tc>
                            </w:tr>
                            <w:tr>
                              <w:trPr>
                                <w:trHeight w:val="861" w:hRule="atLeast"/>
                                <w:cantSplit w:val="true"/>
                              </w:trPr>
                              <w:tc>
                                <w:tcPr>
                                  <w:tcW w:w="427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341" w:name="__UnoMark__17688_118561941"/>
                                  <w:bookmarkEnd w:id="2341"/>
                                  <w:r>
                                    <w:rPr>
                                      <w:i/>
                                      <w:color w:val="00000A"/>
                                      <w:sz w:val="18"/>
                                      <w:szCs w:val="18"/>
                                      <w:lang w:val="en-US"/>
                                    </w:rPr>
                                    <w:t xml:space="preserve">Wilcoxon test </w:t>
                                  </w:r>
                                </w:p>
                                <w:p>
                                  <w:pPr>
                                    <w:pStyle w:val="FrameContents"/>
                                    <w:spacing w:lineRule="auto" w:line="240" w:before="0" w:after="0"/>
                                    <w:jc w:val="left"/>
                                    <w:rPr>
                                      <w:color w:val="00000A"/>
                                    </w:rPr>
                                  </w:pPr>
                                  <w:r>
                                    <w:rPr>
                                      <w:color w:val="00000A"/>
                                      <w:sz w:val="18"/>
                                      <w:szCs w:val="18"/>
                                      <w:lang w:val="en-US"/>
                                    </w:rPr>
                                    <w:t>RST_LDS (grupo A) -</w:t>
                                  </w:r>
                                </w:p>
                                <w:p>
                                  <w:pPr>
                                    <w:pStyle w:val="FrameContents"/>
                                    <w:spacing w:lineRule="auto" w:line="240" w:before="0" w:after="0"/>
                                    <w:jc w:val="left"/>
                                    <w:rPr>
                                      <w:color w:val="00000A"/>
                                    </w:rPr>
                                  </w:pPr>
                                  <w:bookmarkStart w:id="2342" w:name="__UnoMark__17689_118561941"/>
                                  <w:bookmarkEnd w:id="2342"/>
                                  <w:r>
                                    <w:rPr>
                                      <w:color w:val="00000A"/>
                                      <w:sz w:val="18"/>
                                      <w:szCs w:val="18"/>
                                    </w:rPr>
                                    <w:t>PCA_LDS (grupo B)</w:t>
                                  </w:r>
                                </w:p>
                              </w:tc>
                              <w:tc>
                                <w:tcPr>
                                  <w:tcW w:w="1372"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color w:val="00000A"/>
                                    </w:rPr>
                                  </w:pPr>
                                  <w:bookmarkStart w:id="2343" w:name="__UnoMark__17691_118561941"/>
                                  <w:bookmarkStart w:id="2344" w:name="__UnoMark__17690_118561941"/>
                                  <w:bookmarkEnd w:id="2343"/>
                                  <w:bookmarkEnd w:id="2344"/>
                                  <w:r>
                                    <w:rPr>
                                      <w:color w:val="00000A"/>
                                      <w:sz w:val="18"/>
                                      <w:szCs w:val="18"/>
                                    </w:rPr>
                                    <w:t>0.012</w:t>
                                  </w:r>
                                </w:p>
                              </w:tc>
                              <w:tc>
                                <w:tcPr>
                                  <w:tcW w:w="333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345" w:name="__UnoMark__17693_118561941"/>
                                  <w:bookmarkStart w:id="2346" w:name="__UnoMark__17692_118561941"/>
                                  <w:bookmarkEnd w:id="2345"/>
                                  <w:bookmarkEnd w:id="2346"/>
                                  <w:r>
                                    <w:rPr>
                                      <w:color w:val="00000A"/>
                                      <w:sz w:val="18"/>
                                      <w:szCs w:val="18"/>
                                    </w:rPr>
                                    <w:t>Hay diferencias significativas</w:t>
                                  </w:r>
                                </w:p>
                              </w:tc>
                            </w:tr>
                            <w:tr>
                              <w:trPr>
                                <w:trHeight w:val="861" w:hRule="atLeast"/>
                                <w:cantSplit w:val="true"/>
                              </w:trPr>
                              <w:tc>
                                <w:tcPr>
                                  <w:tcW w:w="427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347" w:name="__UnoMark__17694_118561941"/>
                                  <w:bookmarkEnd w:id="2347"/>
                                  <w:r>
                                    <w:rPr>
                                      <w:i/>
                                      <w:color w:val="00000A"/>
                                      <w:sz w:val="18"/>
                                      <w:szCs w:val="18"/>
                                      <w:lang w:val="en-US"/>
                                    </w:rPr>
                                    <w:t>Wilcoxon test</w:t>
                                  </w:r>
                                  <w:r>
                                    <w:rPr>
                                      <w:color w:val="00000A"/>
                                      <w:sz w:val="18"/>
                                      <w:szCs w:val="18"/>
                                      <w:lang w:val="en-US"/>
                                    </w:rPr>
                                    <w:t xml:space="preserve"> (grupo B)</w:t>
                                  </w:r>
                                </w:p>
                                <w:p>
                                  <w:pPr>
                                    <w:pStyle w:val="FrameContents"/>
                                    <w:spacing w:lineRule="auto" w:line="240" w:before="0" w:after="0"/>
                                    <w:jc w:val="left"/>
                                    <w:rPr>
                                      <w:color w:val="00000A"/>
                                    </w:rPr>
                                  </w:pPr>
                                  <w:r>
                                    <w:rPr>
                                      <w:color w:val="00000A"/>
                                      <w:sz w:val="18"/>
                                      <w:szCs w:val="18"/>
                                      <w:lang w:val="en-US"/>
                                    </w:rPr>
                                    <w:t>PCA_LDS - Apriori_LDS</w:t>
                                  </w:r>
                                </w:p>
                                <w:p>
                                  <w:pPr>
                                    <w:pStyle w:val="FrameContents"/>
                                    <w:spacing w:lineRule="auto" w:line="240" w:before="0" w:after="0"/>
                                    <w:jc w:val="left"/>
                                    <w:rPr>
                                      <w:color w:val="00000A"/>
                                    </w:rPr>
                                  </w:pPr>
                                  <w:bookmarkStart w:id="2348" w:name="__UnoMark__17695_118561941"/>
                                  <w:bookmarkEnd w:id="2348"/>
                                  <w:r>
                                    <w:rPr>
                                      <w:color w:val="00000A"/>
                                      <w:sz w:val="18"/>
                                      <w:szCs w:val="18"/>
                                    </w:rPr>
                                    <w:t>PCA_LDS - ACO_LDS</w:t>
                                  </w:r>
                                </w:p>
                              </w:tc>
                              <w:tc>
                                <w:tcPr>
                                  <w:tcW w:w="137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sz w:val="18"/>
                                      <w:szCs w:val="18"/>
                                    </w:rPr>
                                  </w:pPr>
                                  <w:bookmarkStart w:id="2349" w:name="__UnoMark__17696_118561941"/>
                                  <w:bookmarkStart w:id="2350" w:name="__UnoMark__17696_118561941"/>
                                  <w:bookmarkEnd w:id="2350"/>
                                  <w:r>
                                    <w:rPr>
                                      <w:color w:val="00000A"/>
                                      <w:sz w:val="18"/>
                                      <w:szCs w:val="18"/>
                                    </w:rPr>
                                  </w:r>
                                </w:p>
                                <w:p>
                                  <w:pPr>
                                    <w:pStyle w:val="FrameContents"/>
                                    <w:spacing w:lineRule="auto" w:line="240" w:before="0" w:after="0"/>
                                    <w:jc w:val="center"/>
                                    <w:rPr>
                                      <w:color w:val="00000A"/>
                                    </w:rPr>
                                  </w:pPr>
                                  <w:r>
                                    <w:rPr>
                                      <w:color w:val="00000A"/>
                                      <w:sz w:val="18"/>
                                      <w:szCs w:val="18"/>
                                    </w:rPr>
                                    <w:t>1.000</w:t>
                                  </w:r>
                                </w:p>
                                <w:p>
                                  <w:pPr>
                                    <w:pStyle w:val="FrameContents"/>
                                    <w:spacing w:lineRule="auto" w:line="240" w:before="0" w:after="0"/>
                                    <w:jc w:val="center"/>
                                    <w:rPr>
                                      <w:color w:val="00000A"/>
                                    </w:rPr>
                                  </w:pPr>
                                  <w:bookmarkStart w:id="2351" w:name="__UnoMark__17697_118561941"/>
                                  <w:bookmarkEnd w:id="2351"/>
                                  <w:r>
                                    <w:rPr>
                                      <w:color w:val="00000A"/>
                                      <w:sz w:val="18"/>
                                      <w:szCs w:val="18"/>
                                    </w:rPr>
                                    <w:t>0.345</w:t>
                                  </w:r>
                                </w:p>
                              </w:tc>
                              <w:tc>
                                <w:tcPr>
                                  <w:tcW w:w="333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352" w:name="__UnoMark__17698_118561941"/>
                                  <w:bookmarkEnd w:id="2352"/>
                                  <w:r>
                                    <w:rPr>
                                      <w:color w:val="00000A"/>
                                      <w:sz w:val="18"/>
                                      <w:szCs w:val="18"/>
                                    </w:rPr>
                                    <w:t>No hay diferencias significativas</w:t>
                                  </w:r>
                                </w:p>
                              </w:tc>
                            </w:tr>
                          </w:tbl>
                          <w:p>
                            <w:pPr>
                              <w:pStyle w:val="FrameContents"/>
                              <w:spacing w:before="80" w:after="60"/>
                              <w:rPr>
                                <w:color w:val="000000"/>
                              </w:rPr>
                            </w:pPr>
                            <w:r>
                              <w:rPr>
                                <w:color w:val="000000"/>
                              </w:rPr>
                            </w:r>
                          </w:p>
                        </w:txbxContent>
                      </wps:txbx>
                      <wps:bodyPr lIns="0" rIns="0" tIns="0" bIns="0">
                        <a:spAutoFit/>
                      </wps:bodyPr>
                    </wps:wsp>
                  </a:graphicData>
                </a:graphic>
                <wp14:sizeRelH relativeFrom="margin">
                  <wp14:pctWidth>100000</wp14:pctWidth>
                </wp14:sizeRelH>
              </wp:anchor>
            </w:drawing>
          </mc:Choice>
          <mc:Fallback>
            <w:pict>
              <v:rect id="shape_0" ID="Frame19" stroked="f" style="position:absolute;margin-left:0pt;margin-top:-6.55pt;width:448.85pt;height:146.45pt;mso-position-horizontal:center;mso-position-horizontal-relative:margin">
                <w10:wrap type="none"/>
                <v:fill o:detectmouseclick="t" on="false"/>
                <v:stroke color="#3465a4" joinstyle="round" endcap="flat"/>
                <v:textbox>
                  <w:txbxContent>
                    <w:tbl>
                      <w:tblPr>
                        <w:tblW w:w="5000" w:type="pct"/>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4271"/>
                        <w:gridCol w:w="1372"/>
                        <w:gridCol w:w="3337"/>
                      </w:tblGrid>
                      <w:tr>
                        <w:trPr>
                          <w:cantSplit w:val="true"/>
                        </w:trPr>
                        <w:tc>
                          <w:tcPr>
                            <w:tcW w:w="427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353" w:name="__UnoMark__17677_118561941"/>
                            <w:bookmarkEnd w:id="2353"/>
                            <w:r>
                              <w:rPr>
                                <w:color w:val="00000A"/>
                                <w:sz w:val="18"/>
                                <w:szCs w:val="18"/>
                              </w:rPr>
                              <w:t>Algoritmos</w:t>
                            </w:r>
                          </w:p>
                        </w:tc>
                        <w:tc>
                          <w:tcPr>
                            <w:tcW w:w="137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354" w:name="__UnoMark__17679_118561941"/>
                            <w:bookmarkStart w:id="2355" w:name="__UnoMark__17678_118561941"/>
                            <w:bookmarkEnd w:id="2354"/>
                            <w:bookmarkEnd w:id="2355"/>
                            <w:r>
                              <w:rPr>
                                <w:color w:val="00000A"/>
                                <w:sz w:val="18"/>
                                <w:szCs w:val="18"/>
                              </w:rPr>
                              <w:t>p-value</w:t>
                            </w:r>
                          </w:p>
                        </w:tc>
                        <w:tc>
                          <w:tcPr>
                            <w:tcW w:w="333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356" w:name="__UnoMark__17681_118561941"/>
                            <w:bookmarkStart w:id="2357" w:name="__UnoMark__17680_118561941"/>
                            <w:bookmarkEnd w:id="2356"/>
                            <w:bookmarkEnd w:id="2357"/>
                            <w:r>
                              <w:rPr>
                                <w:color w:val="00000A"/>
                                <w:sz w:val="18"/>
                                <w:szCs w:val="18"/>
                              </w:rPr>
                              <w:t>Resultados</w:t>
                            </w:r>
                          </w:p>
                        </w:tc>
                      </w:tr>
                      <w:tr>
                        <w:trPr>
                          <w:trHeight w:val="660" w:hRule="atLeast"/>
                          <w:cantSplit w:val="true"/>
                        </w:trPr>
                        <w:tc>
                          <w:tcPr>
                            <w:tcW w:w="427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358" w:name="__UnoMark__17682_118561941"/>
                            <w:bookmarkEnd w:id="2358"/>
                            <w:r>
                              <w:rPr>
                                <w:i/>
                                <w:color w:val="00000A"/>
                                <w:sz w:val="18"/>
                                <w:szCs w:val="18"/>
                                <w:lang w:val="en-US"/>
                              </w:rPr>
                              <w:t>Wilcoxon test</w:t>
                            </w:r>
                            <w:r>
                              <w:rPr>
                                <w:color w:val="00000A"/>
                                <w:sz w:val="18"/>
                                <w:szCs w:val="18"/>
                                <w:lang w:val="en-US"/>
                              </w:rPr>
                              <w:t xml:space="preserve"> (grupo A)</w:t>
                            </w:r>
                          </w:p>
                          <w:p>
                            <w:pPr>
                              <w:pStyle w:val="FrameContents"/>
                              <w:spacing w:lineRule="auto" w:line="240" w:before="0" w:after="0"/>
                              <w:jc w:val="left"/>
                              <w:rPr>
                                <w:color w:val="00000A"/>
                              </w:rPr>
                            </w:pPr>
                            <w:r>
                              <w:rPr>
                                <w:color w:val="00000A"/>
                                <w:sz w:val="18"/>
                                <w:szCs w:val="18"/>
                                <w:lang w:val="en-US"/>
                              </w:rPr>
                              <w:t xml:space="preserve">RST_LDS - GA_LDS </w:t>
                            </w:r>
                          </w:p>
                          <w:p>
                            <w:pPr>
                              <w:pStyle w:val="FrameContents"/>
                              <w:spacing w:lineRule="auto" w:line="240" w:before="0" w:after="0"/>
                              <w:jc w:val="left"/>
                              <w:rPr>
                                <w:color w:val="00000A"/>
                              </w:rPr>
                            </w:pPr>
                            <w:r>
                              <w:rPr>
                                <w:color w:val="00000A"/>
                                <w:sz w:val="18"/>
                                <w:szCs w:val="18"/>
                                <w:lang w:val="en-US"/>
                              </w:rPr>
                              <w:t xml:space="preserve">RST_LDS - </w:t>
                            </w:r>
                            <w:bookmarkStart w:id="2359" w:name="__UnoMark__17683_118561941"/>
                            <w:bookmarkEnd w:id="2359"/>
                            <w:r>
                              <w:rPr>
                                <w:color w:val="00000A"/>
                                <w:sz w:val="18"/>
                                <w:szCs w:val="18"/>
                              </w:rPr>
                              <w:t>LPA_LDS</w:t>
                            </w:r>
                          </w:p>
                        </w:tc>
                        <w:tc>
                          <w:tcPr>
                            <w:tcW w:w="137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sz w:val="18"/>
                                <w:szCs w:val="18"/>
                              </w:rPr>
                            </w:pPr>
                            <w:bookmarkStart w:id="2360" w:name="__UnoMark__17684_118561941"/>
                            <w:bookmarkStart w:id="2361" w:name="__UnoMark__17684_118561941"/>
                            <w:bookmarkEnd w:id="2361"/>
                            <w:r>
                              <w:rPr>
                                <w:color w:val="00000A"/>
                                <w:sz w:val="18"/>
                                <w:szCs w:val="18"/>
                              </w:rPr>
                            </w:r>
                          </w:p>
                          <w:p>
                            <w:pPr>
                              <w:pStyle w:val="FrameContents"/>
                              <w:spacing w:lineRule="auto" w:line="240" w:before="0" w:after="0"/>
                              <w:jc w:val="center"/>
                              <w:rPr>
                                <w:color w:val="00000A"/>
                              </w:rPr>
                            </w:pPr>
                            <w:r>
                              <w:rPr>
                                <w:color w:val="00000A"/>
                                <w:sz w:val="18"/>
                                <w:szCs w:val="18"/>
                              </w:rPr>
                              <w:t>0.068</w:t>
                            </w:r>
                          </w:p>
                          <w:p>
                            <w:pPr>
                              <w:pStyle w:val="FrameContents"/>
                              <w:spacing w:lineRule="auto" w:line="240" w:before="0" w:after="0"/>
                              <w:jc w:val="center"/>
                              <w:rPr>
                                <w:color w:val="00000A"/>
                              </w:rPr>
                            </w:pPr>
                            <w:bookmarkStart w:id="2362" w:name="__UnoMark__17685_118561941"/>
                            <w:bookmarkEnd w:id="2362"/>
                            <w:r>
                              <w:rPr>
                                <w:color w:val="00000A"/>
                                <w:sz w:val="18"/>
                                <w:szCs w:val="18"/>
                              </w:rPr>
                              <w:t>0.317</w:t>
                            </w:r>
                          </w:p>
                        </w:tc>
                        <w:tc>
                          <w:tcPr>
                            <w:tcW w:w="333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363" w:name="__UnoMark__17687_118561941"/>
                            <w:bookmarkStart w:id="2364" w:name="__UnoMark__17686_118561941"/>
                            <w:bookmarkEnd w:id="2363"/>
                            <w:bookmarkEnd w:id="2364"/>
                            <w:r>
                              <w:rPr>
                                <w:color w:val="00000A"/>
                                <w:sz w:val="18"/>
                                <w:szCs w:val="18"/>
                              </w:rPr>
                              <w:t>No hay diferencias significativas</w:t>
                            </w:r>
                          </w:p>
                        </w:tc>
                      </w:tr>
                      <w:tr>
                        <w:trPr>
                          <w:trHeight w:val="861" w:hRule="atLeast"/>
                          <w:cantSplit w:val="true"/>
                        </w:trPr>
                        <w:tc>
                          <w:tcPr>
                            <w:tcW w:w="427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365" w:name="__UnoMark__17688_118561941"/>
                            <w:bookmarkEnd w:id="2365"/>
                            <w:r>
                              <w:rPr>
                                <w:i/>
                                <w:color w:val="00000A"/>
                                <w:sz w:val="18"/>
                                <w:szCs w:val="18"/>
                                <w:lang w:val="en-US"/>
                              </w:rPr>
                              <w:t xml:space="preserve">Wilcoxon test </w:t>
                            </w:r>
                          </w:p>
                          <w:p>
                            <w:pPr>
                              <w:pStyle w:val="FrameContents"/>
                              <w:spacing w:lineRule="auto" w:line="240" w:before="0" w:after="0"/>
                              <w:jc w:val="left"/>
                              <w:rPr>
                                <w:color w:val="00000A"/>
                              </w:rPr>
                            </w:pPr>
                            <w:r>
                              <w:rPr>
                                <w:color w:val="00000A"/>
                                <w:sz w:val="18"/>
                                <w:szCs w:val="18"/>
                                <w:lang w:val="en-US"/>
                              </w:rPr>
                              <w:t>RST_LDS (grupo A) -</w:t>
                            </w:r>
                          </w:p>
                          <w:p>
                            <w:pPr>
                              <w:pStyle w:val="FrameContents"/>
                              <w:spacing w:lineRule="auto" w:line="240" w:before="0" w:after="0"/>
                              <w:jc w:val="left"/>
                              <w:rPr>
                                <w:color w:val="00000A"/>
                              </w:rPr>
                            </w:pPr>
                            <w:bookmarkStart w:id="2366" w:name="__UnoMark__17689_118561941"/>
                            <w:bookmarkEnd w:id="2366"/>
                            <w:r>
                              <w:rPr>
                                <w:color w:val="00000A"/>
                                <w:sz w:val="18"/>
                                <w:szCs w:val="18"/>
                              </w:rPr>
                              <w:t>PCA_LDS (grupo B)</w:t>
                            </w:r>
                          </w:p>
                        </w:tc>
                        <w:tc>
                          <w:tcPr>
                            <w:tcW w:w="1372"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color w:val="00000A"/>
                              </w:rPr>
                            </w:pPr>
                            <w:bookmarkStart w:id="2367" w:name="__UnoMark__17691_118561941"/>
                            <w:bookmarkStart w:id="2368" w:name="__UnoMark__17690_118561941"/>
                            <w:bookmarkEnd w:id="2367"/>
                            <w:bookmarkEnd w:id="2368"/>
                            <w:r>
                              <w:rPr>
                                <w:color w:val="00000A"/>
                                <w:sz w:val="18"/>
                                <w:szCs w:val="18"/>
                              </w:rPr>
                              <w:t>0.012</w:t>
                            </w:r>
                          </w:p>
                        </w:tc>
                        <w:tc>
                          <w:tcPr>
                            <w:tcW w:w="333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369" w:name="__UnoMark__17693_118561941"/>
                            <w:bookmarkStart w:id="2370" w:name="__UnoMark__17692_118561941"/>
                            <w:bookmarkEnd w:id="2369"/>
                            <w:bookmarkEnd w:id="2370"/>
                            <w:r>
                              <w:rPr>
                                <w:color w:val="00000A"/>
                                <w:sz w:val="18"/>
                                <w:szCs w:val="18"/>
                              </w:rPr>
                              <w:t>Hay diferencias significativas</w:t>
                            </w:r>
                          </w:p>
                        </w:tc>
                      </w:tr>
                      <w:tr>
                        <w:trPr>
                          <w:trHeight w:val="861" w:hRule="atLeast"/>
                          <w:cantSplit w:val="true"/>
                        </w:trPr>
                        <w:tc>
                          <w:tcPr>
                            <w:tcW w:w="427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371" w:name="__UnoMark__17694_118561941"/>
                            <w:bookmarkEnd w:id="2371"/>
                            <w:r>
                              <w:rPr>
                                <w:i/>
                                <w:color w:val="00000A"/>
                                <w:sz w:val="18"/>
                                <w:szCs w:val="18"/>
                                <w:lang w:val="en-US"/>
                              </w:rPr>
                              <w:t>Wilcoxon test</w:t>
                            </w:r>
                            <w:r>
                              <w:rPr>
                                <w:color w:val="00000A"/>
                                <w:sz w:val="18"/>
                                <w:szCs w:val="18"/>
                                <w:lang w:val="en-US"/>
                              </w:rPr>
                              <w:t xml:space="preserve"> (grupo B)</w:t>
                            </w:r>
                          </w:p>
                          <w:p>
                            <w:pPr>
                              <w:pStyle w:val="FrameContents"/>
                              <w:spacing w:lineRule="auto" w:line="240" w:before="0" w:after="0"/>
                              <w:jc w:val="left"/>
                              <w:rPr>
                                <w:color w:val="00000A"/>
                              </w:rPr>
                            </w:pPr>
                            <w:r>
                              <w:rPr>
                                <w:color w:val="00000A"/>
                                <w:sz w:val="18"/>
                                <w:szCs w:val="18"/>
                                <w:lang w:val="en-US"/>
                              </w:rPr>
                              <w:t>PCA_LDS - Apriori_LDS</w:t>
                            </w:r>
                          </w:p>
                          <w:p>
                            <w:pPr>
                              <w:pStyle w:val="FrameContents"/>
                              <w:spacing w:lineRule="auto" w:line="240" w:before="0" w:after="0"/>
                              <w:jc w:val="left"/>
                              <w:rPr>
                                <w:color w:val="00000A"/>
                              </w:rPr>
                            </w:pPr>
                            <w:bookmarkStart w:id="2372" w:name="__UnoMark__17695_118561941"/>
                            <w:bookmarkEnd w:id="2372"/>
                            <w:r>
                              <w:rPr>
                                <w:color w:val="00000A"/>
                                <w:sz w:val="18"/>
                                <w:szCs w:val="18"/>
                              </w:rPr>
                              <w:t>PCA_LDS - ACO_LDS</w:t>
                            </w:r>
                          </w:p>
                        </w:tc>
                        <w:tc>
                          <w:tcPr>
                            <w:tcW w:w="137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sz w:val="18"/>
                                <w:szCs w:val="18"/>
                              </w:rPr>
                            </w:pPr>
                            <w:bookmarkStart w:id="2373" w:name="__UnoMark__17696_118561941"/>
                            <w:bookmarkStart w:id="2374" w:name="__UnoMark__17696_118561941"/>
                            <w:bookmarkEnd w:id="2374"/>
                            <w:r>
                              <w:rPr>
                                <w:color w:val="00000A"/>
                                <w:sz w:val="18"/>
                                <w:szCs w:val="18"/>
                              </w:rPr>
                            </w:r>
                          </w:p>
                          <w:p>
                            <w:pPr>
                              <w:pStyle w:val="FrameContents"/>
                              <w:spacing w:lineRule="auto" w:line="240" w:before="0" w:after="0"/>
                              <w:jc w:val="center"/>
                              <w:rPr>
                                <w:color w:val="00000A"/>
                              </w:rPr>
                            </w:pPr>
                            <w:r>
                              <w:rPr>
                                <w:color w:val="00000A"/>
                                <w:sz w:val="18"/>
                                <w:szCs w:val="18"/>
                              </w:rPr>
                              <w:t>1.000</w:t>
                            </w:r>
                          </w:p>
                          <w:p>
                            <w:pPr>
                              <w:pStyle w:val="FrameContents"/>
                              <w:spacing w:lineRule="auto" w:line="240" w:before="0" w:after="0"/>
                              <w:jc w:val="center"/>
                              <w:rPr>
                                <w:color w:val="00000A"/>
                              </w:rPr>
                            </w:pPr>
                            <w:bookmarkStart w:id="2375" w:name="__UnoMark__17697_118561941"/>
                            <w:bookmarkEnd w:id="2375"/>
                            <w:r>
                              <w:rPr>
                                <w:color w:val="00000A"/>
                                <w:sz w:val="18"/>
                                <w:szCs w:val="18"/>
                              </w:rPr>
                              <w:t>0.345</w:t>
                            </w:r>
                          </w:p>
                        </w:tc>
                        <w:tc>
                          <w:tcPr>
                            <w:tcW w:w="333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376" w:name="__UnoMark__17698_118561941"/>
                            <w:bookmarkEnd w:id="2376"/>
                            <w:r>
                              <w:rPr>
                                <w:color w:val="00000A"/>
                                <w:sz w:val="18"/>
                                <w:szCs w:val="18"/>
                              </w:rPr>
                              <w:t>No hay diferencias significativas</w:t>
                            </w:r>
                          </w:p>
                        </w:tc>
                      </w:tr>
                    </w:tbl>
                    <w:p>
                      <w:pPr>
                        <w:pStyle w:val="FrameContents"/>
                        <w:spacing w:before="80" w:after="60"/>
                        <w:rPr>
                          <w:color w:val="000000"/>
                        </w:rPr>
                      </w:pPr>
                      <w:r>
                        <w:rPr>
                          <w:color w:val="000000"/>
                        </w:rPr>
                      </w:r>
                    </w:p>
                  </w:txbxContent>
                </v:textbox>
              </v:rect>
            </w:pict>
          </mc:Fallback>
        </mc:AlternateContent>
      </w:r>
    </w:p>
    <w:p>
      <w:pPr>
        <w:pStyle w:val="Heading3"/>
        <w:numPr>
          <w:ilvl w:val="2"/>
          <w:numId w:val="80"/>
        </w:numPr>
        <w:rPr/>
      </w:pPr>
      <w:r>
        <w:rPr/>
        <w:t>Comparación de los algoritmos respecto al indicador Te</w:t>
      </w:r>
      <w:r>
        <w:rPr>
          <w:vertAlign w:val="subscript"/>
        </w:rPr>
        <w:t>1a</w:t>
      </w:r>
    </w:p>
    <w:p>
      <w:pPr>
        <w:pStyle w:val="Normal"/>
        <w:rPr>
          <w:rFonts w:ascii="Courier New" w:hAnsi="Courier New" w:cs="Courier New"/>
        </w:rPr>
      </w:pPr>
      <w:r>
        <w:drawing>
          <wp:anchor behindDoc="0" distT="0" distB="6350" distL="114300" distR="114300" simplePos="0" locked="0" layoutInCell="1" allowOverlap="1" relativeHeight="22">
            <wp:simplePos x="0" y="0"/>
            <wp:positionH relativeFrom="column">
              <wp:posOffset>2179955</wp:posOffset>
            </wp:positionH>
            <wp:positionV relativeFrom="paragraph">
              <wp:posOffset>405130</wp:posOffset>
            </wp:positionV>
            <wp:extent cx="3429000" cy="2108200"/>
            <wp:effectExtent l="0" t="0" r="0" b="0"/>
            <wp:wrapTight wrapText="bothSides">
              <wp:wrapPolygon edited="0">
                <wp:start x="-104" y="0"/>
                <wp:lineTo x="-104" y="21354"/>
                <wp:lineTo x="21470" y="21354"/>
                <wp:lineTo x="21470" y="0"/>
                <wp:lineTo x="-104" y="0"/>
              </wp:wrapPolygon>
            </wp:wrapTight>
            <wp:docPr id="59" name="Chart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hart 37" descr=""/>
                    <pic:cNvPicPr>
                      <a:picLocks noChangeAspect="1" noChangeArrowheads="1"/>
                    </pic:cNvPicPr>
                  </pic:nvPicPr>
                  <pic:blipFill>
                    <a:blip r:embed="rId18"/>
                    <a:stretch>
                      <a:fillRect/>
                    </a:stretch>
                  </pic:blipFill>
                  <pic:spPr bwMode="auto">
                    <a:xfrm>
                      <a:off x="0" y="0"/>
                      <a:ext cx="3429000" cy="2108200"/>
                    </a:xfrm>
                    <a:prstGeom prst="rect">
                      <a:avLst/>
                    </a:prstGeom>
                  </pic:spPr>
                </pic:pic>
              </a:graphicData>
            </a:graphic>
          </wp:anchor>
        </w:drawing>
      </w:r>
      <w:r>
        <w:rPr>
          <w:lang w:val="en-US"/>
        </w:rPr>
        <w:t>R</w:t>
      </w:r>
      <w:r>
        <w:rPr>
          <w:lang w:val="en-US"/>
        </w:rPr>
        <w:t xml:space="preserve">especto a la media aritmética del indicador </w:t>
      </w:r>
      <w:r>
        <w:rPr>
          <w:i/>
          <w:lang w:val="en-US"/>
        </w:rPr>
        <w:t>Te</w:t>
      </w:r>
      <w:r>
        <w:rPr>
          <w:i/>
          <w:vertAlign w:val="subscript"/>
          <w:lang w:val="en-US"/>
        </w:rPr>
        <w:t>1a</w:t>
      </w:r>
      <w:r>
        <w:rPr>
          <w:lang w:val="en-US"/>
        </w:rPr>
        <w:t xml:space="preserve">, los algoritmos quedan ubicados en el siguiente orden: </w:t>
      </w:r>
      <w:r>
        <w:rPr>
          <w:rFonts w:cs="Courier New" w:ascii="Courier New" w:hAnsi="Courier New"/>
        </w:rPr>
        <w:t>RST_LDS</w:t>
      </w:r>
      <w:r>
        <w:rPr>
          <w:lang w:val="en-US"/>
        </w:rPr>
        <w:t xml:space="preserve">, </w:t>
      </w:r>
      <w:r>
        <w:rPr>
          <w:rFonts w:cs="Courier New" w:ascii="Courier New" w:hAnsi="Courier New"/>
        </w:rPr>
        <w:t>Apriori_LDS</w:t>
      </w:r>
      <w:r>
        <w:rPr>
          <w:lang w:val="en-US"/>
        </w:rPr>
        <w:t xml:space="preserve">, </w:t>
      </w:r>
      <w:r>
        <w:rPr>
          <w:rFonts w:cs="Courier New" w:ascii="Courier New" w:hAnsi="Courier New"/>
        </w:rPr>
        <w:t>PCA_LDS</w:t>
      </w:r>
      <w:r>
        <w:rPr>
          <w:lang w:val="en-US"/>
        </w:rPr>
        <w:t xml:space="preserve">, </w:t>
      </w:r>
      <w:r>
        <w:rPr>
          <w:rFonts w:cs="Courier New" w:ascii="Courier New" w:hAnsi="Courier New"/>
        </w:rPr>
        <w:t>LPA_LDS</w:t>
      </w:r>
      <w:r>
        <w:rPr>
          <w:lang w:val="en-US"/>
        </w:rPr>
        <w:t xml:space="preserve">, </w:t>
      </w:r>
      <w:r>
        <w:rPr>
          <w:rFonts w:cs="Courier New" w:ascii="Courier New" w:hAnsi="Courier New"/>
        </w:rPr>
        <w:t>ACO_LDS</w:t>
      </w:r>
      <w:r>
        <w:rPr>
          <w:lang w:val="en-US"/>
        </w:rPr>
        <w:t xml:space="preserve"> y </w:t>
      </w:r>
      <w:r>
        <w:rPr>
          <w:rFonts w:cs="Courier New" w:ascii="Courier New" w:hAnsi="Courier New"/>
        </w:rPr>
        <w:t>GA_LDS</w:t>
      </w:r>
      <w:r>
        <w:rPr>
          <w:lang w:val="en-US"/>
        </w:rPr>
        <w:t>.</w:t>
      </w:r>
    </w:p>
    <w:p>
      <w:pPr>
        <w:pStyle w:val="Normal"/>
        <w:jc w:val="center"/>
        <w:rPr/>
      </w:pPr>
      <w:r>
        <mc:AlternateContent>
          <mc:Choice Requires="wps">
            <w:drawing>
              <wp:anchor behindDoc="0" distT="0" distB="0" distL="114300" distR="114300" simplePos="0" locked="0" layoutInCell="1" allowOverlap="1" relativeHeight="21" wp14:anchorId="505186DD">
                <wp:simplePos x="0" y="0"/>
                <wp:positionH relativeFrom="column">
                  <wp:posOffset>2529840</wp:posOffset>
                </wp:positionH>
                <wp:positionV relativeFrom="paragraph">
                  <wp:posOffset>1708785</wp:posOffset>
                </wp:positionV>
                <wp:extent cx="2698115" cy="145415"/>
                <wp:effectExtent l="0" t="0" r="0" b="0"/>
                <wp:wrapThrough wrapText="bothSides">
                  <wp:wrapPolygon edited="0">
                    <wp:start x="0" y="0"/>
                    <wp:lineTo x="0" y="21600"/>
                    <wp:lineTo x="21600" y="21600"/>
                    <wp:lineTo x="21600" y="0"/>
                  </wp:wrapPolygon>
                </wp:wrapThrough>
                <wp:docPr id="60" name="Text Box 39"/>
                <a:graphic xmlns:a="http://schemas.openxmlformats.org/drawingml/2006/main">
                  <a:graphicData uri="http://schemas.microsoft.com/office/word/2010/wordprocessingShape">
                    <wps:wsp>
                      <wps:cNvSpPr/>
                      <wps:spPr>
                        <a:xfrm>
                          <a:off x="0" y="0"/>
                          <a:ext cx="2697480" cy="144720"/>
                        </a:xfrm>
                        <a:prstGeom prst="rect">
                          <a:avLst/>
                        </a:prstGeom>
                        <a:solidFill>
                          <a:srgbClr val="ffffff"/>
                        </a:solidFill>
                        <a:ln>
                          <a:noFill/>
                        </a:ln>
                      </wps:spPr>
                      <wps:style>
                        <a:lnRef idx="0"/>
                        <a:fillRef idx="0"/>
                        <a:effectRef idx="0"/>
                        <a:fontRef idx="minor"/>
                      </wps:style>
                      <wps:txbx>
                        <w:txbxContent>
                          <w:p>
                            <w:pPr>
                              <w:pStyle w:val="Caption1"/>
                              <w:overflowPunct w:val="true"/>
                              <w:spacing w:before="0" w:after="60"/>
                              <w:ind w:left="170" w:hanging="170"/>
                              <w:jc w:val="center"/>
                              <w:textAlignment w:val="auto"/>
                              <w:rPr/>
                            </w:pPr>
                            <w:bookmarkStart w:id="2377" w:name="_Toc84599022"/>
                            <w:bookmarkStart w:id="2378" w:name="_Ref79664308"/>
                            <w:r>
                              <w:rPr>
                                <w:color w:val="00000A"/>
                              </w:rPr>
                              <w:t xml:space="preserve">Figura </w:t>
                            </w:r>
                            <w:r>
                              <w:rPr>
                                <w:color w:val="00000A"/>
                              </w:rPr>
                              <w:fldChar w:fldCharType="begin"/>
                            </w:r>
                            <w:r>
                              <w:instrText> SEQ Figura \* ARABIC </w:instrText>
                            </w:r>
                            <w:r>
                              <w:fldChar w:fldCharType="separate"/>
                            </w:r>
                            <w:r>
                              <w:t>15</w:t>
                            </w:r>
                            <w:r>
                              <w:fldChar w:fldCharType="end"/>
                            </w:r>
                            <w:bookmarkEnd w:id="2378"/>
                            <w:r>
                              <w:rPr>
                                <w:color w:val="00000A"/>
                              </w:rPr>
                              <w:t xml:space="preserve">: Comportamiento del indicador </w:t>
                            </w:r>
                            <w:r>
                              <w:rPr>
                                <w:i/>
                                <w:iCs/>
                                <w:color w:val="00000A"/>
                              </w:rPr>
                              <w:t>Te</w:t>
                            </w:r>
                            <w:r>
                              <w:rPr>
                                <w:i/>
                                <w:iCs/>
                                <w:color w:val="00000A"/>
                                <w:vertAlign w:val="subscript"/>
                              </w:rPr>
                              <w:t>1a</w:t>
                            </w:r>
                            <w:bookmarkEnd w:id="2377"/>
                            <w:r>
                              <w:rPr>
                                <w:color w:val="00000A"/>
                                <w:vertAlign w:val="subscript"/>
                              </w:rPr>
                              <w:t xml:space="preserve"> </w:t>
                            </w:r>
                          </w:p>
                        </w:txbxContent>
                      </wps:txbx>
                      <wps:bodyPr lIns="0" rIns="0" tIns="0" bIns="0">
                        <a:prstTxWarp prst="textNoShape"/>
                        <a:spAutoFit/>
                      </wps:bodyPr>
                    </wps:wsp>
                  </a:graphicData>
                </a:graphic>
              </wp:anchor>
            </w:drawing>
          </mc:Choice>
          <mc:Fallback>
            <w:pict>
              <v:rect id="shape_0" ID="Text Box 39" fillcolor="white" stroked="f" style="position:absolute;margin-left:199.2pt;margin-top:134.55pt;width:212.35pt;height:11.35pt" wp14:anchorId="505186DD">
                <w10:wrap type="square"/>
                <v:fill o:detectmouseclick="t" type="solid" color2="black"/>
                <v:stroke color="#3465a4" joinstyle="round" endcap="flat"/>
                <v:textbox>
                  <w:txbxContent>
                    <w:p>
                      <w:pPr>
                        <w:pStyle w:val="Caption1"/>
                        <w:overflowPunct w:val="true"/>
                        <w:spacing w:before="0" w:after="60"/>
                        <w:ind w:left="170" w:hanging="170"/>
                        <w:jc w:val="center"/>
                        <w:textAlignment w:val="auto"/>
                        <w:rPr/>
                      </w:pPr>
                      <w:bookmarkStart w:id="2379" w:name="_Toc84599022"/>
                      <w:bookmarkStart w:id="2380" w:name="_Ref79664308"/>
                      <w:r>
                        <w:rPr>
                          <w:color w:val="00000A"/>
                        </w:rPr>
                        <w:t xml:space="preserve">Figura </w:t>
                      </w:r>
                      <w:r>
                        <w:rPr>
                          <w:color w:val="00000A"/>
                        </w:rPr>
                        <w:fldChar w:fldCharType="begin"/>
                      </w:r>
                      <w:r>
                        <w:instrText> SEQ Figura \* ARABIC </w:instrText>
                      </w:r>
                      <w:r>
                        <w:fldChar w:fldCharType="separate"/>
                      </w:r>
                      <w:r>
                        <w:t>15</w:t>
                      </w:r>
                      <w:r>
                        <w:fldChar w:fldCharType="end"/>
                      </w:r>
                      <w:bookmarkEnd w:id="2380"/>
                      <w:r>
                        <w:rPr>
                          <w:color w:val="00000A"/>
                        </w:rPr>
                        <w:t xml:space="preserve">: Comportamiento del indicador </w:t>
                      </w:r>
                      <w:r>
                        <w:rPr>
                          <w:i/>
                          <w:iCs/>
                          <w:color w:val="00000A"/>
                        </w:rPr>
                        <w:t>Te</w:t>
                      </w:r>
                      <w:r>
                        <w:rPr>
                          <w:i/>
                          <w:iCs/>
                          <w:color w:val="00000A"/>
                          <w:vertAlign w:val="subscript"/>
                        </w:rPr>
                        <w:t>1a</w:t>
                      </w:r>
                      <w:bookmarkEnd w:id="2379"/>
                      <w:r>
                        <w:rPr>
                          <w:color w:val="00000A"/>
                          <w:vertAlign w:val="subscript"/>
                        </w:rPr>
                        <w:t xml:space="preserve"> </w:t>
                      </w:r>
                    </w:p>
                  </w:txbxContent>
                </v:textbox>
              </v:rect>
            </w:pict>
          </mc:Fallback>
        </mc:AlternateContent>
      </w:r>
      <w:r>
        <w:rPr/>
        <w:t xml:space="preserve">La </w:t>
      </w:r>
      <w:r>
        <w:rPr/>
        <w:fldChar w:fldCharType="begin"/>
      </w:r>
      <w:r>
        <w:instrText> REF _Ref79664308 \h </w:instrText>
      </w:r>
      <w:r>
        <w:fldChar w:fldCharType="separate"/>
      </w:r>
      <w:r>
        <w:t>Figura 15</w:t>
      </w:r>
      <w:r>
        <w:fldChar w:fldCharType="end"/>
      </w:r>
      <w:r>
        <w:rPr/>
        <w:t xml:space="preserve"> </w:t>
      </w:r>
      <w:r>
        <w:rPr>
          <w:lang w:val="en-US"/>
        </w:rPr>
        <w:t xml:space="preserve">evidencia los resultados de las pruebas a través de un diagrama de cajas y bigotes mientras que la </w:t>
      </w:r>
    </w:p>
    <w:p>
      <w:pPr>
        <w:pStyle w:val="Normal"/>
        <w:jc w:val="center"/>
        <w:rPr/>
      </w:pPr>
      <w:r>
        <w:rPr/>
      </w:r>
    </w:p>
    <w:p>
      <w:pPr>
        <w:pStyle w:val="Normal"/>
        <w:rPr/>
      </w:pPr>
      <w:r>
        <w:rPr/>
        <w:fldChar w:fldCharType="begin"/>
      </w:r>
      <w:r>
        <w:instrText> REF _Ref68973528 \h </w:instrText>
      </w:r>
      <w:r>
        <w:fldChar w:fldCharType="separate"/>
      </w:r>
      <w:r/>
      <w:r>
        <w:fldChar w:fldCharType="end"/>
      </w:r>
      <w:r>
        <w:rPr>
          <w:lang w:val="en-US"/>
        </w:rPr>
        <w:t xml:space="preserve"> </w:t>
      </w:r>
      <w:r>
        <w:rPr>
          <w:lang w:val="en-US"/>
        </w:rPr>
        <w:t>muestra los resultados de las comparaciones de los algoritmos empleando pruebas no paramétricas.</w:t>
      </w:r>
    </w:p>
    <w:p>
      <w:pPr>
        <w:pStyle w:val="Normal"/>
        <w:jc w:val="center"/>
        <w:rPr>
          <w:lang w:val="en-US"/>
        </w:rPr>
      </w:pPr>
      <w:bookmarkStart w:id="2381" w:name="_Ref65854983"/>
      <w:bookmarkStart w:id="2382" w:name="_Ref68973528"/>
      <w:bookmarkStart w:id="2383" w:name="_Ref65854983"/>
      <w:bookmarkStart w:id="2384" w:name="_Ref68973528"/>
      <w:r>
        <w:rPr>
          <w:lang w:val="en-US"/>
        </w:rPr>
      </w:r>
    </w:p>
    <w:p>
      <w:pPr>
        <w:pStyle w:val="Normal"/>
        <w:jc w:val="center"/>
        <w:rPr/>
      </w:pPr>
      <w:r>
        <w:rPr/>
      </w:r>
    </w:p>
    <w:p>
      <w:pPr>
        <w:pStyle w:val="Normal"/>
        <w:jc w:val="center"/>
        <w:rPr/>
      </w:pPr>
      <w:bookmarkStart w:id="2385" w:name="_Toc84598983"/>
      <w:r>
        <w:rPr/>
        <w:t xml:space="preserve">Tabla </w:t>
      </w:r>
      <w:r>
        <w:rPr/>
        <w:fldChar w:fldCharType="begin"/>
      </w:r>
      <w:r>
        <w:instrText> SEQ Tabla \* ARABIC </w:instrText>
      </w:r>
      <w:r>
        <w:fldChar w:fldCharType="separate"/>
      </w:r>
      <w:r>
        <w:t>13</w:t>
      </w:r>
      <w:r>
        <w:fldChar w:fldCharType="end"/>
      </w:r>
      <w:bookmarkEnd w:id="2383"/>
      <w:bookmarkEnd w:id="2384"/>
      <w:r>
        <w:rPr/>
        <w:t xml:space="preserve">: Comparación de los algoritmos respecto a la media aritmética del </w:t>
      </w:r>
      <w:r>
        <w:rPr>
          <w:i/>
        </w:rPr>
        <w:t>Te</w:t>
      </w:r>
      <w:r>
        <w:rPr>
          <w:i/>
          <w:vertAlign w:val="subscript"/>
        </w:rPr>
        <w:t>1a</w:t>
      </w:r>
      <w:bookmarkEnd w:id="2385"/>
      <w:r>
        <w:rPr/>
        <w:t>.</w:t>
      </w:r>
    </w:p>
    <w:p>
      <w:pPr>
        <w:pStyle w:val="Normal"/>
        <w:rPr>
          <w:i/>
          <w:i/>
          <w:lang w:val="en-US"/>
        </w:rPr>
      </w:pPr>
      <w:r>
        <w:rPr>
          <w:i/>
          <w:lang w:val="en-US"/>
        </w:rPr>
        <mc:AlternateContent>
          <mc:Choice Requires="wps">
            <w:drawing>
              <wp:anchor behindDoc="0" distT="0" distB="0" distL="114300" distR="114300" simplePos="0" locked="0" layoutInCell="1" allowOverlap="1" relativeHeight="43">
                <wp:simplePos x="0" y="0"/>
                <wp:positionH relativeFrom="margin">
                  <wp:align>center</wp:align>
                </wp:positionH>
                <wp:positionV relativeFrom="paragraph">
                  <wp:posOffset>35560</wp:posOffset>
                </wp:positionV>
                <wp:extent cx="2101215" cy="1685925"/>
                <wp:effectExtent l="0" t="0" r="0" b="0"/>
                <wp:wrapSquare wrapText="bothSides"/>
                <wp:docPr id="62" name="Frame21"/>
                <a:graphic xmlns:a="http://schemas.openxmlformats.org/drawingml/2006/main">
                  <a:graphicData uri="http://schemas.microsoft.com/office/word/2010/wordprocessingShape">
                    <wps:wsp>
                      <wps:cNvSpPr/>
                      <wps:spPr>
                        <a:xfrm>
                          <a:off x="0" y="0"/>
                          <a:ext cx="2100600" cy="1685160"/>
                        </a:xfrm>
                        <a:prstGeom prst="rect">
                          <a:avLst/>
                        </a:prstGeom>
                        <a:noFill/>
                        <a:ln>
                          <a:noFill/>
                        </a:ln>
                      </wps:spPr>
                      <wps:style>
                        <a:lnRef idx="0"/>
                        <a:fillRef idx="0"/>
                        <a:effectRef idx="0"/>
                        <a:fontRef idx="minor"/>
                      </wps:style>
                      <wps:txbx>
                        <w:txbxContent>
                          <w:tbl>
                            <w:tblPr>
                              <w:tblW w:w="3306" w:type="dxa"/>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1335"/>
                              <w:gridCol w:w="1159"/>
                              <w:gridCol w:w="812"/>
                            </w:tblGrid>
                            <w:tr>
                              <w:trPr>
                                <w:trHeight w:val="540" w:hRule="atLeast"/>
                                <w:cantSplit w:val="true"/>
                              </w:trPr>
                              <w:tc>
                                <w:tcPr>
                                  <w:tcW w:w="1335"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jc w:val="center"/>
                                    <w:rPr/>
                                  </w:pPr>
                                  <w:bookmarkStart w:id="2386" w:name="__UnoMark__17843_118561941"/>
                                  <w:bookmarkEnd w:id="2386"/>
                                  <w:r>
                                    <w:rPr>
                                      <w:color w:val="00000A"/>
                                      <w:sz w:val="18"/>
                                      <w:szCs w:val="18"/>
                                    </w:rPr>
                                    <w:t>Algoritmos</w:t>
                                  </w:r>
                                </w:p>
                              </w:tc>
                              <w:tc>
                                <w:tcPr>
                                  <w:tcW w:w="1159"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2387" w:name="__UnoMark__17844_118561941"/>
                                  <w:bookmarkEnd w:id="2387"/>
                                  <w:r>
                                    <w:rPr>
                                      <w:color w:val="00000A"/>
                                      <w:sz w:val="18"/>
                                      <w:szCs w:val="18"/>
                                    </w:rPr>
                                    <w:t>Kolmogorov-Smirnov</w:t>
                                  </w:r>
                                  <w:r>
                                    <w:rPr>
                                      <w:color w:val="00000A"/>
                                      <w:sz w:val="18"/>
                                      <w:szCs w:val="18"/>
                                      <w:vertAlign w:val="superscript"/>
                                    </w:rPr>
                                    <w:t>a</w:t>
                                  </w:r>
                                  <w:bookmarkStart w:id="2388" w:name="__UnoMark__17845_118561941"/>
                                  <w:bookmarkEnd w:id="2388"/>
                                  <w:r>
                                    <w:rPr>
                                      <w:color w:val="00000A"/>
                                      <w:sz w:val="18"/>
                                      <w:szCs w:val="18"/>
                                    </w:rPr>
                                    <w:t xml:space="preserve"> Sig.</w:t>
                                  </w:r>
                                </w:p>
                              </w:tc>
                              <w:tc>
                                <w:tcPr>
                                  <w:tcW w:w="812"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2389" w:name="__UnoMark__17847_118561941"/>
                                  <w:bookmarkStart w:id="2390" w:name="__UnoMark__17846_118561941"/>
                                  <w:bookmarkEnd w:id="2389"/>
                                  <w:bookmarkEnd w:id="2390"/>
                                  <w:r>
                                    <w:rPr>
                                      <w:color w:val="00000A"/>
                                      <w:sz w:val="18"/>
                                      <w:szCs w:val="18"/>
                                    </w:rPr>
                                    <w:t>Shapiro-Wilk Sig.</w:t>
                                  </w:r>
                                </w:p>
                              </w:tc>
                            </w:tr>
                            <w:tr>
                              <w:trPr>
                                <w:trHeight w:val="186" w:hRule="atLeast"/>
                                <w:cantSplit w:val="true"/>
                              </w:trPr>
                              <w:tc>
                                <w:tcPr>
                                  <w:tcW w:w="1335"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391" w:name="__UnoMark__17849_118561941"/>
                                  <w:bookmarkStart w:id="2392" w:name="__UnoMark__17848_118561941"/>
                                  <w:bookmarkEnd w:id="2391"/>
                                  <w:bookmarkEnd w:id="2392"/>
                                  <w:r>
                                    <w:rPr>
                                      <w:color w:val="00000A"/>
                                      <w:sz w:val="18"/>
                                      <w:szCs w:val="18"/>
                                    </w:rPr>
                                    <w:t>RST_LDS</w:t>
                                  </w:r>
                                </w:p>
                              </w:tc>
                              <w:tc>
                                <w:tcPr>
                                  <w:tcW w:w="1159"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393" w:name="__UnoMark__17850_118561941"/>
                                  <w:bookmarkEnd w:id="2393"/>
                                  <w:r>
                                    <w:rPr>
                                      <w:color w:val="00000A"/>
                                      <w:sz w:val="18"/>
                                      <w:szCs w:val="18"/>
                                    </w:rPr>
                                    <w:t>.200</w:t>
                                  </w:r>
                                  <w:bookmarkStart w:id="2394" w:name="__UnoMark__17851_118561941"/>
                                  <w:bookmarkEnd w:id="2394"/>
                                  <w:r>
                                    <w:rPr>
                                      <w:color w:val="00000A"/>
                                      <w:sz w:val="18"/>
                                      <w:szCs w:val="18"/>
                                      <w:vertAlign w:val="superscript"/>
                                    </w:rPr>
                                    <w:t>*</w:t>
                                  </w:r>
                                </w:p>
                              </w:tc>
                              <w:tc>
                                <w:tcPr>
                                  <w:tcW w:w="812"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395" w:name="__UnoMark__17853_118561941"/>
                                  <w:bookmarkStart w:id="2396" w:name="__UnoMark__17852_118561941"/>
                                  <w:bookmarkEnd w:id="2395"/>
                                  <w:bookmarkEnd w:id="2396"/>
                                  <w:r>
                                    <w:rPr>
                                      <w:color w:val="00000A"/>
                                      <w:sz w:val="18"/>
                                      <w:szCs w:val="18"/>
                                    </w:rPr>
                                    <w:t>.318</w:t>
                                  </w:r>
                                </w:p>
                              </w:tc>
                            </w:tr>
                            <w:tr>
                              <w:trPr>
                                <w:trHeight w:val="176" w:hRule="atLeast"/>
                                <w:cantSplit w:val="true"/>
                              </w:trPr>
                              <w:tc>
                                <w:tcPr>
                                  <w:tcW w:w="1335"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397" w:name="__UnoMark__17855_118561941"/>
                                  <w:bookmarkStart w:id="2398" w:name="__UnoMark__17854_118561941"/>
                                  <w:bookmarkEnd w:id="2397"/>
                                  <w:bookmarkEnd w:id="2398"/>
                                  <w:r>
                                    <w:rPr>
                                      <w:color w:val="00000A"/>
                                      <w:sz w:val="18"/>
                                      <w:szCs w:val="18"/>
                                    </w:rPr>
                                    <w:t>LPA_LDS</w:t>
                                  </w:r>
                                </w:p>
                              </w:tc>
                              <w:tc>
                                <w:tcPr>
                                  <w:tcW w:w="1159"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399" w:name="__UnoMark__17857_118561941"/>
                                  <w:bookmarkStart w:id="2400" w:name="__UnoMark__17856_118561941"/>
                                  <w:bookmarkEnd w:id="2399"/>
                                  <w:bookmarkEnd w:id="2400"/>
                                  <w:r>
                                    <w:rPr>
                                      <w:color w:val="00000A"/>
                                      <w:sz w:val="18"/>
                                      <w:szCs w:val="18"/>
                                    </w:rPr>
                                    <w:t>.005</w:t>
                                  </w:r>
                                </w:p>
                              </w:tc>
                              <w:tc>
                                <w:tcPr>
                                  <w:tcW w:w="812"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401" w:name="__UnoMark__17859_118561941"/>
                                  <w:bookmarkStart w:id="2402" w:name="__UnoMark__17858_118561941"/>
                                  <w:bookmarkEnd w:id="2401"/>
                                  <w:bookmarkEnd w:id="2402"/>
                                  <w:r>
                                    <w:rPr>
                                      <w:color w:val="00000A"/>
                                      <w:sz w:val="18"/>
                                      <w:szCs w:val="18"/>
                                    </w:rPr>
                                    <w:t>.006</w:t>
                                  </w:r>
                                </w:p>
                              </w:tc>
                            </w:tr>
                            <w:tr>
                              <w:trPr>
                                <w:trHeight w:val="176" w:hRule="atLeast"/>
                                <w:cantSplit w:val="true"/>
                              </w:trPr>
                              <w:tc>
                                <w:tcPr>
                                  <w:tcW w:w="1335"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403" w:name="__UnoMark__17861_118561941"/>
                                  <w:bookmarkStart w:id="2404" w:name="__UnoMark__17860_118561941"/>
                                  <w:bookmarkEnd w:id="2403"/>
                                  <w:bookmarkEnd w:id="2404"/>
                                  <w:r>
                                    <w:rPr>
                                      <w:color w:val="00000A"/>
                                      <w:sz w:val="18"/>
                                      <w:szCs w:val="18"/>
                                    </w:rPr>
                                    <w:t>Apriori_LDS</w:t>
                                  </w:r>
                                </w:p>
                              </w:tc>
                              <w:tc>
                                <w:tcPr>
                                  <w:tcW w:w="1159"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405" w:name="__UnoMark__17862_118561941"/>
                                  <w:bookmarkEnd w:id="2405"/>
                                  <w:r>
                                    <w:rPr>
                                      <w:color w:val="00000A"/>
                                      <w:sz w:val="18"/>
                                      <w:szCs w:val="18"/>
                                    </w:rPr>
                                    <w:t>.200</w:t>
                                  </w:r>
                                  <w:bookmarkStart w:id="2406" w:name="__UnoMark__17863_118561941"/>
                                  <w:bookmarkEnd w:id="2406"/>
                                  <w:r>
                                    <w:rPr>
                                      <w:color w:val="00000A"/>
                                      <w:sz w:val="18"/>
                                      <w:szCs w:val="18"/>
                                      <w:vertAlign w:val="superscript"/>
                                    </w:rPr>
                                    <w:t>*</w:t>
                                  </w:r>
                                </w:p>
                              </w:tc>
                              <w:tc>
                                <w:tcPr>
                                  <w:tcW w:w="812"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407" w:name="__UnoMark__17865_118561941"/>
                                  <w:bookmarkStart w:id="2408" w:name="__UnoMark__17864_118561941"/>
                                  <w:bookmarkEnd w:id="2407"/>
                                  <w:bookmarkEnd w:id="2408"/>
                                  <w:r>
                                    <w:rPr>
                                      <w:color w:val="00000A"/>
                                      <w:sz w:val="18"/>
                                      <w:szCs w:val="18"/>
                                    </w:rPr>
                                    <w:t>.758</w:t>
                                  </w:r>
                                </w:p>
                              </w:tc>
                            </w:tr>
                            <w:tr>
                              <w:trPr>
                                <w:trHeight w:val="186" w:hRule="atLeast"/>
                                <w:cantSplit w:val="true"/>
                              </w:trPr>
                              <w:tc>
                                <w:tcPr>
                                  <w:tcW w:w="1335"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409" w:name="__UnoMark__17867_118561941"/>
                                  <w:bookmarkStart w:id="2410" w:name="__UnoMark__17866_118561941"/>
                                  <w:bookmarkEnd w:id="2409"/>
                                  <w:bookmarkEnd w:id="2410"/>
                                  <w:r>
                                    <w:rPr>
                                      <w:color w:val="00000A"/>
                                      <w:sz w:val="18"/>
                                      <w:szCs w:val="18"/>
                                    </w:rPr>
                                    <w:t>ACO_LDS</w:t>
                                  </w:r>
                                </w:p>
                              </w:tc>
                              <w:tc>
                                <w:tcPr>
                                  <w:tcW w:w="1159"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411" w:name="__UnoMark__17868_118561941"/>
                                  <w:bookmarkEnd w:id="2411"/>
                                  <w:r>
                                    <w:rPr>
                                      <w:color w:val="00000A"/>
                                      <w:sz w:val="18"/>
                                      <w:szCs w:val="18"/>
                                    </w:rPr>
                                    <w:t>.200</w:t>
                                  </w:r>
                                  <w:bookmarkStart w:id="2412" w:name="__UnoMark__17869_118561941"/>
                                  <w:bookmarkEnd w:id="2412"/>
                                  <w:r>
                                    <w:rPr>
                                      <w:color w:val="00000A"/>
                                      <w:sz w:val="18"/>
                                      <w:szCs w:val="18"/>
                                      <w:vertAlign w:val="superscript"/>
                                    </w:rPr>
                                    <w:t>*</w:t>
                                  </w:r>
                                </w:p>
                              </w:tc>
                              <w:tc>
                                <w:tcPr>
                                  <w:tcW w:w="812"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413" w:name="__UnoMark__17871_118561941"/>
                                  <w:bookmarkStart w:id="2414" w:name="__UnoMark__17870_118561941"/>
                                  <w:bookmarkEnd w:id="2413"/>
                                  <w:bookmarkEnd w:id="2414"/>
                                  <w:r>
                                    <w:rPr>
                                      <w:color w:val="00000A"/>
                                      <w:sz w:val="18"/>
                                      <w:szCs w:val="18"/>
                                    </w:rPr>
                                    <w:t>.444</w:t>
                                  </w:r>
                                </w:p>
                              </w:tc>
                            </w:tr>
                            <w:tr>
                              <w:trPr>
                                <w:trHeight w:val="176" w:hRule="atLeast"/>
                                <w:cantSplit w:val="true"/>
                              </w:trPr>
                              <w:tc>
                                <w:tcPr>
                                  <w:tcW w:w="1335"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415" w:name="__UnoMark__17873_118561941"/>
                                  <w:bookmarkStart w:id="2416" w:name="__UnoMark__17872_118561941"/>
                                  <w:bookmarkEnd w:id="2415"/>
                                  <w:bookmarkEnd w:id="2416"/>
                                  <w:r>
                                    <w:rPr>
                                      <w:color w:val="00000A"/>
                                      <w:sz w:val="18"/>
                                      <w:szCs w:val="18"/>
                                    </w:rPr>
                                    <w:t>GA_LDS</w:t>
                                  </w:r>
                                </w:p>
                              </w:tc>
                              <w:tc>
                                <w:tcPr>
                                  <w:tcW w:w="1159"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417" w:name="__UnoMark__17875_118561941"/>
                                  <w:bookmarkStart w:id="2418" w:name="__UnoMark__17874_118561941"/>
                                  <w:bookmarkEnd w:id="2417"/>
                                  <w:bookmarkEnd w:id="2418"/>
                                  <w:r>
                                    <w:rPr>
                                      <w:color w:val="00000A"/>
                                      <w:sz w:val="18"/>
                                      <w:szCs w:val="18"/>
                                    </w:rPr>
                                    <w:t>.000</w:t>
                                  </w:r>
                                </w:p>
                              </w:tc>
                              <w:tc>
                                <w:tcPr>
                                  <w:tcW w:w="812"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419" w:name="__UnoMark__17877_118561941"/>
                                  <w:bookmarkStart w:id="2420" w:name="__UnoMark__17876_118561941"/>
                                  <w:bookmarkEnd w:id="2419"/>
                                  <w:bookmarkEnd w:id="2420"/>
                                  <w:r>
                                    <w:rPr>
                                      <w:color w:val="00000A"/>
                                      <w:sz w:val="18"/>
                                      <w:szCs w:val="18"/>
                                    </w:rPr>
                                    <w:t>.000</w:t>
                                  </w:r>
                                </w:p>
                              </w:tc>
                            </w:tr>
                            <w:tr>
                              <w:trPr>
                                <w:trHeight w:val="186" w:hRule="atLeast"/>
                                <w:cantSplit w:val="true"/>
                              </w:trPr>
                              <w:tc>
                                <w:tcPr>
                                  <w:tcW w:w="1335"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421" w:name="__UnoMark__17879_118561941"/>
                                  <w:bookmarkStart w:id="2422" w:name="__UnoMark__17878_118561941"/>
                                  <w:bookmarkEnd w:id="2421"/>
                                  <w:bookmarkEnd w:id="2422"/>
                                  <w:r>
                                    <w:rPr>
                                      <w:color w:val="00000A"/>
                                      <w:sz w:val="18"/>
                                      <w:szCs w:val="18"/>
                                    </w:rPr>
                                    <w:t>PCA_LDS</w:t>
                                  </w:r>
                                </w:p>
                              </w:tc>
                              <w:tc>
                                <w:tcPr>
                                  <w:tcW w:w="1159"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423" w:name="__UnoMark__17880_118561941"/>
                                  <w:bookmarkEnd w:id="2423"/>
                                  <w:r>
                                    <w:rPr>
                                      <w:color w:val="00000A"/>
                                      <w:sz w:val="18"/>
                                      <w:szCs w:val="18"/>
                                    </w:rPr>
                                    <w:t>.200</w:t>
                                  </w:r>
                                  <w:bookmarkStart w:id="2424" w:name="__UnoMark__17881_118561941"/>
                                  <w:bookmarkEnd w:id="2424"/>
                                  <w:r>
                                    <w:rPr>
                                      <w:color w:val="00000A"/>
                                      <w:sz w:val="18"/>
                                      <w:szCs w:val="18"/>
                                      <w:vertAlign w:val="superscript"/>
                                    </w:rPr>
                                    <w:t>*</w:t>
                                  </w:r>
                                </w:p>
                              </w:tc>
                              <w:tc>
                                <w:tcPr>
                                  <w:tcW w:w="812"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425" w:name="__UnoMark__17882_118561941"/>
                                  <w:bookmarkEnd w:id="2425"/>
                                  <w:r>
                                    <w:rPr>
                                      <w:color w:val="00000A"/>
                                      <w:sz w:val="18"/>
                                      <w:szCs w:val="18"/>
                                    </w:rPr>
                                    <w:t>.908</w:t>
                                  </w:r>
                                </w:p>
                              </w:tc>
                            </w:tr>
                          </w:tbl>
                          <w:p>
                            <w:pPr>
                              <w:pStyle w:val="FrameContents"/>
                              <w:spacing w:before="80" w:after="60"/>
                              <w:rPr>
                                <w:color w:val="000000"/>
                              </w:rPr>
                            </w:pPr>
                            <w:r>
                              <w:rPr>
                                <w:color w:val="000000"/>
                              </w:rPr>
                            </w:r>
                          </w:p>
                        </w:txbxContent>
                      </wps:txbx>
                      <wps:bodyPr lIns="0" rIns="0" tIns="0" bIns="0">
                        <a:spAutoFit/>
                      </wps:bodyPr>
                    </wps:wsp>
                  </a:graphicData>
                </a:graphic>
              </wp:anchor>
            </w:drawing>
          </mc:Choice>
          <mc:Fallback>
            <w:pict>
              <v:rect id="shape_0" ID="Frame21" stroked="f" style="position:absolute;margin-left:141.75pt;margin-top:2.8pt;width:165.35pt;height:132.65pt;mso-position-horizontal:center;mso-position-horizontal-relative:margin">
                <w10:wrap type="none"/>
                <v:fill o:detectmouseclick="t" on="false"/>
                <v:stroke color="#3465a4" joinstyle="round" endcap="flat"/>
                <v:textbox>
                  <w:txbxContent>
                    <w:tbl>
                      <w:tblPr>
                        <w:tblW w:w="3306" w:type="dxa"/>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1335"/>
                        <w:gridCol w:w="1159"/>
                        <w:gridCol w:w="812"/>
                      </w:tblGrid>
                      <w:tr>
                        <w:trPr>
                          <w:trHeight w:val="540" w:hRule="atLeast"/>
                          <w:cantSplit w:val="true"/>
                        </w:trPr>
                        <w:tc>
                          <w:tcPr>
                            <w:tcW w:w="1335"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jc w:val="center"/>
                              <w:rPr/>
                            </w:pPr>
                            <w:bookmarkStart w:id="2426" w:name="__UnoMark__17843_118561941"/>
                            <w:bookmarkEnd w:id="2426"/>
                            <w:r>
                              <w:rPr>
                                <w:color w:val="00000A"/>
                                <w:sz w:val="18"/>
                                <w:szCs w:val="18"/>
                              </w:rPr>
                              <w:t>Algoritmos</w:t>
                            </w:r>
                          </w:p>
                        </w:tc>
                        <w:tc>
                          <w:tcPr>
                            <w:tcW w:w="1159"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2427" w:name="__UnoMark__17844_118561941"/>
                            <w:bookmarkEnd w:id="2427"/>
                            <w:r>
                              <w:rPr>
                                <w:color w:val="00000A"/>
                                <w:sz w:val="18"/>
                                <w:szCs w:val="18"/>
                              </w:rPr>
                              <w:t>Kolmogorov-Smirnov</w:t>
                            </w:r>
                            <w:r>
                              <w:rPr>
                                <w:color w:val="00000A"/>
                                <w:sz w:val="18"/>
                                <w:szCs w:val="18"/>
                                <w:vertAlign w:val="superscript"/>
                              </w:rPr>
                              <w:t>a</w:t>
                            </w:r>
                            <w:bookmarkStart w:id="2428" w:name="__UnoMark__17845_118561941"/>
                            <w:bookmarkEnd w:id="2428"/>
                            <w:r>
                              <w:rPr>
                                <w:color w:val="00000A"/>
                                <w:sz w:val="18"/>
                                <w:szCs w:val="18"/>
                              </w:rPr>
                              <w:t xml:space="preserve"> Sig.</w:t>
                            </w:r>
                          </w:p>
                        </w:tc>
                        <w:tc>
                          <w:tcPr>
                            <w:tcW w:w="812"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2429" w:name="__UnoMark__17847_118561941"/>
                            <w:bookmarkStart w:id="2430" w:name="__UnoMark__17846_118561941"/>
                            <w:bookmarkEnd w:id="2429"/>
                            <w:bookmarkEnd w:id="2430"/>
                            <w:r>
                              <w:rPr>
                                <w:color w:val="00000A"/>
                                <w:sz w:val="18"/>
                                <w:szCs w:val="18"/>
                              </w:rPr>
                              <w:t>Shapiro-Wilk Sig.</w:t>
                            </w:r>
                          </w:p>
                        </w:tc>
                      </w:tr>
                      <w:tr>
                        <w:trPr>
                          <w:trHeight w:val="186" w:hRule="atLeast"/>
                          <w:cantSplit w:val="true"/>
                        </w:trPr>
                        <w:tc>
                          <w:tcPr>
                            <w:tcW w:w="1335"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431" w:name="__UnoMark__17849_118561941"/>
                            <w:bookmarkStart w:id="2432" w:name="__UnoMark__17848_118561941"/>
                            <w:bookmarkEnd w:id="2431"/>
                            <w:bookmarkEnd w:id="2432"/>
                            <w:r>
                              <w:rPr>
                                <w:color w:val="00000A"/>
                                <w:sz w:val="18"/>
                                <w:szCs w:val="18"/>
                              </w:rPr>
                              <w:t>RST_LDS</w:t>
                            </w:r>
                          </w:p>
                        </w:tc>
                        <w:tc>
                          <w:tcPr>
                            <w:tcW w:w="1159"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433" w:name="__UnoMark__17850_118561941"/>
                            <w:bookmarkEnd w:id="2433"/>
                            <w:r>
                              <w:rPr>
                                <w:color w:val="00000A"/>
                                <w:sz w:val="18"/>
                                <w:szCs w:val="18"/>
                              </w:rPr>
                              <w:t>.200</w:t>
                            </w:r>
                            <w:bookmarkStart w:id="2434" w:name="__UnoMark__17851_118561941"/>
                            <w:bookmarkEnd w:id="2434"/>
                            <w:r>
                              <w:rPr>
                                <w:color w:val="00000A"/>
                                <w:sz w:val="18"/>
                                <w:szCs w:val="18"/>
                                <w:vertAlign w:val="superscript"/>
                              </w:rPr>
                              <w:t>*</w:t>
                            </w:r>
                          </w:p>
                        </w:tc>
                        <w:tc>
                          <w:tcPr>
                            <w:tcW w:w="812"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435" w:name="__UnoMark__17853_118561941"/>
                            <w:bookmarkStart w:id="2436" w:name="__UnoMark__17852_118561941"/>
                            <w:bookmarkEnd w:id="2435"/>
                            <w:bookmarkEnd w:id="2436"/>
                            <w:r>
                              <w:rPr>
                                <w:color w:val="00000A"/>
                                <w:sz w:val="18"/>
                                <w:szCs w:val="18"/>
                              </w:rPr>
                              <w:t>.318</w:t>
                            </w:r>
                          </w:p>
                        </w:tc>
                      </w:tr>
                      <w:tr>
                        <w:trPr>
                          <w:trHeight w:val="176" w:hRule="atLeast"/>
                          <w:cantSplit w:val="true"/>
                        </w:trPr>
                        <w:tc>
                          <w:tcPr>
                            <w:tcW w:w="1335"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437" w:name="__UnoMark__17855_118561941"/>
                            <w:bookmarkStart w:id="2438" w:name="__UnoMark__17854_118561941"/>
                            <w:bookmarkEnd w:id="2437"/>
                            <w:bookmarkEnd w:id="2438"/>
                            <w:r>
                              <w:rPr>
                                <w:color w:val="00000A"/>
                                <w:sz w:val="18"/>
                                <w:szCs w:val="18"/>
                              </w:rPr>
                              <w:t>LPA_LDS</w:t>
                            </w:r>
                          </w:p>
                        </w:tc>
                        <w:tc>
                          <w:tcPr>
                            <w:tcW w:w="1159"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439" w:name="__UnoMark__17857_118561941"/>
                            <w:bookmarkStart w:id="2440" w:name="__UnoMark__17856_118561941"/>
                            <w:bookmarkEnd w:id="2439"/>
                            <w:bookmarkEnd w:id="2440"/>
                            <w:r>
                              <w:rPr>
                                <w:color w:val="00000A"/>
                                <w:sz w:val="18"/>
                                <w:szCs w:val="18"/>
                              </w:rPr>
                              <w:t>.005</w:t>
                            </w:r>
                          </w:p>
                        </w:tc>
                        <w:tc>
                          <w:tcPr>
                            <w:tcW w:w="812"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441" w:name="__UnoMark__17859_118561941"/>
                            <w:bookmarkStart w:id="2442" w:name="__UnoMark__17858_118561941"/>
                            <w:bookmarkEnd w:id="2441"/>
                            <w:bookmarkEnd w:id="2442"/>
                            <w:r>
                              <w:rPr>
                                <w:color w:val="00000A"/>
                                <w:sz w:val="18"/>
                                <w:szCs w:val="18"/>
                              </w:rPr>
                              <w:t>.006</w:t>
                            </w:r>
                          </w:p>
                        </w:tc>
                      </w:tr>
                      <w:tr>
                        <w:trPr>
                          <w:trHeight w:val="176" w:hRule="atLeast"/>
                          <w:cantSplit w:val="true"/>
                        </w:trPr>
                        <w:tc>
                          <w:tcPr>
                            <w:tcW w:w="1335"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443" w:name="__UnoMark__17861_118561941"/>
                            <w:bookmarkStart w:id="2444" w:name="__UnoMark__17860_118561941"/>
                            <w:bookmarkEnd w:id="2443"/>
                            <w:bookmarkEnd w:id="2444"/>
                            <w:r>
                              <w:rPr>
                                <w:color w:val="00000A"/>
                                <w:sz w:val="18"/>
                                <w:szCs w:val="18"/>
                              </w:rPr>
                              <w:t>Apriori_LDS</w:t>
                            </w:r>
                          </w:p>
                        </w:tc>
                        <w:tc>
                          <w:tcPr>
                            <w:tcW w:w="1159"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445" w:name="__UnoMark__17862_118561941"/>
                            <w:bookmarkEnd w:id="2445"/>
                            <w:r>
                              <w:rPr>
                                <w:color w:val="00000A"/>
                                <w:sz w:val="18"/>
                                <w:szCs w:val="18"/>
                              </w:rPr>
                              <w:t>.200</w:t>
                            </w:r>
                            <w:bookmarkStart w:id="2446" w:name="__UnoMark__17863_118561941"/>
                            <w:bookmarkEnd w:id="2446"/>
                            <w:r>
                              <w:rPr>
                                <w:color w:val="00000A"/>
                                <w:sz w:val="18"/>
                                <w:szCs w:val="18"/>
                                <w:vertAlign w:val="superscript"/>
                              </w:rPr>
                              <w:t>*</w:t>
                            </w:r>
                          </w:p>
                        </w:tc>
                        <w:tc>
                          <w:tcPr>
                            <w:tcW w:w="812"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447" w:name="__UnoMark__17865_118561941"/>
                            <w:bookmarkStart w:id="2448" w:name="__UnoMark__17864_118561941"/>
                            <w:bookmarkEnd w:id="2447"/>
                            <w:bookmarkEnd w:id="2448"/>
                            <w:r>
                              <w:rPr>
                                <w:color w:val="00000A"/>
                                <w:sz w:val="18"/>
                                <w:szCs w:val="18"/>
                              </w:rPr>
                              <w:t>.758</w:t>
                            </w:r>
                          </w:p>
                        </w:tc>
                      </w:tr>
                      <w:tr>
                        <w:trPr>
                          <w:trHeight w:val="186" w:hRule="atLeast"/>
                          <w:cantSplit w:val="true"/>
                        </w:trPr>
                        <w:tc>
                          <w:tcPr>
                            <w:tcW w:w="1335"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449" w:name="__UnoMark__17867_118561941"/>
                            <w:bookmarkStart w:id="2450" w:name="__UnoMark__17866_118561941"/>
                            <w:bookmarkEnd w:id="2449"/>
                            <w:bookmarkEnd w:id="2450"/>
                            <w:r>
                              <w:rPr>
                                <w:color w:val="00000A"/>
                                <w:sz w:val="18"/>
                                <w:szCs w:val="18"/>
                              </w:rPr>
                              <w:t>ACO_LDS</w:t>
                            </w:r>
                          </w:p>
                        </w:tc>
                        <w:tc>
                          <w:tcPr>
                            <w:tcW w:w="1159"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451" w:name="__UnoMark__17868_118561941"/>
                            <w:bookmarkEnd w:id="2451"/>
                            <w:r>
                              <w:rPr>
                                <w:color w:val="00000A"/>
                                <w:sz w:val="18"/>
                                <w:szCs w:val="18"/>
                              </w:rPr>
                              <w:t>.200</w:t>
                            </w:r>
                            <w:bookmarkStart w:id="2452" w:name="__UnoMark__17869_118561941"/>
                            <w:bookmarkEnd w:id="2452"/>
                            <w:r>
                              <w:rPr>
                                <w:color w:val="00000A"/>
                                <w:sz w:val="18"/>
                                <w:szCs w:val="18"/>
                                <w:vertAlign w:val="superscript"/>
                              </w:rPr>
                              <w:t>*</w:t>
                            </w:r>
                          </w:p>
                        </w:tc>
                        <w:tc>
                          <w:tcPr>
                            <w:tcW w:w="812"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453" w:name="__UnoMark__17871_118561941"/>
                            <w:bookmarkStart w:id="2454" w:name="__UnoMark__17870_118561941"/>
                            <w:bookmarkEnd w:id="2453"/>
                            <w:bookmarkEnd w:id="2454"/>
                            <w:r>
                              <w:rPr>
                                <w:color w:val="00000A"/>
                                <w:sz w:val="18"/>
                                <w:szCs w:val="18"/>
                              </w:rPr>
                              <w:t>.444</w:t>
                            </w:r>
                          </w:p>
                        </w:tc>
                      </w:tr>
                      <w:tr>
                        <w:trPr>
                          <w:trHeight w:val="176" w:hRule="atLeast"/>
                          <w:cantSplit w:val="true"/>
                        </w:trPr>
                        <w:tc>
                          <w:tcPr>
                            <w:tcW w:w="1335"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455" w:name="__UnoMark__17873_118561941"/>
                            <w:bookmarkStart w:id="2456" w:name="__UnoMark__17872_118561941"/>
                            <w:bookmarkEnd w:id="2455"/>
                            <w:bookmarkEnd w:id="2456"/>
                            <w:r>
                              <w:rPr>
                                <w:color w:val="00000A"/>
                                <w:sz w:val="18"/>
                                <w:szCs w:val="18"/>
                              </w:rPr>
                              <w:t>GA_LDS</w:t>
                            </w:r>
                          </w:p>
                        </w:tc>
                        <w:tc>
                          <w:tcPr>
                            <w:tcW w:w="1159"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457" w:name="__UnoMark__17875_118561941"/>
                            <w:bookmarkStart w:id="2458" w:name="__UnoMark__17874_118561941"/>
                            <w:bookmarkEnd w:id="2457"/>
                            <w:bookmarkEnd w:id="2458"/>
                            <w:r>
                              <w:rPr>
                                <w:color w:val="00000A"/>
                                <w:sz w:val="18"/>
                                <w:szCs w:val="18"/>
                              </w:rPr>
                              <w:t>.000</w:t>
                            </w:r>
                          </w:p>
                        </w:tc>
                        <w:tc>
                          <w:tcPr>
                            <w:tcW w:w="812"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459" w:name="__UnoMark__17877_118561941"/>
                            <w:bookmarkStart w:id="2460" w:name="__UnoMark__17876_118561941"/>
                            <w:bookmarkEnd w:id="2459"/>
                            <w:bookmarkEnd w:id="2460"/>
                            <w:r>
                              <w:rPr>
                                <w:color w:val="00000A"/>
                                <w:sz w:val="18"/>
                                <w:szCs w:val="18"/>
                              </w:rPr>
                              <w:t>.000</w:t>
                            </w:r>
                          </w:p>
                        </w:tc>
                      </w:tr>
                      <w:tr>
                        <w:trPr>
                          <w:trHeight w:val="186" w:hRule="atLeast"/>
                          <w:cantSplit w:val="true"/>
                        </w:trPr>
                        <w:tc>
                          <w:tcPr>
                            <w:tcW w:w="1335"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461" w:name="__UnoMark__17879_118561941"/>
                            <w:bookmarkStart w:id="2462" w:name="__UnoMark__17878_118561941"/>
                            <w:bookmarkEnd w:id="2461"/>
                            <w:bookmarkEnd w:id="2462"/>
                            <w:r>
                              <w:rPr>
                                <w:color w:val="00000A"/>
                                <w:sz w:val="18"/>
                                <w:szCs w:val="18"/>
                              </w:rPr>
                              <w:t>PCA_LDS</w:t>
                            </w:r>
                          </w:p>
                        </w:tc>
                        <w:tc>
                          <w:tcPr>
                            <w:tcW w:w="1159"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463" w:name="__UnoMark__17880_118561941"/>
                            <w:bookmarkEnd w:id="2463"/>
                            <w:r>
                              <w:rPr>
                                <w:color w:val="00000A"/>
                                <w:sz w:val="18"/>
                                <w:szCs w:val="18"/>
                              </w:rPr>
                              <w:t>.200</w:t>
                            </w:r>
                            <w:bookmarkStart w:id="2464" w:name="__UnoMark__17881_118561941"/>
                            <w:bookmarkEnd w:id="2464"/>
                            <w:r>
                              <w:rPr>
                                <w:color w:val="00000A"/>
                                <w:sz w:val="18"/>
                                <w:szCs w:val="18"/>
                                <w:vertAlign w:val="superscript"/>
                              </w:rPr>
                              <w:t>*</w:t>
                            </w:r>
                          </w:p>
                        </w:tc>
                        <w:tc>
                          <w:tcPr>
                            <w:tcW w:w="812"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465" w:name="__UnoMark__17882_118561941"/>
                            <w:bookmarkEnd w:id="2465"/>
                            <w:r>
                              <w:rPr>
                                <w:color w:val="00000A"/>
                                <w:sz w:val="18"/>
                                <w:szCs w:val="18"/>
                              </w:rPr>
                              <w:t>.908</w:t>
                            </w:r>
                          </w:p>
                        </w:tc>
                      </w:tr>
                    </w:tbl>
                    <w:p>
                      <w:pPr>
                        <w:pStyle w:val="FrameContents"/>
                        <w:spacing w:before="80" w:after="60"/>
                        <w:rPr>
                          <w:color w:val="000000"/>
                        </w:rPr>
                      </w:pPr>
                      <w:r>
                        <w:rPr>
                          <w:color w:val="000000"/>
                        </w:rPr>
                      </w:r>
                    </w:p>
                  </w:txbxContent>
                </v:textbox>
              </v:rect>
            </w:pict>
          </mc:Fallback>
        </mc:AlternateContent>
      </w:r>
    </w:p>
    <w:p>
      <w:pPr>
        <w:pStyle w:val="Caption1"/>
        <w:keepNext/>
        <w:rPr/>
      </w:pPr>
      <w:r>
        <w:rPr/>
      </w:r>
    </w:p>
    <w:p>
      <w:pPr>
        <w:pStyle w:val="Normal"/>
        <w:rPr>
          <w:lang w:val="en-US"/>
        </w:rPr>
      </w:pPr>
      <w:r>
        <w:rPr>
          <w:lang w:val="en-US"/>
        </w:rPr>
        <mc:AlternateContent>
          <mc:Choice Requires="wps">
            <w:drawing>
              <wp:anchor behindDoc="0" distT="0" distB="0" distL="114300" distR="114300" simplePos="0" locked="0" layoutInCell="1" allowOverlap="1" relativeHeight="44">
                <wp:simplePos x="0" y="0"/>
                <wp:positionH relativeFrom="margin">
                  <wp:align>center</wp:align>
                </wp:positionH>
                <wp:positionV relativeFrom="paragraph">
                  <wp:posOffset>-83185</wp:posOffset>
                </wp:positionV>
                <wp:extent cx="2792730" cy="2123440"/>
                <wp:effectExtent l="0" t="0" r="0" b="0"/>
                <wp:wrapSquare wrapText="bothSides"/>
                <wp:docPr id="64" name="Frame22"/>
                <a:graphic xmlns:a="http://schemas.openxmlformats.org/drawingml/2006/main">
                  <a:graphicData uri="http://schemas.microsoft.com/office/word/2010/wordprocessingShape">
                    <wps:wsp>
                      <wps:cNvSpPr/>
                      <wps:spPr>
                        <a:xfrm>
                          <a:off x="0" y="0"/>
                          <a:ext cx="2792160" cy="2122920"/>
                        </a:xfrm>
                        <a:prstGeom prst="rect">
                          <a:avLst/>
                        </a:prstGeom>
                        <a:noFill/>
                        <a:ln>
                          <a:noFill/>
                        </a:ln>
                      </wps:spPr>
                      <wps:style>
                        <a:lnRef idx="0"/>
                        <a:fillRef idx="0"/>
                        <a:effectRef idx="0"/>
                        <a:fontRef idx="minor"/>
                      </wps:style>
                      <wps:txbx>
                        <w:txbxContent>
                          <w:tbl>
                            <w:tblPr>
                              <w:tblW w:w="4395" w:type="dxa"/>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1984"/>
                              <w:gridCol w:w="710"/>
                              <w:gridCol w:w="1701"/>
                            </w:tblGrid>
                            <w:tr>
                              <w:trPr>
                                <w:trHeight w:val="186" w:hRule="atLeast"/>
                                <w:cantSplit w:val="true"/>
                              </w:trPr>
                              <w:tc>
                                <w:tcPr>
                                  <w:tcW w:w="198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466" w:name="__UnoMark__17966_118561941"/>
                                  <w:bookmarkEnd w:id="2466"/>
                                  <w:r>
                                    <w:rPr>
                                      <w:color w:val="00000A"/>
                                      <w:sz w:val="18"/>
                                      <w:szCs w:val="18"/>
                                    </w:rPr>
                                    <w:t>Algoritmos</w:t>
                                  </w:r>
                                </w:p>
                              </w:tc>
                              <w:tc>
                                <w:tcPr>
                                  <w:tcW w:w="71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467" w:name="__UnoMark__17968_118561941"/>
                                  <w:bookmarkStart w:id="2468" w:name="__UnoMark__17967_118561941"/>
                                  <w:bookmarkEnd w:id="2467"/>
                                  <w:bookmarkEnd w:id="2468"/>
                                  <w:r>
                                    <w:rPr>
                                      <w:color w:val="00000A"/>
                                      <w:sz w:val="18"/>
                                      <w:szCs w:val="18"/>
                                    </w:rPr>
                                    <w:t>p-value</w:t>
                                  </w:r>
                                </w:p>
                              </w:tc>
                              <w:tc>
                                <w:tcPr>
                                  <w:tcW w:w="170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469" w:name="__UnoMark__17970_118561941"/>
                                  <w:bookmarkStart w:id="2470" w:name="__UnoMark__17969_118561941"/>
                                  <w:bookmarkEnd w:id="2469"/>
                                  <w:bookmarkEnd w:id="2470"/>
                                  <w:r>
                                    <w:rPr>
                                      <w:color w:val="00000A"/>
                                      <w:sz w:val="18"/>
                                      <w:szCs w:val="18"/>
                                    </w:rPr>
                                    <w:t>Resultados</w:t>
                                  </w:r>
                                </w:p>
                              </w:tc>
                            </w:tr>
                            <w:tr>
                              <w:trPr>
                                <w:trHeight w:val="772" w:hRule="atLeast"/>
                                <w:cantSplit w:val="true"/>
                              </w:trPr>
                              <w:tc>
                                <w:tcPr>
                                  <w:tcW w:w="198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471" w:name="__UnoMark__17971_118561941"/>
                                  <w:bookmarkEnd w:id="2471"/>
                                  <w:r>
                                    <w:rPr>
                                      <w:i/>
                                      <w:color w:val="00000A"/>
                                      <w:sz w:val="18"/>
                                      <w:szCs w:val="18"/>
                                      <w:lang w:val="en-US"/>
                                    </w:rPr>
                                    <w:t>Friedman test</w:t>
                                  </w:r>
                                  <w:r>
                                    <w:rPr>
                                      <w:color w:val="00000A"/>
                                      <w:sz w:val="18"/>
                                      <w:szCs w:val="18"/>
                                      <w:lang w:val="en-US"/>
                                    </w:rPr>
                                    <w:t xml:space="preserve"> (grupo A)</w:t>
                                  </w:r>
                                </w:p>
                                <w:p>
                                  <w:pPr>
                                    <w:pStyle w:val="FrameContents"/>
                                    <w:spacing w:lineRule="auto" w:line="240" w:before="0" w:after="0"/>
                                    <w:jc w:val="left"/>
                                    <w:rPr>
                                      <w:color w:val="00000A"/>
                                    </w:rPr>
                                  </w:pPr>
                                  <w:bookmarkStart w:id="2472" w:name="__UnoMark__17972_118561941"/>
                                  <w:bookmarkEnd w:id="2472"/>
                                  <w:r>
                                    <w:rPr>
                                      <w:color w:val="00000A"/>
                                      <w:sz w:val="18"/>
                                      <w:szCs w:val="18"/>
                                      <w:lang w:val="en-US"/>
                                    </w:rPr>
                                    <w:t>RST_LDS, Apriori_LDS, PCA_LDS</w:t>
                                  </w:r>
                                </w:p>
                              </w:tc>
                              <w:tc>
                                <w:tcPr>
                                  <w:tcW w:w="71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473" w:name="__UnoMark__17974_118561941"/>
                                  <w:bookmarkStart w:id="2474" w:name="__UnoMark__17973_118561941"/>
                                  <w:bookmarkEnd w:id="2473"/>
                                  <w:bookmarkEnd w:id="2474"/>
                                  <w:r>
                                    <w:rPr>
                                      <w:color w:val="00000A"/>
                                      <w:sz w:val="18"/>
                                      <w:szCs w:val="18"/>
                                    </w:rPr>
                                    <w:t>0.433</w:t>
                                  </w:r>
                                </w:p>
                              </w:tc>
                              <w:tc>
                                <w:tcPr>
                                  <w:tcW w:w="170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475" w:name="__UnoMark__17976_118561941"/>
                                  <w:bookmarkStart w:id="2476" w:name="__UnoMark__17975_118561941"/>
                                  <w:bookmarkEnd w:id="2475"/>
                                  <w:bookmarkEnd w:id="2476"/>
                                  <w:r>
                                    <w:rPr>
                                      <w:color w:val="00000A"/>
                                      <w:sz w:val="18"/>
                                      <w:szCs w:val="18"/>
                                    </w:rPr>
                                    <w:t>No hay diferencias significativas</w:t>
                                  </w:r>
                                </w:p>
                              </w:tc>
                            </w:tr>
                            <w:tr>
                              <w:trPr>
                                <w:trHeight w:val="582" w:hRule="atLeast"/>
                                <w:cantSplit w:val="true"/>
                              </w:trPr>
                              <w:tc>
                                <w:tcPr>
                                  <w:tcW w:w="198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477" w:name="__UnoMark__17977_118561941"/>
                                  <w:bookmarkEnd w:id="2477"/>
                                  <w:r>
                                    <w:rPr>
                                      <w:i/>
                                      <w:color w:val="00000A"/>
                                      <w:sz w:val="18"/>
                                      <w:szCs w:val="18"/>
                                      <w:lang w:val="en-US"/>
                                    </w:rPr>
                                    <w:t xml:space="preserve">Wilcoxon test </w:t>
                                  </w:r>
                                  <w:r>
                                    <w:rPr>
                                      <w:color w:val="00000A"/>
                                      <w:sz w:val="18"/>
                                      <w:szCs w:val="18"/>
                                      <w:lang w:val="en-US"/>
                                    </w:rPr>
                                    <w:t>(grupo A)</w:t>
                                  </w:r>
                                </w:p>
                                <w:p>
                                  <w:pPr>
                                    <w:pStyle w:val="FrameContents"/>
                                    <w:spacing w:lineRule="auto" w:line="240" w:before="0" w:after="0"/>
                                    <w:jc w:val="left"/>
                                    <w:rPr>
                                      <w:color w:val="00000A"/>
                                    </w:rPr>
                                  </w:pPr>
                                  <w:bookmarkStart w:id="2478" w:name="__UnoMark__17978_118561941"/>
                                  <w:bookmarkEnd w:id="2478"/>
                                  <w:r>
                                    <w:rPr>
                                      <w:color w:val="00000A"/>
                                      <w:sz w:val="18"/>
                                      <w:szCs w:val="18"/>
                                      <w:lang w:val="en-US"/>
                                    </w:rPr>
                                    <w:t>RST_LDS - LPA_LDS</w:t>
                                  </w:r>
                                </w:p>
                              </w:tc>
                              <w:tc>
                                <w:tcPr>
                                  <w:tcW w:w="71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479" w:name="__UnoMark__17980_118561941"/>
                                  <w:bookmarkStart w:id="2480" w:name="__UnoMark__17979_118561941"/>
                                  <w:bookmarkEnd w:id="2479"/>
                                  <w:bookmarkEnd w:id="2480"/>
                                  <w:r>
                                    <w:rPr>
                                      <w:color w:val="00000A"/>
                                      <w:sz w:val="18"/>
                                      <w:szCs w:val="18"/>
                                    </w:rPr>
                                    <w:t>0.109</w:t>
                                  </w:r>
                                </w:p>
                              </w:tc>
                              <w:tc>
                                <w:tcPr>
                                  <w:tcW w:w="170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481" w:name="__UnoMark__17982_118561941"/>
                                  <w:bookmarkStart w:id="2482" w:name="__UnoMark__17981_118561941"/>
                                  <w:bookmarkEnd w:id="2481"/>
                                  <w:bookmarkEnd w:id="2482"/>
                                  <w:r>
                                    <w:rPr>
                                      <w:color w:val="00000A"/>
                                      <w:sz w:val="18"/>
                                      <w:szCs w:val="18"/>
                                    </w:rPr>
                                    <w:t xml:space="preserve">No hay diferencias significativas </w:t>
                                  </w:r>
                                </w:p>
                              </w:tc>
                            </w:tr>
                            <w:tr>
                              <w:trPr>
                                <w:trHeight w:val="674" w:hRule="atLeast"/>
                                <w:cantSplit w:val="true"/>
                              </w:trPr>
                              <w:tc>
                                <w:tcPr>
                                  <w:tcW w:w="198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483" w:name="__UnoMark__17983_118561941"/>
                                  <w:bookmarkEnd w:id="2483"/>
                                  <w:r>
                                    <w:rPr>
                                      <w:i/>
                                      <w:color w:val="00000A"/>
                                      <w:sz w:val="18"/>
                                      <w:szCs w:val="18"/>
                                      <w:lang w:val="en-US"/>
                                    </w:rPr>
                                    <w:t>Wilcoxon test</w:t>
                                  </w:r>
                                  <w:r>
                                    <w:rPr>
                                      <w:color w:val="00000A"/>
                                      <w:sz w:val="18"/>
                                      <w:szCs w:val="18"/>
                                      <w:lang w:val="en-US"/>
                                    </w:rPr>
                                    <w:t xml:space="preserve"> </w:t>
                                  </w:r>
                                </w:p>
                                <w:p>
                                  <w:pPr>
                                    <w:pStyle w:val="FrameContents"/>
                                    <w:spacing w:lineRule="auto" w:line="240" w:before="0" w:after="0"/>
                                    <w:jc w:val="left"/>
                                    <w:rPr>
                                      <w:color w:val="00000A"/>
                                    </w:rPr>
                                  </w:pPr>
                                  <w:r>
                                    <w:rPr>
                                      <w:color w:val="00000A"/>
                                      <w:sz w:val="18"/>
                                      <w:szCs w:val="18"/>
                                      <w:lang w:val="en-US"/>
                                    </w:rPr>
                                    <w:t xml:space="preserve">RST_LDS (grupo A) – </w:t>
                                  </w:r>
                                </w:p>
                                <w:p>
                                  <w:pPr>
                                    <w:pStyle w:val="FrameContents"/>
                                    <w:spacing w:lineRule="auto" w:line="240" w:before="0" w:after="0"/>
                                    <w:jc w:val="left"/>
                                    <w:rPr>
                                      <w:color w:val="00000A"/>
                                    </w:rPr>
                                  </w:pPr>
                                  <w:bookmarkStart w:id="2484" w:name="__UnoMark__17984_118561941"/>
                                  <w:bookmarkEnd w:id="2484"/>
                                  <w:r>
                                    <w:rPr>
                                      <w:color w:val="00000A"/>
                                      <w:sz w:val="18"/>
                                      <w:szCs w:val="18"/>
                                    </w:rPr>
                                    <w:t>ACO_LDS (grupo B)</w:t>
                                  </w:r>
                                </w:p>
                              </w:tc>
                              <w:tc>
                                <w:tcPr>
                                  <w:tcW w:w="710"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color w:val="00000A"/>
                                    </w:rPr>
                                  </w:pPr>
                                  <w:bookmarkStart w:id="2485" w:name="__UnoMark__17986_118561941"/>
                                  <w:bookmarkStart w:id="2486" w:name="__UnoMark__17985_118561941"/>
                                  <w:bookmarkEnd w:id="2485"/>
                                  <w:bookmarkEnd w:id="2486"/>
                                  <w:r>
                                    <w:rPr>
                                      <w:color w:val="00000A"/>
                                      <w:sz w:val="18"/>
                                      <w:szCs w:val="18"/>
                                    </w:rPr>
                                    <w:t>0.002</w:t>
                                  </w:r>
                                </w:p>
                              </w:tc>
                              <w:tc>
                                <w:tcPr>
                                  <w:tcW w:w="170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487" w:name="__UnoMark__17988_118561941"/>
                                  <w:bookmarkStart w:id="2488" w:name="__UnoMark__17987_118561941"/>
                                  <w:bookmarkEnd w:id="2487"/>
                                  <w:bookmarkEnd w:id="2488"/>
                                  <w:r>
                                    <w:rPr>
                                      <w:color w:val="00000A"/>
                                      <w:sz w:val="18"/>
                                      <w:szCs w:val="18"/>
                                    </w:rPr>
                                    <w:t>Hay diferencias significativas</w:t>
                                  </w:r>
                                </w:p>
                              </w:tc>
                            </w:tr>
                            <w:tr>
                              <w:trPr>
                                <w:trHeight w:val="767" w:hRule="atLeast"/>
                                <w:cantSplit w:val="true"/>
                              </w:trPr>
                              <w:tc>
                                <w:tcPr>
                                  <w:tcW w:w="198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489" w:name="__UnoMark__17989_118561941"/>
                                  <w:bookmarkEnd w:id="2489"/>
                                  <w:r>
                                    <w:rPr>
                                      <w:i/>
                                      <w:color w:val="00000A"/>
                                      <w:sz w:val="18"/>
                                      <w:szCs w:val="18"/>
                                    </w:rPr>
                                    <w:t>Wilcoxon test</w:t>
                                  </w:r>
                                  <w:r>
                                    <w:rPr>
                                      <w:color w:val="00000A"/>
                                      <w:sz w:val="18"/>
                                      <w:szCs w:val="18"/>
                                    </w:rPr>
                                    <w:t xml:space="preserve"> </w:t>
                                  </w:r>
                                </w:p>
                                <w:p>
                                  <w:pPr>
                                    <w:pStyle w:val="FrameContents"/>
                                    <w:spacing w:lineRule="auto" w:line="240" w:before="0" w:after="0"/>
                                    <w:jc w:val="left"/>
                                    <w:rPr>
                                      <w:color w:val="00000A"/>
                                    </w:rPr>
                                  </w:pPr>
                                  <w:r>
                                    <w:rPr>
                                      <w:color w:val="00000A"/>
                                      <w:sz w:val="18"/>
                                      <w:szCs w:val="18"/>
                                    </w:rPr>
                                    <w:t xml:space="preserve">ACO_LDS (grupo B) – </w:t>
                                  </w:r>
                                </w:p>
                                <w:p>
                                  <w:pPr>
                                    <w:pStyle w:val="FrameContents"/>
                                    <w:spacing w:lineRule="auto" w:line="240" w:before="0" w:after="0"/>
                                    <w:jc w:val="left"/>
                                    <w:rPr>
                                      <w:color w:val="00000A"/>
                                    </w:rPr>
                                  </w:pPr>
                                  <w:bookmarkStart w:id="2490" w:name="__UnoMark__17990_118561941"/>
                                  <w:bookmarkEnd w:id="2490"/>
                                  <w:r>
                                    <w:rPr>
                                      <w:color w:val="00000A"/>
                                      <w:sz w:val="18"/>
                                      <w:szCs w:val="18"/>
                                    </w:rPr>
                                    <w:t>GA_LDS (grupo C)</w:t>
                                  </w:r>
                                </w:p>
                              </w:tc>
                              <w:tc>
                                <w:tcPr>
                                  <w:tcW w:w="710"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color w:val="00000A"/>
                                    </w:rPr>
                                  </w:pPr>
                                  <w:bookmarkStart w:id="2491" w:name="__UnoMark__17992_118561941"/>
                                  <w:bookmarkStart w:id="2492" w:name="__UnoMark__17991_118561941"/>
                                  <w:bookmarkEnd w:id="2491"/>
                                  <w:bookmarkEnd w:id="2492"/>
                                  <w:r>
                                    <w:rPr>
                                      <w:color w:val="00000A"/>
                                      <w:sz w:val="18"/>
                                      <w:szCs w:val="18"/>
                                    </w:rPr>
                                    <w:t>0.034</w:t>
                                  </w:r>
                                </w:p>
                              </w:tc>
                              <w:tc>
                                <w:tcPr>
                                  <w:tcW w:w="170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493" w:name="__UnoMark__17993_118561941"/>
                                  <w:bookmarkEnd w:id="2493"/>
                                  <w:r>
                                    <w:rPr>
                                      <w:color w:val="00000A"/>
                                      <w:sz w:val="18"/>
                                      <w:szCs w:val="18"/>
                                    </w:rPr>
                                    <w:t>Hay diferencias significativas</w:t>
                                  </w:r>
                                </w:p>
                              </w:tc>
                            </w:tr>
                          </w:tbl>
                          <w:p>
                            <w:pPr>
                              <w:pStyle w:val="FrameContents"/>
                              <w:spacing w:before="80" w:after="60"/>
                              <w:rPr>
                                <w:color w:val="000000"/>
                              </w:rPr>
                            </w:pPr>
                            <w:r>
                              <w:rPr>
                                <w:color w:val="000000"/>
                              </w:rPr>
                            </w:r>
                          </w:p>
                        </w:txbxContent>
                      </wps:txbx>
                      <wps:bodyPr lIns="0" rIns="0" tIns="0" bIns="0">
                        <a:spAutoFit/>
                      </wps:bodyPr>
                    </wps:wsp>
                  </a:graphicData>
                </a:graphic>
              </wp:anchor>
            </w:drawing>
          </mc:Choice>
          <mc:Fallback>
            <w:pict>
              <v:rect id="shape_0" ID="Frame22" stroked="f" style="position:absolute;margin-left:114.5pt;margin-top:-6.55pt;width:219.8pt;height:167.1pt;mso-position-horizontal:center;mso-position-horizontal-relative:margin">
                <w10:wrap type="none"/>
                <v:fill o:detectmouseclick="t" on="false"/>
                <v:stroke color="#3465a4" joinstyle="round" endcap="flat"/>
                <v:textbox>
                  <w:txbxContent>
                    <w:tbl>
                      <w:tblPr>
                        <w:tblW w:w="4395" w:type="dxa"/>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1984"/>
                        <w:gridCol w:w="710"/>
                        <w:gridCol w:w="1701"/>
                      </w:tblGrid>
                      <w:tr>
                        <w:trPr>
                          <w:trHeight w:val="186" w:hRule="atLeast"/>
                          <w:cantSplit w:val="true"/>
                        </w:trPr>
                        <w:tc>
                          <w:tcPr>
                            <w:tcW w:w="198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494" w:name="__UnoMark__17966_118561941"/>
                            <w:bookmarkEnd w:id="2494"/>
                            <w:r>
                              <w:rPr>
                                <w:color w:val="00000A"/>
                                <w:sz w:val="18"/>
                                <w:szCs w:val="18"/>
                              </w:rPr>
                              <w:t>Algoritmos</w:t>
                            </w:r>
                          </w:p>
                        </w:tc>
                        <w:tc>
                          <w:tcPr>
                            <w:tcW w:w="71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495" w:name="__UnoMark__17968_118561941"/>
                            <w:bookmarkStart w:id="2496" w:name="__UnoMark__17967_118561941"/>
                            <w:bookmarkEnd w:id="2495"/>
                            <w:bookmarkEnd w:id="2496"/>
                            <w:r>
                              <w:rPr>
                                <w:color w:val="00000A"/>
                                <w:sz w:val="18"/>
                                <w:szCs w:val="18"/>
                              </w:rPr>
                              <w:t>p-value</w:t>
                            </w:r>
                          </w:p>
                        </w:tc>
                        <w:tc>
                          <w:tcPr>
                            <w:tcW w:w="170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497" w:name="__UnoMark__17970_118561941"/>
                            <w:bookmarkStart w:id="2498" w:name="__UnoMark__17969_118561941"/>
                            <w:bookmarkEnd w:id="2497"/>
                            <w:bookmarkEnd w:id="2498"/>
                            <w:r>
                              <w:rPr>
                                <w:color w:val="00000A"/>
                                <w:sz w:val="18"/>
                                <w:szCs w:val="18"/>
                              </w:rPr>
                              <w:t>Resultados</w:t>
                            </w:r>
                          </w:p>
                        </w:tc>
                      </w:tr>
                      <w:tr>
                        <w:trPr>
                          <w:trHeight w:val="772" w:hRule="atLeast"/>
                          <w:cantSplit w:val="true"/>
                        </w:trPr>
                        <w:tc>
                          <w:tcPr>
                            <w:tcW w:w="198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499" w:name="__UnoMark__17971_118561941"/>
                            <w:bookmarkEnd w:id="2499"/>
                            <w:r>
                              <w:rPr>
                                <w:i/>
                                <w:color w:val="00000A"/>
                                <w:sz w:val="18"/>
                                <w:szCs w:val="18"/>
                                <w:lang w:val="en-US"/>
                              </w:rPr>
                              <w:t>Friedman test</w:t>
                            </w:r>
                            <w:r>
                              <w:rPr>
                                <w:color w:val="00000A"/>
                                <w:sz w:val="18"/>
                                <w:szCs w:val="18"/>
                                <w:lang w:val="en-US"/>
                              </w:rPr>
                              <w:t xml:space="preserve"> (grupo A)</w:t>
                            </w:r>
                          </w:p>
                          <w:p>
                            <w:pPr>
                              <w:pStyle w:val="FrameContents"/>
                              <w:spacing w:lineRule="auto" w:line="240" w:before="0" w:after="0"/>
                              <w:jc w:val="left"/>
                              <w:rPr>
                                <w:color w:val="00000A"/>
                              </w:rPr>
                            </w:pPr>
                            <w:bookmarkStart w:id="2500" w:name="__UnoMark__17972_118561941"/>
                            <w:bookmarkEnd w:id="2500"/>
                            <w:r>
                              <w:rPr>
                                <w:color w:val="00000A"/>
                                <w:sz w:val="18"/>
                                <w:szCs w:val="18"/>
                                <w:lang w:val="en-US"/>
                              </w:rPr>
                              <w:t>RST_LDS, Apriori_LDS, PCA_LDS</w:t>
                            </w:r>
                          </w:p>
                        </w:tc>
                        <w:tc>
                          <w:tcPr>
                            <w:tcW w:w="71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501" w:name="__UnoMark__17974_118561941"/>
                            <w:bookmarkStart w:id="2502" w:name="__UnoMark__17973_118561941"/>
                            <w:bookmarkEnd w:id="2501"/>
                            <w:bookmarkEnd w:id="2502"/>
                            <w:r>
                              <w:rPr>
                                <w:color w:val="00000A"/>
                                <w:sz w:val="18"/>
                                <w:szCs w:val="18"/>
                              </w:rPr>
                              <w:t>0.433</w:t>
                            </w:r>
                          </w:p>
                        </w:tc>
                        <w:tc>
                          <w:tcPr>
                            <w:tcW w:w="170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503" w:name="__UnoMark__17976_118561941"/>
                            <w:bookmarkStart w:id="2504" w:name="__UnoMark__17975_118561941"/>
                            <w:bookmarkEnd w:id="2503"/>
                            <w:bookmarkEnd w:id="2504"/>
                            <w:r>
                              <w:rPr>
                                <w:color w:val="00000A"/>
                                <w:sz w:val="18"/>
                                <w:szCs w:val="18"/>
                              </w:rPr>
                              <w:t>No hay diferencias significativas</w:t>
                            </w:r>
                          </w:p>
                        </w:tc>
                      </w:tr>
                      <w:tr>
                        <w:trPr>
                          <w:trHeight w:val="582" w:hRule="atLeast"/>
                          <w:cantSplit w:val="true"/>
                        </w:trPr>
                        <w:tc>
                          <w:tcPr>
                            <w:tcW w:w="198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505" w:name="__UnoMark__17977_118561941"/>
                            <w:bookmarkEnd w:id="2505"/>
                            <w:r>
                              <w:rPr>
                                <w:i/>
                                <w:color w:val="00000A"/>
                                <w:sz w:val="18"/>
                                <w:szCs w:val="18"/>
                                <w:lang w:val="en-US"/>
                              </w:rPr>
                              <w:t xml:space="preserve">Wilcoxon test </w:t>
                            </w:r>
                            <w:r>
                              <w:rPr>
                                <w:color w:val="00000A"/>
                                <w:sz w:val="18"/>
                                <w:szCs w:val="18"/>
                                <w:lang w:val="en-US"/>
                              </w:rPr>
                              <w:t>(grupo A)</w:t>
                            </w:r>
                          </w:p>
                          <w:p>
                            <w:pPr>
                              <w:pStyle w:val="FrameContents"/>
                              <w:spacing w:lineRule="auto" w:line="240" w:before="0" w:after="0"/>
                              <w:jc w:val="left"/>
                              <w:rPr>
                                <w:color w:val="00000A"/>
                              </w:rPr>
                            </w:pPr>
                            <w:bookmarkStart w:id="2506" w:name="__UnoMark__17978_118561941"/>
                            <w:bookmarkEnd w:id="2506"/>
                            <w:r>
                              <w:rPr>
                                <w:color w:val="00000A"/>
                                <w:sz w:val="18"/>
                                <w:szCs w:val="18"/>
                                <w:lang w:val="en-US"/>
                              </w:rPr>
                              <w:t>RST_LDS - LPA_LDS</w:t>
                            </w:r>
                          </w:p>
                        </w:tc>
                        <w:tc>
                          <w:tcPr>
                            <w:tcW w:w="71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507" w:name="__UnoMark__17980_118561941"/>
                            <w:bookmarkStart w:id="2508" w:name="__UnoMark__17979_118561941"/>
                            <w:bookmarkEnd w:id="2507"/>
                            <w:bookmarkEnd w:id="2508"/>
                            <w:r>
                              <w:rPr>
                                <w:color w:val="00000A"/>
                                <w:sz w:val="18"/>
                                <w:szCs w:val="18"/>
                              </w:rPr>
                              <w:t>0.109</w:t>
                            </w:r>
                          </w:p>
                        </w:tc>
                        <w:tc>
                          <w:tcPr>
                            <w:tcW w:w="170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509" w:name="__UnoMark__17982_118561941"/>
                            <w:bookmarkStart w:id="2510" w:name="__UnoMark__17981_118561941"/>
                            <w:bookmarkEnd w:id="2509"/>
                            <w:bookmarkEnd w:id="2510"/>
                            <w:r>
                              <w:rPr>
                                <w:color w:val="00000A"/>
                                <w:sz w:val="18"/>
                                <w:szCs w:val="18"/>
                              </w:rPr>
                              <w:t xml:space="preserve">No hay diferencias significativas </w:t>
                            </w:r>
                          </w:p>
                        </w:tc>
                      </w:tr>
                      <w:tr>
                        <w:trPr>
                          <w:trHeight w:val="674" w:hRule="atLeast"/>
                          <w:cantSplit w:val="true"/>
                        </w:trPr>
                        <w:tc>
                          <w:tcPr>
                            <w:tcW w:w="198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511" w:name="__UnoMark__17983_118561941"/>
                            <w:bookmarkEnd w:id="2511"/>
                            <w:r>
                              <w:rPr>
                                <w:i/>
                                <w:color w:val="00000A"/>
                                <w:sz w:val="18"/>
                                <w:szCs w:val="18"/>
                                <w:lang w:val="en-US"/>
                              </w:rPr>
                              <w:t>Wilcoxon test</w:t>
                            </w:r>
                            <w:r>
                              <w:rPr>
                                <w:color w:val="00000A"/>
                                <w:sz w:val="18"/>
                                <w:szCs w:val="18"/>
                                <w:lang w:val="en-US"/>
                              </w:rPr>
                              <w:t xml:space="preserve"> </w:t>
                            </w:r>
                          </w:p>
                          <w:p>
                            <w:pPr>
                              <w:pStyle w:val="FrameContents"/>
                              <w:spacing w:lineRule="auto" w:line="240" w:before="0" w:after="0"/>
                              <w:jc w:val="left"/>
                              <w:rPr>
                                <w:color w:val="00000A"/>
                              </w:rPr>
                            </w:pPr>
                            <w:r>
                              <w:rPr>
                                <w:color w:val="00000A"/>
                                <w:sz w:val="18"/>
                                <w:szCs w:val="18"/>
                                <w:lang w:val="en-US"/>
                              </w:rPr>
                              <w:t xml:space="preserve">RST_LDS (grupo A) – </w:t>
                            </w:r>
                          </w:p>
                          <w:p>
                            <w:pPr>
                              <w:pStyle w:val="FrameContents"/>
                              <w:spacing w:lineRule="auto" w:line="240" w:before="0" w:after="0"/>
                              <w:jc w:val="left"/>
                              <w:rPr>
                                <w:color w:val="00000A"/>
                              </w:rPr>
                            </w:pPr>
                            <w:bookmarkStart w:id="2512" w:name="__UnoMark__17984_118561941"/>
                            <w:bookmarkEnd w:id="2512"/>
                            <w:r>
                              <w:rPr>
                                <w:color w:val="00000A"/>
                                <w:sz w:val="18"/>
                                <w:szCs w:val="18"/>
                              </w:rPr>
                              <w:t>ACO_LDS (grupo B)</w:t>
                            </w:r>
                          </w:p>
                        </w:tc>
                        <w:tc>
                          <w:tcPr>
                            <w:tcW w:w="710"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color w:val="00000A"/>
                              </w:rPr>
                            </w:pPr>
                            <w:bookmarkStart w:id="2513" w:name="__UnoMark__17986_118561941"/>
                            <w:bookmarkStart w:id="2514" w:name="__UnoMark__17985_118561941"/>
                            <w:bookmarkEnd w:id="2513"/>
                            <w:bookmarkEnd w:id="2514"/>
                            <w:r>
                              <w:rPr>
                                <w:color w:val="00000A"/>
                                <w:sz w:val="18"/>
                                <w:szCs w:val="18"/>
                              </w:rPr>
                              <w:t>0.002</w:t>
                            </w:r>
                          </w:p>
                        </w:tc>
                        <w:tc>
                          <w:tcPr>
                            <w:tcW w:w="170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515" w:name="__UnoMark__17988_118561941"/>
                            <w:bookmarkStart w:id="2516" w:name="__UnoMark__17987_118561941"/>
                            <w:bookmarkEnd w:id="2515"/>
                            <w:bookmarkEnd w:id="2516"/>
                            <w:r>
                              <w:rPr>
                                <w:color w:val="00000A"/>
                                <w:sz w:val="18"/>
                                <w:szCs w:val="18"/>
                              </w:rPr>
                              <w:t>Hay diferencias significativas</w:t>
                            </w:r>
                          </w:p>
                        </w:tc>
                      </w:tr>
                      <w:tr>
                        <w:trPr>
                          <w:trHeight w:val="767" w:hRule="atLeast"/>
                          <w:cantSplit w:val="true"/>
                        </w:trPr>
                        <w:tc>
                          <w:tcPr>
                            <w:tcW w:w="198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517" w:name="__UnoMark__17989_118561941"/>
                            <w:bookmarkEnd w:id="2517"/>
                            <w:r>
                              <w:rPr>
                                <w:i/>
                                <w:color w:val="00000A"/>
                                <w:sz w:val="18"/>
                                <w:szCs w:val="18"/>
                              </w:rPr>
                              <w:t>Wilcoxon test</w:t>
                            </w:r>
                            <w:r>
                              <w:rPr>
                                <w:color w:val="00000A"/>
                                <w:sz w:val="18"/>
                                <w:szCs w:val="18"/>
                              </w:rPr>
                              <w:t xml:space="preserve"> </w:t>
                            </w:r>
                          </w:p>
                          <w:p>
                            <w:pPr>
                              <w:pStyle w:val="FrameContents"/>
                              <w:spacing w:lineRule="auto" w:line="240" w:before="0" w:after="0"/>
                              <w:jc w:val="left"/>
                              <w:rPr>
                                <w:color w:val="00000A"/>
                              </w:rPr>
                            </w:pPr>
                            <w:r>
                              <w:rPr>
                                <w:color w:val="00000A"/>
                                <w:sz w:val="18"/>
                                <w:szCs w:val="18"/>
                              </w:rPr>
                              <w:t xml:space="preserve">ACO_LDS (grupo B) – </w:t>
                            </w:r>
                          </w:p>
                          <w:p>
                            <w:pPr>
                              <w:pStyle w:val="FrameContents"/>
                              <w:spacing w:lineRule="auto" w:line="240" w:before="0" w:after="0"/>
                              <w:jc w:val="left"/>
                              <w:rPr>
                                <w:color w:val="00000A"/>
                              </w:rPr>
                            </w:pPr>
                            <w:bookmarkStart w:id="2518" w:name="__UnoMark__17990_118561941"/>
                            <w:bookmarkEnd w:id="2518"/>
                            <w:r>
                              <w:rPr>
                                <w:color w:val="00000A"/>
                                <w:sz w:val="18"/>
                                <w:szCs w:val="18"/>
                              </w:rPr>
                              <w:t>GA_LDS (grupo C)</w:t>
                            </w:r>
                          </w:p>
                        </w:tc>
                        <w:tc>
                          <w:tcPr>
                            <w:tcW w:w="710"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color w:val="00000A"/>
                              </w:rPr>
                            </w:pPr>
                            <w:bookmarkStart w:id="2519" w:name="__UnoMark__17992_118561941"/>
                            <w:bookmarkStart w:id="2520" w:name="__UnoMark__17991_118561941"/>
                            <w:bookmarkEnd w:id="2519"/>
                            <w:bookmarkEnd w:id="2520"/>
                            <w:r>
                              <w:rPr>
                                <w:color w:val="00000A"/>
                                <w:sz w:val="18"/>
                                <w:szCs w:val="18"/>
                              </w:rPr>
                              <w:t>0.034</w:t>
                            </w:r>
                          </w:p>
                        </w:tc>
                        <w:tc>
                          <w:tcPr>
                            <w:tcW w:w="170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521" w:name="__UnoMark__17993_118561941"/>
                            <w:bookmarkEnd w:id="2521"/>
                            <w:r>
                              <w:rPr>
                                <w:color w:val="00000A"/>
                                <w:sz w:val="18"/>
                                <w:szCs w:val="18"/>
                              </w:rPr>
                              <w:t>Hay diferencias significativas</w:t>
                            </w:r>
                          </w:p>
                        </w:tc>
                      </w:tr>
                    </w:tbl>
                    <w:p>
                      <w:pPr>
                        <w:pStyle w:val="FrameContents"/>
                        <w:spacing w:before="80" w:after="60"/>
                        <w:rPr>
                          <w:color w:val="000000"/>
                        </w:rPr>
                      </w:pPr>
                      <w:r>
                        <w:rPr>
                          <w:color w:val="000000"/>
                        </w:rPr>
                      </w:r>
                    </w:p>
                  </w:txbxContent>
                </v:textbox>
              </v:rect>
            </w:pict>
          </mc:Fallback>
        </mc:AlternateContent>
      </w:r>
    </w:p>
    <w:p>
      <w:pPr>
        <w:pStyle w:val="Normal"/>
        <w:rPr>
          <w:lang w:val="en-US"/>
        </w:rPr>
      </w:pPr>
      <w:r>
        <w:rPr>
          <w:lang w:val="en-US"/>
        </w:rPr>
        <w:t xml:space="preserve">En el análisis se identifica que los resultados no cumplen con una distribución normal. En la comparación de los algoritmos, se aplicaron pruebas no paramétricas y se demuestra que no existen diferencias significativas entre los algoritmos </w:t>
      </w:r>
      <w:r>
        <w:rPr>
          <w:rFonts w:cs="Courier New" w:ascii="Courier New" w:hAnsi="Courier New"/>
        </w:rPr>
        <w:t>RST_LDS</w:t>
      </w:r>
      <w:r>
        <w:rPr>
          <w:lang w:val="en-US"/>
        </w:rPr>
        <w:t xml:space="preserve">, </w:t>
      </w:r>
      <w:r>
        <w:rPr>
          <w:rFonts w:cs="Courier New" w:ascii="Courier New" w:hAnsi="Courier New"/>
        </w:rPr>
        <w:t>Apriori_LDS</w:t>
      </w:r>
      <w:r>
        <w:rPr>
          <w:lang w:val="en-US"/>
        </w:rPr>
        <w:t xml:space="preserve">, </w:t>
      </w:r>
      <w:r>
        <w:rPr>
          <w:rFonts w:cs="Courier New" w:ascii="Courier New" w:hAnsi="Courier New"/>
        </w:rPr>
        <w:t>PCA_LDS</w:t>
      </w:r>
      <w:r>
        <w:rPr>
          <w:lang w:val="en-US"/>
        </w:rPr>
        <w:t xml:space="preserve"> y </w:t>
      </w:r>
      <w:r>
        <w:rPr>
          <w:rFonts w:cs="Courier New" w:ascii="Courier New" w:hAnsi="Courier New"/>
        </w:rPr>
        <w:t>LPA_LDS</w:t>
      </w:r>
      <w:r>
        <w:rPr>
          <w:lang w:val="en-US"/>
        </w:rPr>
        <w:t>, ubicados en el “grupo A” y reportando resultados significativamente mejores al resto. Luego, en el</w:t>
      </w:r>
      <w:r>
        <w:rPr>
          <w:rFonts w:cs="Courier New" w:ascii="Courier New" w:hAnsi="Courier New"/>
          <w:sz w:val="18"/>
          <w:szCs w:val="18"/>
        </w:rPr>
        <w:t xml:space="preserve"> </w:t>
      </w:r>
      <w:r>
        <w:rPr>
          <w:lang w:val="en-US"/>
        </w:rPr>
        <w:t>“grupo B” está ubicado el algoritmo</w:t>
      </w:r>
      <w:r>
        <w:rPr>
          <w:rFonts w:cs="Courier New" w:ascii="Courier New" w:hAnsi="Courier New"/>
        </w:rPr>
        <w:t xml:space="preserve"> ACO_LDS</w:t>
      </w:r>
      <w:r>
        <w:rPr>
          <w:lang w:val="en-US"/>
        </w:rPr>
        <w:t xml:space="preserve"> y en el</w:t>
      </w:r>
      <w:r>
        <w:rPr>
          <w:rFonts w:cs="Courier New" w:ascii="Courier New" w:hAnsi="Courier New"/>
        </w:rPr>
        <w:t xml:space="preserve"> </w:t>
      </w:r>
      <w:r>
        <w:rPr>
          <w:lang w:val="en-US"/>
        </w:rPr>
        <w:t xml:space="preserve">“grupo C” el </w:t>
      </w:r>
      <w:r>
        <w:rPr>
          <w:rFonts w:cs="Courier New" w:ascii="Courier New" w:hAnsi="Courier New"/>
        </w:rPr>
        <w:t>GA_LDS</w:t>
      </w:r>
      <w:r>
        <w:rPr>
          <w:lang w:val="en-US"/>
        </w:rPr>
        <w:t xml:space="preserve"> reportando peores resultados.</w:t>
      </w:r>
    </w:p>
    <w:p>
      <w:pPr>
        <w:pStyle w:val="Heading3"/>
        <w:numPr>
          <w:ilvl w:val="2"/>
          <w:numId w:val="80"/>
        </w:numPr>
        <w:rPr/>
      </w:pPr>
      <w:r>
        <w:rPr/>
        <w:t>Comparación de los algoritmos respecto al indicador Te</w:t>
      </w:r>
      <w:r>
        <w:rPr>
          <w:vertAlign w:val="subscript"/>
        </w:rPr>
        <w:t>1b</w:t>
      </w:r>
    </w:p>
    <w:p>
      <w:pPr>
        <w:pStyle w:val="Normal"/>
        <w:rPr>
          <w:rFonts w:ascii="Courier New" w:hAnsi="Courier New" w:cs="Courier New"/>
        </w:rPr>
      </w:pPr>
      <w:r>
        <mc:AlternateContent>
          <mc:Choice Requires="wps">
            <w:drawing>
              <wp:anchor behindDoc="0" distT="45720" distB="45720" distL="114300" distR="114300" simplePos="0" locked="0" layoutInCell="1" allowOverlap="1" relativeHeight="6" wp14:anchorId="35F3EF58">
                <wp:simplePos x="0" y="0"/>
                <wp:positionH relativeFrom="margin">
                  <wp:posOffset>1925955</wp:posOffset>
                </wp:positionH>
                <wp:positionV relativeFrom="paragraph">
                  <wp:posOffset>53340</wp:posOffset>
                </wp:positionV>
                <wp:extent cx="3778250" cy="2491740"/>
                <wp:effectExtent l="0" t="0" r="0" b="6350"/>
                <wp:wrapSquare wrapText="bothSides"/>
                <wp:docPr id="66" name="Cuadro de texto 2"/>
                <a:graphic xmlns:a="http://schemas.openxmlformats.org/drawingml/2006/main">
                  <a:graphicData uri="http://schemas.microsoft.com/office/word/2010/wordprocessingShape">
                    <wps:wsp>
                      <wps:cNvSpPr/>
                      <wps:spPr>
                        <a:xfrm>
                          <a:off x="0" y="0"/>
                          <a:ext cx="3777480" cy="2491200"/>
                        </a:xfrm>
                        <a:prstGeom prst="rect">
                          <a:avLst/>
                        </a:prstGeom>
                        <a:solidFill>
                          <a:srgbClr val="ffffff"/>
                        </a:solidFill>
                        <a:ln w="9360">
                          <a:noFill/>
                        </a:ln>
                      </wps:spPr>
                      <wps:style>
                        <a:lnRef idx="0"/>
                        <a:fillRef idx="0"/>
                        <a:effectRef idx="0"/>
                        <a:fontRef idx="minor"/>
                      </wps:style>
                      <wps:txbx>
                        <w:txbxContent>
                          <w:p>
                            <w:pPr>
                              <w:pStyle w:val="FrameContents"/>
                              <w:spacing w:before="80" w:after="60"/>
                              <w:rPr>
                                <w:sz w:val="20"/>
                              </w:rPr>
                            </w:pPr>
                            <w:r>
                              <w:rPr/>
                              <w:drawing>
                                <wp:inline distT="0" distB="0" distL="0" distR="0">
                                  <wp:extent cx="3430905" cy="2044700"/>
                                  <wp:effectExtent l="0" t="0" r="0" b="0"/>
                                  <wp:docPr id="68" name="Chart 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hart 78" descr=""/>
                                          <pic:cNvPicPr>
                                            <a:picLocks noChangeAspect="1" noChangeArrowheads="1"/>
                                          </pic:cNvPicPr>
                                        </pic:nvPicPr>
                                        <pic:blipFill>
                                          <a:blip r:embed="rId19"/>
                                          <a:stretch>
                                            <a:fillRect/>
                                          </a:stretch>
                                        </pic:blipFill>
                                        <pic:spPr bwMode="auto">
                                          <a:xfrm>
                                            <a:off x="0" y="0"/>
                                            <a:ext cx="3430905" cy="2044700"/>
                                          </a:xfrm>
                                          <a:prstGeom prst="rect">
                                            <a:avLst/>
                                          </a:prstGeom>
                                        </pic:spPr>
                                      </pic:pic>
                                    </a:graphicData>
                                  </a:graphic>
                                </wp:inline>
                              </w:drawing>
                            </w:r>
                          </w:p>
                          <w:p>
                            <w:pPr>
                              <w:pStyle w:val="FrameContents"/>
                              <w:spacing w:before="80" w:after="60"/>
                              <w:rPr/>
                            </w:pPr>
                            <w:bookmarkStart w:id="2522" w:name="_Toc84599023"/>
                            <w:bookmarkStart w:id="2523" w:name="_Ref68932708"/>
                            <w:r>
                              <w:rPr>
                                <w:sz w:val="20"/>
                              </w:rPr>
                              <w:t xml:space="preserve">Figura </w:t>
                            </w:r>
                            <w:r>
                              <w:rPr>
                                <w:sz w:val="20"/>
                              </w:rPr>
                              <w:fldChar w:fldCharType="begin"/>
                            </w:r>
                            <w:r>
                              <w:instrText> SEQ Figura \* ARABIC </w:instrText>
                            </w:r>
                            <w:r>
                              <w:fldChar w:fldCharType="separate"/>
                            </w:r>
                            <w:r>
                              <w:t>16</w:t>
                            </w:r>
                            <w:r>
                              <w:fldChar w:fldCharType="end"/>
                            </w:r>
                            <w:bookmarkEnd w:id="2523"/>
                            <w:r>
                              <w:rPr>
                                <w:sz w:val="20"/>
                              </w:rPr>
                              <w:t xml:space="preserve">: Media aritmética del indicador </w:t>
                            </w:r>
                            <w:r>
                              <w:rPr>
                                <w:i/>
                                <w:sz w:val="20"/>
                              </w:rPr>
                              <w:t>Te</w:t>
                            </w:r>
                            <w:r>
                              <w:rPr>
                                <w:i/>
                                <w:sz w:val="20"/>
                                <w:vertAlign w:val="subscript"/>
                              </w:rPr>
                              <w:t>1b</w:t>
                            </w:r>
                            <w:bookmarkEnd w:id="2522"/>
                            <w:r>
                              <w:rPr>
                                <w:sz w:val="20"/>
                              </w:rPr>
                              <w:t>.</w:t>
                            </w:r>
                          </w:p>
                        </w:txbxContent>
                      </wps:txbx>
                      <wps:bodyPr lIns="90000" rIns="90000" tIns="45000" bIns="45000">
                        <a:noAutofit/>
                      </wps:bodyPr>
                    </wps:wsp>
                  </a:graphicData>
                </a:graphic>
              </wp:anchor>
            </w:drawing>
          </mc:Choice>
          <mc:Fallback>
            <w:pict>
              <v:rect id="shape_0" ID="Cuadro de texto 2" fillcolor="white" stroked="f" style="position:absolute;margin-left:151.65pt;margin-top:4.2pt;width:297.4pt;height:196.1pt;mso-position-horizontal-relative:margin" wp14:anchorId="35F3EF58">
                <w10:wrap type="square"/>
                <v:fill o:detectmouseclick="t" type="solid" color2="black"/>
                <v:stroke color="#3465a4" weight="9360" joinstyle="round" endcap="flat"/>
                <v:textbox>
                  <w:txbxContent>
                    <w:p>
                      <w:pPr>
                        <w:pStyle w:val="FrameContents"/>
                        <w:spacing w:before="80" w:after="60"/>
                        <w:rPr>
                          <w:sz w:val="20"/>
                        </w:rPr>
                      </w:pPr>
                      <w:r>
                        <w:rPr/>
                        <w:drawing>
                          <wp:inline distT="0" distB="0" distL="0" distR="0">
                            <wp:extent cx="3430905" cy="2044700"/>
                            <wp:effectExtent l="0" t="0" r="0" b="0"/>
                            <wp:docPr id="69" name="Chart 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hart 78" descr=""/>
                                    <pic:cNvPicPr>
                                      <a:picLocks noChangeAspect="1" noChangeArrowheads="1"/>
                                    </pic:cNvPicPr>
                                  </pic:nvPicPr>
                                  <pic:blipFill>
                                    <a:blip r:embed="rId19"/>
                                    <a:stretch>
                                      <a:fillRect/>
                                    </a:stretch>
                                  </pic:blipFill>
                                  <pic:spPr bwMode="auto">
                                    <a:xfrm>
                                      <a:off x="0" y="0"/>
                                      <a:ext cx="3430905" cy="2044700"/>
                                    </a:xfrm>
                                    <a:prstGeom prst="rect">
                                      <a:avLst/>
                                    </a:prstGeom>
                                  </pic:spPr>
                                </pic:pic>
                              </a:graphicData>
                            </a:graphic>
                          </wp:inline>
                        </w:drawing>
                      </w:r>
                    </w:p>
                    <w:p>
                      <w:pPr>
                        <w:pStyle w:val="FrameContents"/>
                        <w:spacing w:before="80" w:after="60"/>
                        <w:rPr/>
                      </w:pPr>
                      <w:bookmarkStart w:id="2524" w:name="_Toc84599023"/>
                      <w:bookmarkStart w:id="2525" w:name="_Ref68932708"/>
                      <w:r>
                        <w:rPr>
                          <w:sz w:val="20"/>
                        </w:rPr>
                        <w:t xml:space="preserve">Figura </w:t>
                      </w:r>
                      <w:r>
                        <w:rPr>
                          <w:sz w:val="20"/>
                        </w:rPr>
                        <w:fldChar w:fldCharType="begin"/>
                      </w:r>
                      <w:r>
                        <w:instrText> SEQ Figura \* ARABIC </w:instrText>
                      </w:r>
                      <w:r>
                        <w:fldChar w:fldCharType="separate"/>
                      </w:r>
                      <w:r>
                        <w:t>16</w:t>
                      </w:r>
                      <w:r>
                        <w:fldChar w:fldCharType="end"/>
                      </w:r>
                      <w:bookmarkEnd w:id="2525"/>
                      <w:r>
                        <w:rPr>
                          <w:sz w:val="20"/>
                        </w:rPr>
                        <w:t xml:space="preserve">: Media aritmética del indicador </w:t>
                      </w:r>
                      <w:r>
                        <w:rPr>
                          <w:i/>
                          <w:sz w:val="20"/>
                        </w:rPr>
                        <w:t>Te</w:t>
                      </w:r>
                      <w:r>
                        <w:rPr>
                          <w:i/>
                          <w:sz w:val="20"/>
                          <w:vertAlign w:val="subscript"/>
                        </w:rPr>
                        <w:t>1b</w:t>
                      </w:r>
                      <w:bookmarkEnd w:id="2524"/>
                      <w:r>
                        <w:rPr>
                          <w:sz w:val="20"/>
                        </w:rPr>
                        <w:t>.</w:t>
                      </w:r>
                    </w:p>
                  </w:txbxContent>
                </v:textbox>
              </v:rect>
            </w:pict>
          </mc:Fallback>
        </mc:AlternateContent>
      </w:r>
      <w:r>
        <w:rPr>
          <w:lang w:val="en-US"/>
        </w:rPr>
        <w:t xml:space="preserve">Respecto a la media aritmética del indicador </w:t>
      </w:r>
      <w:r>
        <w:rPr>
          <w:i/>
          <w:lang w:val="en-US"/>
        </w:rPr>
        <w:t>Te</w:t>
      </w:r>
      <w:r>
        <w:rPr>
          <w:i/>
          <w:vertAlign w:val="subscript"/>
          <w:lang w:val="en-US"/>
        </w:rPr>
        <w:t>1b</w:t>
      </w:r>
      <w:r>
        <w:rPr>
          <w:lang w:val="en-US"/>
        </w:rPr>
        <w:t xml:space="preserve">, los algoritmos quedan ubicados en el siguiente orden: </w:t>
      </w:r>
      <w:r>
        <w:rPr>
          <w:rFonts w:cs="Courier New" w:ascii="Courier New" w:hAnsi="Courier New"/>
        </w:rPr>
        <w:t>RST_LDS</w:t>
      </w:r>
      <w:r>
        <w:rPr>
          <w:lang w:val="en-US"/>
        </w:rPr>
        <w:t xml:space="preserve">, </w:t>
      </w:r>
      <w:r>
        <w:rPr>
          <w:rFonts w:cs="Courier New" w:ascii="Courier New" w:hAnsi="Courier New"/>
        </w:rPr>
        <w:t>Apriori_LDS</w:t>
      </w:r>
      <w:r>
        <w:rPr>
          <w:lang w:val="en-US"/>
        </w:rPr>
        <w:t xml:space="preserve">, </w:t>
      </w:r>
      <w:r>
        <w:rPr>
          <w:rFonts w:cs="Courier New" w:ascii="Courier New" w:hAnsi="Courier New"/>
        </w:rPr>
        <w:t>GA_LDS</w:t>
      </w:r>
      <w:r>
        <w:rPr>
          <w:lang w:val="en-US"/>
        </w:rPr>
        <w:t xml:space="preserve">, </w:t>
      </w:r>
      <w:r>
        <w:rPr>
          <w:rFonts w:cs="Courier New" w:ascii="Courier New" w:hAnsi="Courier New"/>
        </w:rPr>
        <w:t>PCA_LDS</w:t>
      </w:r>
      <w:r>
        <w:rPr>
          <w:lang w:val="en-US"/>
        </w:rPr>
        <w:t>,</w:t>
      </w:r>
      <w:r>
        <w:rPr>
          <w:rFonts w:cs="Courier New" w:ascii="Courier New" w:hAnsi="Courier New"/>
        </w:rPr>
        <w:t xml:space="preserve"> LPA_LDS</w:t>
      </w:r>
      <w:r>
        <w:rPr>
          <w:lang w:val="en-US"/>
        </w:rPr>
        <w:t xml:space="preserve"> y</w:t>
      </w:r>
      <w:r>
        <w:rPr>
          <w:rFonts w:cs="Courier New" w:ascii="Courier New" w:hAnsi="Courier New"/>
        </w:rPr>
        <w:t xml:space="preserve"> ACO_LDS</w:t>
      </w:r>
      <w:r>
        <w:rPr>
          <w:lang w:val="en-US"/>
        </w:rPr>
        <w:t>.</w:t>
      </w:r>
    </w:p>
    <w:p>
      <w:pPr>
        <w:pStyle w:val="Normal"/>
        <w:rPr>
          <w:lang w:val="en-US"/>
        </w:rPr>
      </w:pPr>
      <w:r>
        <w:rPr>
          <w:lang w:val="en-US"/>
        </w:rPr>
        <w:t>En el análisis se identifica que los resultados no cumplen con una distribución normal.</w:t>
      </w:r>
    </w:p>
    <w:p>
      <w:pPr>
        <w:pStyle w:val="Normal"/>
        <w:rPr/>
      </w:pPr>
      <w:r>
        <w:rPr>
          <w:lang w:val="en-US"/>
        </w:rPr>
        <w:t xml:space="preserve"> </w:t>
      </w:r>
      <w:bookmarkStart w:id="2526" w:name="_Toc84598984"/>
      <w:bookmarkStart w:id="2527" w:name="_Ref65857494"/>
      <w:r>
        <w:rPr/>
        <w:t xml:space="preserve">Tabla </w:t>
      </w:r>
      <w:r>
        <w:rPr/>
        <w:fldChar w:fldCharType="begin"/>
      </w:r>
      <w:r>
        <w:instrText> SEQ Tabla \* ARABIC </w:instrText>
      </w:r>
      <w:r>
        <w:fldChar w:fldCharType="separate"/>
      </w:r>
      <w:r>
        <w:t>14</w:t>
      </w:r>
      <w:r>
        <w:fldChar w:fldCharType="end"/>
      </w:r>
      <w:bookmarkEnd w:id="2527"/>
      <w:r>
        <w:rPr/>
        <w:t xml:space="preserve">: Comparación de los algoritmos respecto a la media aritmética del </w:t>
      </w:r>
      <w:r>
        <w:rPr>
          <w:i/>
        </w:rPr>
        <w:t>Te</w:t>
      </w:r>
      <w:r>
        <w:rPr>
          <w:i/>
          <w:vertAlign w:val="subscript"/>
        </w:rPr>
        <w:t>1b</w:t>
      </w:r>
      <w:bookmarkEnd w:id="2526"/>
      <w:r>
        <w:rPr/>
        <w:t>.</w:t>
      </w:r>
    </w:p>
    <w:p>
      <w:pPr>
        <w:pStyle w:val="Normal"/>
        <w:rPr>
          <w:i/>
          <w:i/>
          <w:lang w:val="en-US"/>
        </w:rPr>
      </w:pPr>
      <w:r>
        <w:rPr>
          <w:i/>
          <w:lang w:val="en-US"/>
        </w:rPr>
        <mc:AlternateContent>
          <mc:Choice Requires="wps">
            <w:drawing>
              <wp:anchor behindDoc="0" distT="0" distB="0" distL="114300" distR="114300" simplePos="0" locked="0" layoutInCell="1" allowOverlap="1" relativeHeight="45">
                <wp:simplePos x="0" y="0"/>
                <wp:positionH relativeFrom="margin">
                  <wp:align>center</wp:align>
                </wp:positionH>
                <wp:positionV relativeFrom="paragraph">
                  <wp:posOffset>35560</wp:posOffset>
                </wp:positionV>
                <wp:extent cx="2105660" cy="1685925"/>
                <wp:effectExtent l="0" t="0" r="0" b="0"/>
                <wp:wrapSquare wrapText="bothSides"/>
                <wp:docPr id="70" name="Frame24"/>
                <a:graphic xmlns:a="http://schemas.openxmlformats.org/drawingml/2006/main">
                  <a:graphicData uri="http://schemas.microsoft.com/office/word/2010/wordprocessingShape">
                    <wps:wsp>
                      <wps:cNvSpPr/>
                      <wps:spPr>
                        <a:xfrm>
                          <a:off x="0" y="0"/>
                          <a:ext cx="2104920" cy="1685160"/>
                        </a:xfrm>
                        <a:prstGeom prst="rect">
                          <a:avLst/>
                        </a:prstGeom>
                        <a:noFill/>
                        <a:ln>
                          <a:noFill/>
                        </a:ln>
                      </wps:spPr>
                      <wps:style>
                        <a:lnRef idx="0"/>
                        <a:fillRef idx="0"/>
                        <a:effectRef idx="0"/>
                        <a:fontRef idx="minor"/>
                      </wps:style>
                      <wps:txbx>
                        <w:txbxContent>
                          <w:tbl>
                            <w:tblPr>
                              <w:tblW w:w="3313" w:type="dxa"/>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1340"/>
                              <w:gridCol w:w="1158"/>
                              <w:gridCol w:w="815"/>
                            </w:tblGrid>
                            <w:tr>
                              <w:trPr>
                                <w:cantSplit w:val="true"/>
                              </w:trPr>
                              <w:tc>
                                <w:tcPr>
                                  <w:tcW w:w="1340"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jc w:val="center"/>
                                    <w:rPr/>
                                  </w:pPr>
                                  <w:bookmarkStart w:id="2528" w:name="__UnoMark__18170_118561941"/>
                                  <w:bookmarkEnd w:id="2528"/>
                                  <w:r>
                                    <w:rPr>
                                      <w:color w:val="00000A"/>
                                      <w:sz w:val="18"/>
                                      <w:szCs w:val="18"/>
                                    </w:rPr>
                                    <w:t>Algoritmos</w:t>
                                  </w:r>
                                </w:p>
                              </w:tc>
                              <w:tc>
                                <w:tcPr>
                                  <w:tcW w:w="1158"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2529" w:name="__UnoMark__18171_118561941"/>
                                  <w:bookmarkEnd w:id="2529"/>
                                  <w:r>
                                    <w:rPr>
                                      <w:color w:val="00000A"/>
                                      <w:sz w:val="18"/>
                                      <w:szCs w:val="18"/>
                                    </w:rPr>
                                    <w:t>Kolmogorov-Smirnov</w:t>
                                  </w:r>
                                  <w:r>
                                    <w:rPr>
                                      <w:color w:val="00000A"/>
                                      <w:sz w:val="18"/>
                                      <w:szCs w:val="18"/>
                                      <w:vertAlign w:val="superscript"/>
                                    </w:rPr>
                                    <w:t>a</w:t>
                                  </w:r>
                                  <w:bookmarkStart w:id="2530" w:name="__UnoMark__18172_118561941"/>
                                  <w:bookmarkEnd w:id="2530"/>
                                  <w:r>
                                    <w:rPr>
                                      <w:color w:val="00000A"/>
                                      <w:sz w:val="18"/>
                                      <w:szCs w:val="18"/>
                                    </w:rPr>
                                    <w:t xml:space="preserve"> Sig.</w:t>
                                  </w:r>
                                </w:p>
                              </w:tc>
                              <w:tc>
                                <w:tcPr>
                                  <w:tcW w:w="815"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2531" w:name="__UnoMark__18174_118561941"/>
                                  <w:bookmarkStart w:id="2532" w:name="__UnoMark__18173_118561941"/>
                                  <w:bookmarkEnd w:id="2531"/>
                                  <w:bookmarkEnd w:id="2532"/>
                                  <w:r>
                                    <w:rPr>
                                      <w:color w:val="00000A"/>
                                      <w:sz w:val="18"/>
                                      <w:szCs w:val="18"/>
                                    </w:rPr>
                                    <w:t>Shapiro-Wilk Sig.</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533" w:name="__UnoMark__18176_118561941"/>
                                  <w:bookmarkStart w:id="2534" w:name="__UnoMark__18175_118561941"/>
                                  <w:bookmarkEnd w:id="2533"/>
                                  <w:bookmarkEnd w:id="2534"/>
                                  <w:r>
                                    <w:rPr>
                                      <w:color w:val="00000A"/>
                                      <w:sz w:val="18"/>
                                      <w:szCs w:val="18"/>
                                    </w:rPr>
                                    <w:t>RST_LDS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535" w:name="__UnoMark__18178_118561941"/>
                                  <w:bookmarkStart w:id="2536" w:name="__UnoMark__18177_118561941"/>
                                  <w:bookmarkEnd w:id="2535"/>
                                  <w:bookmarkEnd w:id="2536"/>
                                  <w:r>
                                    <w:rPr>
                                      <w:color w:val="00000A"/>
                                      <w:sz w:val="18"/>
                                      <w:szCs w:val="18"/>
                                    </w:rPr>
                                    <w:t>.031</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537" w:name="__UnoMark__18180_118561941"/>
                                  <w:bookmarkStart w:id="2538" w:name="__UnoMark__18179_118561941"/>
                                  <w:bookmarkEnd w:id="2537"/>
                                  <w:bookmarkEnd w:id="2538"/>
                                  <w:r>
                                    <w:rPr>
                                      <w:color w:val="00000A"/>
                                      <w:sz w:val="18"/>
                                      <w:szCs w:val="18"/>
                                    </w:rPr>
                                    <w:t>.020</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539" w:name="__UnoMark__18182_118561941"/>
                                  <w:bookmarkStart w:id="2540" w:name="__UnoMark__18181_118561941"/>
                                  <w:bookmarkEnd w:id="2539"/>
                                  <w:bookmarkEnd w:id="2540"/>
                                  <w:r>
                                    <w:rPr>
                                      <w:color w:val="00000A"/>
                                      <w:sz w:val="18"/>
                                      <w:szCs w:val="18"/>
                                    </w:rPr>
                                    <w:t>LPA_LDS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541" w:name="__UnoMark__18184_118561941"/>
                                  <w:bookmarkStart w:id="2542" w:name="__UnoMark__18183_118561941"/>
                                  <w:bookmarkEnd w:id="2541"/>
                                  <w:bookmarkEnd w:id="2542"/>
                                  <w:r>
                                    <w:rPr>
                                      <w:color w:val="00000A"/>
                                      <w:sz w:val="18"/>
                                      <w:szCs w:val="18"/>
                                    </w:rPr>
                                    <w:t>.000</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543" w:name="__UnoMark__18186_118561941"/>
                                  <w:bookmarkStart w:id="2544" w:name="__UnoMark__18185_118561941"/>
                                  <w:bookmarkEnd w:id="2543"/>
                                  <w:bookmarkEnd w:id="2544"/>
                                  <w:r>
                                    <w:rPr>
                                      <w:color w:val="00000A"/>
                                      <w:sz w:val="18"/>
                                      <w:szCs w:val="18"/>
                                    </w:rPr>
                                    <w:t>.000</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545" w:name="__UnoMark__18188_118561941"/>
                                  <w:bookmarkStart w:id="2546" w:name="__UnoMark__18187_118561941"/>
                                  <w:bookmarkEnd w:id="2545"/>
                                  <w:bookmarkEnd w:id="2546"/>
                                  <w:r>
                                    <w:rPr>
                                      <w:color w:val="00000A"/>
                                      <w:sz w:val="18"/>
                                      <w:szCs w:val="18"/>
                                    </w:rPr>
                                    <w:t>Apriori_LDS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547" w:name="__UnoMark__18190_118561941"/>
                                  <w:bookmarkStart w:id="2548" w:name="__UnoMark__18189_118561941"/>
                                  <w:bookmarkEnd w:id="2547"/>
                                  <w:bookmarkEnd w:id="2548"/>
                                  <w:r>
                                    <w:rPr>
                                      <w:color w:val="00000A"/>
                                      <w:sz w:val="18"/>
                                      <w:szCs w:val="18"/>
                                    </w:rPr>
                                    <w:t>.040</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549" w:name="__UnoMark__18192_118561941"/>
                                  <w:bookmarkStart w:id="2550" w:name="__UnoMark__18191_118561941"/>
                                  <w:bookmarkEnd w:id="2549"/>
                                  <w:bookmarkEnd w:id="2550"/>
                                  <w:r>
                                    <w:rPr>
                                      <w:color w:val="00000A"/>
                                      <w:sz w:val="18"/>
                                      <w:szCs w:val="18"/>
                                    </w:rPr>
                                    <w:t>.051</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551" w:name="__UnoMark__18194_118561941"/>
                                  <w:bookmarkStart w:id="2552" w:name="__UnoMark__18193_118561941"/>
                                  <w:bookmarkEnd w:id="2551"/>
                                  <w:bookmarkEnd w:id="2552"/>
                                  <w:r>
                                    <w:rPr>
                                      <w:color w:val="00000A"/>
                                      <w:sz w:val="18"/>
                                      <w:szCs w:val="18"/>
                                    </w:rPr>
                                    <w:t>ACO_LDS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553" w:name="__UnoMark__18195_118561941"/>
                                  <w:bookmarkEnd w:id="2553"/>
                                  <w:r>
                                    <w:rPr>
                                      <w:color w:val="00000A"/>
                                      <w:sz w:val="18"/>
                                      <w:szCs w:val="18"/>
                                    </w:rPr>
                                    <w:t>.200</w:t>
                                  </w:r>
                                  <w:bookmarkStart w:id="2554" w:name="__UnoMark__18196_118561941"/>
                                  <w:bookmarkEnd w:id="2554"/>
                                  <w:r>
                                    <w:rPr>
                                      <w:color w:val="00000A"/>
                                      <w:sz w:val="18"/>
                                      <w:szCs w:val="18"/>
                                      <w:vertAlign w:val="superscript"/>
                                    </w:rPr>
                                    <w:t>*</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555" w:name="__UnoMark__18198_118561941"/>
                                  <w:bookmarkStart w:id="2556" w:name="__UnoMark__18197_118561941"/>
                                  <w:bookmarkEnd w:id="2555"/>
                                  <w:bookmarkEnd w:id="2556"/>
                                  <w:r>
                                    <w:rPr>
                                      <w:color w:val="00000A"/>
                                      <w:sz w:val="18"/>
                                      <w:szCs w:val="18"/>
                                    </w:rPr>
                                    <w:t>.206</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557" w:name="__UnoMark__18200_118561941"/>
                                  <w:bookmarkStart w:id="2558" w:name="__UnoMark__18199_118561941"/>
                                  <w:bookmarkEnd w:id="2557"/>
                                  <w:bookmarkEnd w:id="2558"/>
                                  <w:r>
                                    <w:rPr>
                                      <w:color w:val="00000A"/>
                                      <w:sz w:val="18"/>
                                      <w:szCs w:val="18"/>
                                    </w:rPr>
                                    <w:t>GA_LDS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559" w:name="__UnoMark__18202_118561941"/>
                                  <w:bookmarkStart w:id="2560" w:name="__UnoMark__18201_118561941"/>
                                  <w:bookmarkEnd w:id="2559"/>
                                  <w:bookmarkEnd w:id="2560"/>
                                  <w:r>
                                    <w:rPr>
                                      <w:color w:val="00000A"/>
                                      <w:sz w:val="18"/>
                                      <w:szCs w:val="18"/>
                                    </w:rPr>
                                    <w:t>.003</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561" w:name="__UnoMark__18204_118561941"/>
                                  <w:bookmarkStart w:id="2562" w:name="__UnoMark__18203_118561941"/>
                                  <w:bookmarkEnd w:id="2561"/>
                                  <w:bookmarkEnd w:id="2562"/>
                                  <w:r>
                                    <w:rPr>
                                      <w:color w:val="00000A"/>
                                      <w:sz w:val="18"/>
                                      <w:szCs w:val="18"/>
                                    </w:rPr>
                                    <w:t>.002</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563" w:name="__UnoMark__18206_118561941"/>
                                  <w:bookmarkStart w:id="2564" w:name="__UnoMark__18205_118561941"/>
                                  <w:bookmarkEnd w:id="2563"/>
                                  <w:bookmarkEnd w:id="2564"/>
                                  <w:r>
                                    <w:rPr>
                                      <w:color w:val="00000A"/>
                                      <w:sz w:val="18"/>
                                      <w:szCs w:val="18"/>
                                    </w:rPr>
                                    <w:t>PCA_LDS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565" w:name="__UnoMark__18208_118561941"/>
                                  <w:bookmarkStart w:id="2566" w:name="__UnoMark__18207_118561941"/>
                                  <w:bookmarkEnd w:id="2565"/>
                                  <w:bookmarkEnd w:id="2566"/>
                                  <w:r>
                                    <w:rPr>
                                      <w:color w:val="00000A"/>
                                      <w:sz w:val="18"/>
                                      <w:szCs w:val="18"/>
                                    </w:rPr>
                                    <w:t>.143</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567" w:name="__UnoMark__18209_118561941"/>
                                  <w:bookmarkEnd w:id="2567"/>
                                  <w:r>
                                    <w:rPr>
                                      <w:color w:val="00000A"/>
                                      <w:sz w:val="18"/>
                                      <w:szCs w:val="18"/>
                                    </w:rPr>
                                    <w:t>.057</w:t>
                                  </w:r>
                                </w:p>
                              </w:tc>
                            </w:tr>
                          </w:tbl>
                          <w:p>
                            <w:pPr>
                              <w:pStyle w:val="FrameContents"/>
                              <w:spacing w:before="80" w:after="60"/>
                              <w:rPr>
                                <w:color w:val="000000"/>
                              </w:rPr>
                            </w:pPr>
                            <w:r>
                              <w:rPr>
                                <w:color w:val="000000"/>
                              </w:rPr>
                            </w:r>
                          </w:p>
                        </w:txbxContent>
                      </wps:txbx>
                      <wps:bodyPr lIns="0" rIns="0" tIns="0" bIns="0">
                        <a:spAutoFit/>
                      </wps:bodyPr>
                    </wps:wsp>
                  </a:graphicData>
                </a:graphic>
              </wp:anchor>
            </w:drawing>
          </mc:Choice>
          <mc:Fallback>
            <w:pict>
              <v:rect id="shape_0" ID="Frame24" stroked="f" style="position:absolute;margin-left:141.55pt;margin-top:2.8pt;width:165.7pt;height:132.65pt;mso-position-horizontal:center;mso-position-horizontal-relative:margin">
                <w10:wrap type="none"/>
                <v:fill o:detectmouseclick="t" on="false"/>
                <v:stroke color="#3465a4" joinstyle="round" endcap="flat"/>
                <v:textbox>
                  <w:txbxContent>
                    <w:tbl>
                      <w:tblPr>
                        <w:tblW w:w="3313" w:type="dxa"/>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1340"/>
                        <w:gridCol w:w="1158"/>
                        <w:gridCol w:w="815"/>
                      </w:tblGrid>
                      <w:tr>
                        <w:trPr>
                          <w:cantSplit w:val="true"/>
                        </w:trPr>
                        <w:tc>
                          <w:tcPr>
                            <w:tcW w:w="1340"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jc w:val="center"/>
                              <w:rPr/>
                            </w:pPr>
                            <w:bookmarkStart w:id="2568" w:name="__UnoMark__18170_118561941"/>
                            <w:bookmarkEnd w:id="2568"/>
                            <w:r>
                              <w:rPr>
                                <w:color w:val="00000A"/>
                                <w:sz w:val="18"/>
                                <w:szCs w:val="18"/>
                              </w:rPr>
                              <w:t>Algoritmos</w:t>
                            </w:r>
                          </w:p>
                        </w:tc>
                        <w:tc>
                          <w:tcPr>
                            <w:tcW w:w="1158"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2569" w:name="__UnoMark__18171_118561941"/>
                            <w:bookmarkEnd w:id="2569"/>
                            <w:r>
                              <w:rPr>
                                <w:color w:val="00000A"/>
                                <w:sz w:val="18"/>
                                <w:szCs w:val="18"/>
                              </w:rPr>
                              <w:t>Kolmogorov-Smirnov</w:t>
                            </w:r>
                            <w:r>
                              <w:rPr>
                                <w:color w:val="00000A"/>
                                <w:sz w:val="18"/>
                                <w:szCs w:val="18"/>
                                <w:vertAlign w:val="superscript"/>
                              </w:rPr>
                              <w:t>a</w:t>
                            </w:r>
                            <w:bookmarkStart w:id="2570" w:name="__UnoMark__18172_118561941"/>
                            <w:bookmarkEnd w:id="2570"/>
                            <w:r>
                              <w:rPr>
                                <w:color w:val="00000A"/>
                                <w:sz w:val="18"/>
                                <w:szCs w:val="18"/>
                              </w:rPr>
                              <w:t xml:space="preserve"> Sig.</w:t>
                            </w:r>
                          </w:p>
                        </w:tc>
                        <w:tc>
                          <w:tcPr>
                            <w:tcW w:w="815"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2571" w:name="__UnoMark__18174_118561941"/>
                            <w:bookmarkStart w:id="2572" w:name="__UnoMark__18173_118561941"/>
                            <w:bookmarkEnd w:id="2571"/>
                            <w:bookmarkEnd w:id="2572"/>
                            <w:r>
                              <w:rPr>
                                <w:color w:val="00000A"/>
                                <w:sz w:val="18"/>
                                <w:szCs w:val="18"/>
                              </w:rPr>
                              <w:t>Shapiro-Wilk Sig.</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573" w:name="__UnoMark__18176_118561941"/>
                            <w:bookmarkStart w:id="2574" w:name="__UnoMark__18175_118561941"/>
                            <w:bookmarkEnd w:id="2573"/>
                            <w:bookmarkEnd w:id="2574"/>
                            <w:r>
                              <w:rPr>
                                <w:color w:val="00000A"/>
                                <w:sz w:val="18"/>
                                <w:szCs w:val="18"/>
                              </w:rPr>
                              <w:t>RST_LDS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575" w:name="__UnoMark__18178_118561941"/>
                            <w:bookmarkStart w:id="2576" w:name="__UnoMark__18177_118561941"/>
                            <w:bookmarkEnd w:id="2575"/>
                            <w:bookmarkEnd w:id="2576"/>
                            <w:r>
                              <w:rPr>
                                <w:color w:val="00000A"/>
                                <w:sz w:val="18"/>
                                <w:szCs w:val="18"/>
                              </w:rPr>
                              <w:t>.031</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577" w:name="__UnoMark__18180_118561941"/>
                            <w:bookmarkStart w:id="2578" w:name="__UnoMark__18179_118561941"/>
                            <w:bookmarkEnd w:id="2577"/>
                            <w:bookmarkEnd w:id="2578"/>
                            <w:r>
                              <w:rPr>
                                <w:color w:val="00000A"/>
                                <w:sz w:val="18"/>
                                <w:szCs w:val="18"/>
                              </w:rPr>
                              <w:t>.020</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579" w:name="__UnoMark__18182_118561941"/>
                            <w:bookmarkStart w:id="2580" w:name="__UnoMark__18181_118561941"/>
                            <w:bookmarkEnd w:id="2579"/>
                            <w:bookmarkEnd w:id="2580"/>
                            <w:r>
                              <w:rPr>
                                <w:color w:val="00000A"/>
                                <w:sz w:val="18"/>
                                <w:szCs w:val="18"/>
                              </w:rPr>
                              <w:t>LPA_LDS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581" w:name="__UnoMark__18184_118561941"/>
                            <w:bookmarkStart w:id="2582" w:name="__UnoMark__18183_118561941"/>
                            <w:bookmarkEnd w:id="2581"/>
                            <w:bookmarkEnd w:id="2582"/>
                            <w:r>
                              <w:rPr>
                                <w:color w:val="00000A"/>
                                <w:sz w:val="18"/>
                                <w:szCs w:val="18"/>
                              </w:rPr>
                              <w:t>.000</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583" w:name="__UnoMark__18186_118561941"/>
                            <w:bookmarkStart w:id="2584" w:name="__UnoMark__18185_118561941"/>
                            <w:bookmarkEnd w:id="2583"/>
                            <w:bookmarkEnd w:id="2584"/>
                            <w:r>
                              <w:rPr>
                                <w:color w:val="00000A"/>
                                <w:sz w:val="18"/>
                                <w:szCs w:val="18"/>
                              </w:rPr>
                              <w:t>.000</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585" w:name="__UnoMark__18188_118561941"/>
                            <w:bookmarkStart w:id="2586" w:name="__UnoMark__18187_118561941"/>
                            <w:bookmarkEnd w:id="2585"/>
                            <w:bookmarkEnd w:id="2586"/>
                            <w:r>
                              <w:rPr>
                                <w:color w:val="00000A"/>
                                <w:sz w:val="18"/>
                                <w:szCs w:val="18"/>
                              </w:rPr>
                              <w:t>Apriori_LDS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587" w:name="__UnoMark__18190_118561941"/>
                            <w:bookmarkStart w:id="2588" w:name="__UnoMark__18189_118561941"/>
                            <w:bookmarkEnd w:id="2587"/>
                            <w:bookmarkEnd w:id="2588"/>
                            <w:r>
                              <w:rPr>
                                <w:color w:val="00000A"/>
                                <w:sz w:val="18"/>
                                <w:szCs w:val="18"/>
                              </w:rPr>
                              <w:t>.040</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589" w:name="__UnoMark__18192_118561941"/>
                            <w:bookmarkStart w:id="2590" w:name="__UnoMark__18191_118561941"/>
                            <w:bookmarkEnd w:id="2589"/>
                            <w:bookmarkEnd w:id="2590"/>
                            <w:r>
                              <w:rPr>
                                <w:color w:val="00000A"/>
                                <w:sz w:val="18"/>
                                <w:szCs w:val="18"/>
                              </w:rPr>
                              <w:t>.051</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591" w:name="__UnoMark__18194_118561941"/>
                            <w:bookmarkStart w:id="2592" w:name="__UnoMark__18193_118561941"/>
                            <w:bookmarkEnd w:id="2591"/>
                            <w:bookmarkEnd w:id="2592"/>
                            <w:r>
                              <w:rPr>
                                <w:color w:val="00000A"/>
                                <w:sz w:val="18"/>
                                <w:szCs w:val="18"/>
                              </w:rPr>
                              <w:t>ACO_LDS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593" w:name="__UnoMark__18195_118561941"/>
                            <w:bookmarkEnd w:id="2593"/>
                            <w:r>
                              <w:rPr>
                                <w:color w:val="00000A"/>
                                <w:sz w:val="18"/>
                                <w:szCs w:val="18"/>
                              </w:rPr>
                              <w:t>.200</w:t>
                            </w:r>
                            <w:bookmarkStart w:id="2594" w:name="__UnoMark__18196_118561941"/>
                            <w:bookmarkEnd w:id="2594"/>
                            <w:r>
                              <w:rPr>
                                <w:color w:val="00000A"/>
                                <w:sz w:val="18"/>
                                <w:szCs w:val="18"/>
                                <w:vertAlign w:val="superscript"/>
                              </w:rPr>
                              <w:t>*</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595" w:name="__UnoMark__18198_118561941"/>
                            <w:bookmarkStart w:id="2596" w:name="__UnoMark__18197_118561941"/>
                            <w:bookmarkEnd w:id="2595"/>
                            <w:bookmarkEnd w:id="2596"/>
                            <w:r>
                              <w:rPr>
                                <w:color w:val="00000A"/>
                                <w:sz w:val="18"/>
                                <w:szCs w:val="18"/>
                              </w:rPr>
                              <w:t>.206</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597" w:name="__UnoMark__18200_118561941"/>
                            <w:bookmarkStart w:id="2598" w:name="__UnoMark__18199_118561941"/>
                            <w:bookmarkEnd w:id="2597"/>
                            <w:bookmarkEnd w:id="2598"/>
                            <w:r>
                              <w:rPr>
                                <w:color w:val="00000A"/>
                                <w:sz w:val="18"/>
                                <w:szCs w:val="18"/>
                              </w:rPr>
                              <w:t>GA_LDS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599" w:name="__UnoMark__18202_118561941"/>
                            <w:bookmarkStart w:id="2600" w:name="__UnoMark__18201_118561941"/>
                            <w:bookmarkEnd w:id="2599"/>
                            <w:bookmarkEnd w:id="2600"/>
                            <w:r>
                              <w:rPr>
                                <w:color w:val="00000A"/>
                                <w:sz w:val="18"/>
                                <w:szCs w:val="18"/>
                              </w:rPr>
                              <w:t>.003</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601" w:name="__UnoMark__18204_118561941"/>
                            <w:bookmarkStart w:id="2602" w:name="__UnoMark__18203_118561941"/>
                            <w:bookmarkEnd w:id="2601"/>
                            <w:bookmarkEnd w:id="2602"/>
                            <w:r>
                              <w:rPr>
                                <w:color w:val="00000A"/>
                                <w:sz w:val="18"/>
                                <w:szCs w:val="18"/>
                              </w:rPr>
                              <w:t>.002</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603" w:name="__UnoMark__18206_118561941"/>
                            <w:bookmarkStart w:id="2604" w:name="__UnoMark__18205_118561941"/>
                            <w:bookmarkEnd w:id="2603"/>
                            <w:bookmarkEnd w:id="2604"/>
                            <w:r>
                              <w:rPr>
                                <w:color w:val="00000A"/>
                                <w:sz w:val="18"/>
                                <w:szCs w:val="18"/>
                              </w:rPr>
                              <w:t>PCA_LDS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605" w:name="__UnoMark__18208_118561941"/>
                            <w:bookmarkStart w:id="2606" w:name="__UnoMark__18207_118561941"/>
                            <w:bookmarkEnd w:id="2605"/>
                            <w:bookmarkEnd w:id="2606"/>
                            <w:r>
                              <w:rPr>
                                <w:color w:val="00000A"/>
                                <w:sz w:val="18"/>
                                <w:szCs w:val="18"/>
                              </w:rPr>
                              <w:t>.143</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607" w:name="__UnoMark__18209_118561941"/>
                            <w:bookmarkEnd w:id="2607"/>
                            <w:r>
                              <w:rPr>
                                <w:color w:val="00000A"/>
                                <w:sz w:val="18"/>
                                <w:szCs w:val="18"/>
                              </w:rPr>
                              <w:t>.057</w:t>
                            </w:r>
                          </w:p>
                        </w:tc>
                      </w:tr>
                    </w:tbl>
                    <w:p>
                      <w:pPr>
                        <w:pStyle w:val="FrameContents"/>
                        <w:spacing w:before="80" w:after="60"/>
                        <w:rPr>
                          <w:color w:val="000000"/>
                        </w:rPr>
                      </w:pPr>
                      <w:r>
                        <w:rPr>
                          <w:color w:val="000000"/>
                        </w:rPr>
                      </w:r>
                    </w:p>
                  </w:txbxContent>
                </v:textbox>
              </v:rect>
            </w:pict>
          </mc:Fallback>
        </mc:AlternateContent>
      </w:r>
    </w:p>
    <w:p>
      <w:pPr>
        <w:pStyle w:val="Caption1"/>
        <w:keepNext/>
        <w:rPr/>
      </w:pPr>
      <w:r>
        <w:rPr/>
      </w:r>
    </w:p>
    <w:p>
      <w:pPr>
        <w:pStyle w:val="Normal"/>
        <w:rPr>
          <w:lang w:val="en-US"/>
        </w:rPr>
      </w:pPr>
      <w:bookmarkStart w:id="2640" w:name="_Ref65857452"/>
      <w:bookmarkStart w:id="2641" w:name="_Ref65857452"/>
      <w:bookmarkEnd w:id="2641"/>
      <w:r>
        <w:rPr>
          <w:lang w:val="en-US"/>
        </w:rPr>
        <mc:AlternateContent>
          <mc:Choice Requires="wps">
            <w:drawing>
              <wp:anchor behindDoc="0" distT="0" distB="0" distL="114300" distR="114300" simplePos="0" locked="0" layoutInCell="1" allowOverlap="1" relativeHeight="46">
                <wp:simplePos x="0" y="0"/>
                <wp:positionH relativeFrom="margin">
                  <wp:align>center</wp:align>
                </wp:positionH>
                <wp:positionV relativeFrom="paragraph">
                  <wp:posOffset>-83185</wp:posOffset>
                </wp:positionV>
                <wp:extent cx="4674870" cy="1391920"/>
                <wp:effectExtent l="0" t="0" r="0" b="0"/>
                <wp:wrapSquare wrapText="bothSides"/>
                <wp:docPr id="72" name="Frame25"/>
                <a:graphic xmlns:a="http://schemas.openxmlformats.org/drawingml/2006/main">
                  <a:graphicData uri="http://schemas.microsoft.com/office/word/2010/wordprocessingShape">
                    <wps:wsp>
                      <wps:cNvSpPr/>
                      <wps:spPr>
                        <a:xfrm>
                          <a:off x="0" y="0"/>
                          <a:ext cx="4674240" cy="1391400"/>
                        </a:xfrm>
                        <a:prstGeom prst="rect">
                          <a:avLst/>
                        </a:prstGeom>
                        <a:noFill/>
                        <a:ln>
                          <a:noFill/>
                        </a:ln>
                      </wps:spPr>
                      <wps:style>
                        <a:lnRef idx="0"/>
                        <a:fillRef idx="0"/>
                        <a:effectRef idx="0"/>
                        <a:fontRef idx="minor"/>
                      </wps:style>
                      <wps:txbx>
                        <w:txbxContent>
                          <w:tbl>
                            <w:tblPr>
                              <w:tblW w:w="5000" w:type="pct"/>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3554"/>
                              <w:gridCol w:w="1270"/>
                              <w:gridCol w:w="2539"/>
                            </w:tblGrid>
                            <w:tr>
                              <w:trPr>
                                <w:cantSplit w:val="true"/>
                              </w:trPr>
                              <w:tc>
                                <w:tcPr>
                                  <w:tcW w:w="355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left"/>
                                    <w:rPr>
                                      <w:color w:val="00000A"/>
                                    </w:rPr>
                                  </w:pPr>
                                  <w:bookmarkStart w:id="2608" w:name="__UnoMark__18253_118561941"/>
                                  <w:bookmarkEnd w:id="2608"/>
                                  <w:r>
                                    <w:rPr>
                                      <w:color w:val="00000A"/>
                                      <w:sz w:val="18"/>
                                      <w:szCs w:val="18"/>
                                      <w:lang w:val="en-US"/>
                                    </w:rPr>
                                    <w:t>Algoritmos</w:t>
                                  </w:r>
                                </w:p>
                              </w:tc>
                              <w:tc>
                                <w:tcPr>
                                  <w:tcW w:w="127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2609" w:name="__UnoMark__18255_118561941"/>
                                  <w:bookmarkStart w:id="2610" w:name="__UnoMark__18254_118561941"/>
                                  <w:bookmarkEnd w:id="2609"/>
                                  <w:bookmarkEnd w:id="2610"/>
                                  <w:r>
                                    <w:rPr>
                                      <w:color w:val="00000A"/>
                                      <w:sz w:val="18"/>
                                      <w:szCs w:val="18"/>
                                      <w:lang w:val="en-US"/>
                                    </w:rPr>
                                    <w:t>p-value</w:t>
                                  </w:r>
                                </w:p>
                              </w:tc>
                              <w:tc>
                                <w:tcPr>
                                  <w:tcW w:w="2539"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2611" w:name="__UnoMark__18257_118561941"/>
                                  <w:bookmarkStart w:id="2612" w:name="__UnoMark__18256_118561941"/>
                                  <w:bookmarkEnd w:id="2611"/>
                                  <w:bookmarkEnd w:id="2612"/>
                                  <w:r>
                                    <w:rPr>
                                      <w:color w:val="00000A"/>
                                      <w:sz w:val="18"/>
                                      <w:szCs w:val="18"/>
                                      <w:lang w:val="en-US"/>
                                    </w:rPr>
                                    <w:t>Resultados</w:t>
                                  </w:r>
                                </w:p>
                              </w:tc>
                            </w:tr>
                            <w:tr>
                              <w:trPr>
                                <w:trHeight w:val="801" w:hRule="atLeast"/>
                                <w:cantSplit w:val="true"/>
                              </w:trPr>
                              <w:tc>
                                <w:tcPr>
                                  <w:tcW w:w="355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left"/>
                                    <w:rPr>
                                      <w:color w:val="00000A"/>
                                    </w:rPr>
                                  </w:pPr>
                                  <w:bookmarkStart w:id="2613" w:name="__UnoMark__18258_118561941"/>
                                  <w:bookmarkEnd w:id="2613"/>
                                  <w:r>
                                    <w:rPr>
                                      <w:i/>
                                      <w:color w:val="00000A"/>
                                      <w:sz w:val="18"/>
                                      <w:szCs w:val="18"/>
                                      <w:lang w:val="en-US"/>
                                    </w:rPr>
                                    <w:t>Friedman test</w:t>
                                  </w:r>
                                  <w:r>
                                    <w:rPr>
                                      <w:color w:val="00000A"/>
                                      <w:sz w:val="18"/>
                                      <w:szCs w:val="18"/>
                                      <w:lang w:val="en-US"/>
                                    </w:rPr>
                                    <w:t xml:space="preserve"> (grupo A)</w:t>
                                  </w:r>
                                </w:p>
                                <w:p>
                                  <w:pPr>
                                    <w:pStyle w:val="FrameContents"/>
                                    <w:spacing w:lineRule="auto" w:line="240" w:before="0" w:after="0"/>
                                    <w:jc w:val="left"/>
                                    <w:rPr>
                                      <w:color w:val="00000A"/>
                                    </w:rPr>
                                  </w:pPr>
                                  <w:r>
                                    <w:rPr>
                                      <w:color w:val="00000A"/>
                                      <w:sz w:val="18"/>
                                      <w:szCs w:val="18"/>
                                      <w:lang w:val="en-US"/>
                                    </w:rPr>
                                    <w:t>RST_LDS, Apriori_LDS</w:t>
                                  </w:r>
                                </w:p>
                                <w:p>
                                  <w:pPr>
                                    <w:pStyle w:val="FrameContents"/>
                                    <w:spacing w:lineRule="auto" w:line="240" w:before="0" w:after="0"/>
                                    <w:jc w:val="left"/>
                                    <w:rPr>
                                      <w:color w:val="00000A"/>
                                    </w:rPr>
                                  </w:pPr>
                                  <w:bookmarkStart w:id="2614" w:name="__UnoMark__18259_118561941"/>
                                  <w:bookmarkEnd w:id="2614"/>
                                  <w:r>
                                    <w:rPr>
                                      <w:color w:val="00000A"/>
                                      <w:sz w:val="18"/>
                                      <w:szCs w:val="18"/>
                                      <w:lang w:val="en-US"/>
                                    </w:rPr>
                                    <w:t>GA _LDS, PCA_LDS, LPA_LDS</w:t>
                                  </w:r>
                                </w:p>
                              </w:tc>
                              <w:tc>
                                <w:tcPr>
                                  <w:tcW w:w="127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2615" w:name="__UnoMark__18261_118561941"/>
                                  <w:bookmarkStart w:id="2616" w:name="__UnoMark__18260_118561941"/>
                                  <w:bookmarkEnd w:id="2615"/>
                                  <w:bookmarkEnd w:id="2616"/>
                                  <w:r>
                                    <w:rPr>
                                      <w:color w:val="00000A"/>
                                      <w:sz w:val="18"/>
                                      <w:szCs w:val="18"/>
                                      <w:lang w:val="en-US"/>
                                    </w:rPr>
                                    <w:t>0.720</w:t>
                                  </w:r>
                                </w:p>
                              </w:tc>
                              <w:tc>
                                <w:tcPr>
                                  <w:tcW w:w="2539"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2617" w:name="__UnoMark__18263_118561941"/>
                                  <w:bookmarkStart w:id="2618" w:name="__UnoMark__18262_118561941"/>
                                  <w:bookmarkEnd w:id="2617"/>
                                  <w:bookmarkEnd w:id="2618"/>
                                  <w:r>
                                    <w:rPr>
                                      <w:color w:val="00000A"/>
                                      <w:sz w:val="18"/>
                                      <w:szCs w:val="18"/>
                                      <w:lang w:val="en-US"/>
                                    </w:rPr>
                                    <w:t>No hay diferencias significativas</w:t>
                                  </w:r>
                                </w:p>
                              </w:tc>
                            </w:tr>
                            <w:tr>
                              <w:trPr>
                                <w:trHeight w:val="702" w:hRule="atLeast"/>
                                <w:cantSplit w:val="true"/>
                              </w:trPr>
                              <w:tc>
                                <w:tcPr>
                                  <w:tcW w:w="355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left"/>
                                    <w:rPr>
                                      <w:color w:val="00000A"/>
                                    </w:rPr>
                                  </w:pPr>
                                  <w:bookmarkStart w:id="2619" w:name="__UnoMark__18264_118561941"/>
                                  <w:bookmarkEnd w:id="2619"/>
                                  <w:r>
                                    <w:rPr>
                                      <w:i/>
                                      <w:color w:val="00000A"/>
                                      <w:sz w:val="18"/>
                                      <w:szCs w:val="18"/>
                                    </w:rPr>
                                    <w:t xml:space="preserve">Wilcoxon test </w:t>
                                  </w:r>
                                </w:p>
                                <w:p>
                                  <w:pPr>
                                    <w:pStyle w:val="FrameContents"/>
                                    <w:spacing w:lineRule="auto" w:line="240" w:before="80" w:after="60"/>
                                    <w:jc w:val="left"/>
                                    <w:rPr>
                                      <w:color w:val="00000A"/>
                                    </w:rPr>
                                  </w:pPr>
                                  <w:bookmarkStart w:id="2620" w:name="__UnoMark__18265_118561941"/>
                                  <w:bookmarkEnd w:id="2620"/>
                                  <w:r>
                                    <w:rPr>
                                      <w:color w:val="00000A"/>
                                      <w:sz w:val="18"/>
                                      <w:szCs w:val="18"/>
                                    </w:rPr>
                                    <w:t>RST_LDS (grupo A) - ACO_LDS (grupo B)</w:t>
                                  </w:r>
                                </w:p>
                              </w:tc>
                              <w:tc>
                                <w:tcPr>
                                  <w:tcW w:w="1270"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80" w:after="60"/>
                                    <w:jc w:val="center"/>
                                    <w:rPr>
                                      <w:color w:val="00000A"/>
                                    </w:rPr>
                                  </w:pPr>
                                  <w:bookmarkStart w:id="2621" w:name="__UnoMark__18267_118561941"/>
                                  <w:bookmarkStart w:id="2622" w:name="__UnoMark__18266_118561941"/>
                                  <w:bookmarkEnd w:id="2621"/>
                                  <w:bookmarkEnd w:id="2622"/>
                                  <w:r>
                                    <w:rPr>
                                      <w:color w:val="00000A"/>
                                      <w:sz w:val="18"/>
                                      <w:szCs w:val="18"/>
                                      <w:lang w:val="en-US"/>
                                    </w:rPr>
                                    <w:t>0.002</w:t>
                                  </w:r>
                                </w:p>
                              </w:tc>
                              <w:tc>
                                <w:tcPr>
                                  <w:tcW w:w="2539"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2623" w:name="__UnoMark__18268_118561941"/>
                                  <w:bookmarkEnd w:id="2623"/>
                                  <w:r>
                                    <w:rPr>
                                      <w:color w:val="00000A"/>
                                      <w:sz w:val="18"/>
                                      <w:szCs w:val="18"/>
                                      <w:lang w:val="en-US"/>
                                    </w:rPr>
                                    <w:t>Hay diferencias significativas</w:t>
                                  </w:r>
                                </w:p>
                              </w:tc>
                            </w:tr>
                          </w:tbl>
                          <w:p>
                            <w:pPr>
                              <w:pStyle w:val="FrameContents"/>
                              <w:spacing w:before="80" w:after="60"/>
                              <w:rPr>
                                <w:color w:val="000000"/>
                              </w:rPr>
                            </w:pPr>
                            <w:r>
                              <w:rPr>
                                <w:color w:val="000000"/>
                              </w:rPr>
                            </w:r>
                          </w:p>
                        </w:txbxContent>
                      </wps:txbx>
                      <wps:bodyPr lIns="0" rIns="0" tIns="0" bIns="0">
                        <a:spAutoFit/>
                      </wps:bodyPr>
                    </wps:wsp>
                  </a:graphicData>
                </a:graphic>
                <wp14:sizeRelH relativeFrom="margin">
                  <wp14:pctWidth>82000</wp14:pctWidth>
                </wp14:sizeRelH>
              </wp:anchor>
            </w:drawing>
          </mc:Choice>
          <mc:Fallback>
            <w:pict>
              <v:rect id="shape_0" ID="Frame25" stroked="f" style="position:absolute;margin-left:40.4pt;margin-top:-6.55pt;width:368pt;height:109.5pt;mso-position-horizontal:center;mso-position-horizontal-relative:margin">
                <w10:wrap type="none"/>
                <v:fill o:detectmouseclick="t" on="false"/>
                <v:stroke color="#3465a4" joinstyle="round" endcap="flat"/>
                <v:textbox>
                  <w:txbxContent>
                    <w:tbl>
                      <w:tblPr>
                        <w:tblW w:w="5000" w:type="pct"/>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3554"/>
                        <w:gridCol w:w="1270"/>
                        <w:gridCol w:w="2539"/>
                      </w:tblGrid>
                      <w:tr>
                        <w:trPr>
                          <w:cantSplit w:val="true"/>
                        </w:trPr>
                        <w:tc>
                          <w:tcPr>
                            <w:tcW w:w="355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left"/>
                              <w:rPr>
                                <w:color w:val="00000A"/>
                              </w:rPr>
                            </w:pPr>
                            <w:bookmarkStart w:id="2624" w:name="__UnoMark__18253_118561941"/>
                            <w:bookmarkEnd w:id="2624"/>
                            <w:r>
                              <w:rPr>
                                <w:color w:val="00000A"/>
                                <w:sz w:val="18"/>
                                <w:szCs w:val="18"/>
                                <w:lang w:val="en-US"/>
                              </w:rPr>
                              <w:t>Algoritmos</w:t>
                            </w:r>
                          </w:p>
                        </w:tc>
                        <w:tc>
                          <w:tcPr>
                            <w:tcW w:w="127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2625" w:name="__UnoMark__18255_118561941"/>
                            <w:bookmarkStart w:id="2626" w:name="__UnoMark__18254_118561941"/>
                            <w:bookmarkEnd w:id="2625"/>
                            <w:bookmarkEnd w:id="2626"/>
                            <w:r>
                              <w:rPr>
                                <w:color w:val="00000A"/>
                                <w:sz w:val="18"/>
                                <w:szCs w:val="18"/>
                                <w:lang w:val="en-US"/>
                              </w:rPr>
                              <w:t>p-value</w:t>
                            </w:r>
                          </w:p>
                        </w:tc>
                        <w:tc>
                          <w:tcPr>
                            <w:tcW w:w="2539"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2627" w:name="__UnoMark__18257_118561941"/>
                            <w:bookmarkStart w:id="2628" w:name="__UnoMark__18256_118561941"/>
                            <w:bookmarkEnd w:id="2627"/>
                            <w:bookmarkEnd w:id="2628"/>
                            <w:r>
                              <w:rPr>
                                <w:color w:val="00000A"/>
                                <w:sz w:val="18"/>
                                <w:szCs w:val="18"/>
                                <w:lang w:val="en-US"/>
                              </w:rPr>
                              <w:t>Resultados</w:t>
                            </w:r>
                          </w:p>
                        </w:tc>
                      </w:tr>
                      <w:tr>
                        <w:trPr>
                          <w:trHeight w:val="801" w:hRule="atLeast"/>
                          <w:cantSplit w:val="true"/>
                        </w:trPr>
                        <w:tc>
                          <w:tcPr>
                            <w:tcW w:w="355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left"/>
                              <w:rPr>
                                <w:color w:val="00000A"/>
                              </w:rPr>
                            </w:pPr>
                            <w:bookmarkStart w:id="2629" w:name="__UnoMark__18258_118561941"/>
                            <w:bookmarkEnd w:id="2629"/>
                            <w:r>
                              <w:rPr>
                                <w:i/>
                                <w:color w:val="00000A"/>
                                <w:sz w:val="18"/>
                                <w:szCs w:val="18"/>
                                <w:lang w:val="en-US"/>
                              </w:rPr>
                              <w:t>Friedman test</w:t>
                            </w:r>
                            <w:r>
                              <w:rPr>
                                <w:color w:val="00000A"/>
                                <w:sz w:val="18"/>
                                <w:szCs w:val="18"/>
                                <w:lang w:val="en-US"/>
                              </w:rPr>
                              <w:t xml:space="preserve"> (grupo A)</w:t>
                            </w:r>
                          </w:p>
                          <w:p>
                            <w:pPr>
                              <w:pStyle w:val="FrameContents"/>
                              <w:spacing w:lineRule="auto" w:line="240" w:before="0" w:after="0"/>
                              <w:jc w:val="left"/>
                              <w:rPr>
                                <w:color w:val="00000A"/>
                              </w:rPr>
                            </w:pPr>
                            <w:r>
                              <w:rPr>
                                <w:color w:val="00000A"/>
                                <w:sz w:val="18"/>
                                <w:szCs w:val="18"/>
                                <w:lang w:val="en-US"/>
                              </w:rPr>
                              <w:t>RST_LDS, Apriori_LDS</w:t>
                            </w:r>
                          </w:p>
                          <w:p>
                            <w:pPr>
                              <w:pStyle w:val="FrameContents"/>
                              <w:spacing w:lineRule="auto" w:line="240" w:before="0" w:after="0"/>
                              <w:jc w:val="left"/>
                              <w:rPr>
                                <w:color w:val="00000A"/>
                              </w:rPr>
                            </w:pPr>
                            <w:bookmarkStart w:id="2630" w:name="__UnoMark__18259_118561941"/>
                            <w:bookmarkEnd w:id="2630"/>
                            <w:r>
                              <w:rPr>
                                <w:color w:val="00000A"/>
                                <w:sz w:val="18"/>
                                <w:szCs w:val="18"/>
                                <w:lang w:val="en-US"/>
                              </w:rPr>
                              <w:t>GA _LDS, PCA_LDS, LPA_LDS</w:t>
                            </w:r>
                          </w:p>
                        </w:tc>
                        <w:tc>
                          <w:tcPr>
                            <w:tcW w:w="127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2631" w:name="__UnoMark__18261_118561941"/>
                            <w:bookmarkStart w:id="2632" w:name="__UnoMark__18260_118561941"/>
                            <w:bookmarkEnd w:id="2631"/>
                            <w:bookmarkEnd w:id="2632"/>
                            <w:r>
                              <w:rPr>
                                <w:color w:val="00000A"/>
                                <w:sz w:val="18"/>
                                <w:szCs w:val="18"/>
                                <w:lang w:val="en-US"/>
                              </w:rPr>
                              <w:t>0.720</w:t>
                            </w:r>
                          </w:p>
                        </w:tc>
                        <w:tc>
                          <w:tcPr>
                            <w:tcW w:w="2539"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2633" w:name="__UnoMark__18263_118561941"/>
                            <w:bookmarkStart w:id="2634" w:name="__UnoMark__18262_118561941"/>
                            <w:bookmarkEnd w:id="2633"/>
                            <w:bookmarkEnd w:id="2634"/>
                            <w:r>
                              <w:rPr>
                                <w:color w:val="00000A"/>
                                <w:sz w:val="18"/>
                                <w:szCs w:val="18"/>
                                <w:lang w:val="en-US"/>
                              </w:rPr>
                              <w:t>No hay diferencias significativas</w:t>
                            </w:r>
                          </w:p>
                        </w:tc>
                      </w:tr>
                      <w:tr>
                        <w:trPr>
                          <w:trHeight w:val="702" w:hRule="atLeast"/>
                          <w:cantSplit w:val="true"/>
                        </w:trPr>
                        <w:tc>
                          <w:tcPr>
                            <w:tcW w:w="355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left"/>
                              <w:rPr>
                                <w:color w:val="00000A"/>
                              </w:rPr>
                            </w:pPr>
                            <w:bookmarkStart w:id="2635" w:name="__UnoMark__18264_118561941"/>
                            <w:bookmarkEnd w:id="2635"/>
                            <w:r>
                              <w:rPr>
                                <w:i/>
                                <w:color w:val="00000A"/>
                                <w:sz w:val="18"/>
                                <w:szCs w:val="18"/>
                              </w:rPr>
                              <w:t xml:space="preserve">Wilcoxon test </w:t>
                            </w:r>
                          </w:p>
                          <w:p>
                            <w:pPr>
                              <w:pStyle w:val="FrameContents"/>
                              <w:spacing w:lineRule="auto" w:line="240" w:before="80" w:after="60"/>
                              <w:jc w:val="left"/>
                              <w:rPr>
                                <w:color w:val="00000A"/>
                              </w:rPr>
                            </w:pPr>
                            <w:bookmarkStart w:id="2636" w:name="__UnoMark__18265_118561941"/>
                            <w:bookmarkEnd w:id="2636"/>
                            <w:r>
                              <w:rPr>
                                <w:color w:val="00000A"/>
                                <w:sz w:val="18"/>
                                <w:szCs w:val="18"/>
                              </w:rPr>
                              <w:t>RST_LDS (grupo A) - ACO_LDS (grupo B)</w:t>
                            </w:r>
                          </w:p>
                        </w:tc>
                        <w:tc>
                          <w:tcPr>
                            <w:tcW w:w="1270"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80" w:after="60"/>
                              <w:jc w:val="center"/>
                              <w:rPr>
                                <w:color w:val="00000A"/>
                              </w:rPr>
                            </w:pPr>
                            <w:bookmarkStart w:id="2637" w:name="__UnoMark__18267_118561941"/>
                            <w:bookmarkStart w:id="2638" w:name="__UnoMark__18266_118561941"/>
                            <w:bookmarkEnd w:id="2637"/>
                            <w:bookmarkEnd w:id="2638"/>
                            <w:r>
                              <w:rPr>
                                <w:color w:val="00000A"/>
                                <w:sz w:val="18"/>
                                <w:szCs w:val="18"/>
                                <w:lang w:val="en-US"/>
                              </w:rPr>
                              <w:t>0.002</w:t>
                            </w:r>
                          </w:p>
                        </w:tc>
                        <w:tc>
                          <w:tcPr>
                            <w:tcW w:w="2539"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2639" w:name="__UnoMark__18268_118561941"/>
                            <w:bookmarkEnd w:id="2639"/>
                            <w:r>
                              <w:rPr>
                                <w:color w:val="00000A"/>
                                <w:sz w:val="18"/>
                                <w:szCs w:val="18"/>
                                <w:lang w:val="en-US"/>
                              </w:rPr>
                              <w:t>Hay diferencias significativas</w:t>
                            </w:r>
                          </w:p>
                        </w:tc>
                      </w:tr>
                    </w:tbl>
                    <w:p>
                      <w:pPr>
                        <w:pStyle w:val="FrameContents"/>
                        <w:spacing w:before="80" w:after="60"/>
                        <w:rPr>
                          <w:color w:val="000000"/>
                        </w:rPr>
                      </w:pPr>
                      <w:r>
                        <w:rPr>
                          <w:color w:val="000000"/>
                        </w:rPr>
                      </w:r>
                    </w:p>
                  </w:txbxContent>
                </v:textbox>
              </v:rect>
            </w:pict>
          </mc:Fallback>
        </mc:AlternateContent>
      </w:r>
    </w:p>
    <w:p>
      <w:pPr>
        <w:pStyle w:val="Normal"/>
        <w:rPr>
          <w:lang w:val="en-US"/>
        </w:rPr>
      </w:pPr>
      <w:r>
        <w:rPr>
          <w:lang w:val="en-US"/>
        </w:rPr>
        <w:t xml:space="preserve">En la comparación de los algoritmos, se aplicaron pruebas no paramétricas y se demuestra que no existen diferencias significativas entre los algoritmos </w:t>
      </w:r>
      <w:r>
        <w:rPr>
          <w:rFonts w:cs="Courier New" w:ascii="Courier New" w:hAnsi="Courier New"/>
        </w:rPr>
        <w:t>RST_LDS</w:t>
      </w:r>
      <w:r>
        <w:rPr>
          <w:lang w:val="en-US"/>
        </w:rPr>
        <w:t xml:space="preserve">, </w:t>
      </w:r>
      <w:r>
        <w:rPr>
          <w:rFonts w:cs="Courier New" w:ascii="Courier New" w:hAnsi="Courier New"/>
        </w:rPr>
        <w:t>Apriori_LDS</w:t>
      </w:r>
      <w:r>
        <w:rPr>
          <w:lang w:val="en-US"/>
        </w:rPr>
        <w:t xml:space="preserve">, </w:t>
      </w:r>
      <w:r>
        <w:rPr>
          <w:rFonts w:cs="Courier New" w:ascii="Courier New" w:hAnsi="Courier New"/>
        </w:rPr>
        <w:t>GA_LDS</w:t>
      </w:r>
      <w:r>
        <w:rPr>
          <w:lang w:val="en-US"/>
        </w:rPr>
        <w:t xml:space="preserve">, </w:t>
      </w:r>
      <w:r>
        <w:rPr>
          <w:rFonts w:cs="Courier New" w:ascii="Courier New" w:hAnsi="Courier New"/>
        </w:rPr>
        <w:t>PCA_LDS</w:t>
      </w:r>
      <w:r>
        <w:rPr>
          <w:lang w:val="en-US"/>
        </w:rPr>
        <w:t xml:space="preserve"> y </w:t>
      </w:r>
      <w:r>
        <w:rPr>
          <w:rFonts w:cs="Courier New" w:ascii="Courier New" w:hAnsi="Courier New"/>
        </w:rPr>
        <w:t>LPA_LDS</w:t>
      </w:r>
      <w:r>
        <w:rPr>
          <w:lang w:val="en-US"/>
        </w:rPr>
        <w:t xml:space="preserve"> ubicados en el “grupo A” y reportando resultados significativamente mejores al </w:t>
      </w:r>
      <w:r>
        <w:rPr>
          <w:rFonts w:cs="Courier New" w:ascii="Courier New" w:hAnsi="Courier New"/>
        </w:rPr>
        <w:t>ACO_LDS</w:t>
      </w:r>
      <w:r>
        <w:rPr>
          <w:lang w:val="en-US"/>
        </w:rPr>
        <w:t>, el cual está ubicado en el</w:t>
      </w:r>
      <w:r>
        <w:rPr>
          <w:rFonts w:cs="Courier New" w:ascii="Courier New" w:hAnsi="Courier New"/>
          <w:sz w:val="18"/>
          <w:szCs w:val="18"/>
        </w:rPr>
        <w:t xml:space="preserve"> </w:t>
      </w:r>
      <w:r>
        <w:rPr>
          <w:lang w:val="en-US"/>
        </w:rPr>
        <w:t>“grupo B” reportando peores resultados.</w:t>
      </w:r>
    </w:p>
    <w:p>
      <w:pPr>
        <w:pStyle w:val="Normal"/>
        <w:rPr/>
      </w:pPr>
      <w:r>
        <w:rPr>
          <w:lang w:val="en-US"/>
        </w:rPr>
        <w:t xml:space="preserve">La </w:t>
      </w:r>
      <w:r>
        <w:rPr>
          <w:lang w:val="en-US"/>
        </w:rPr>
        <w:fldChar w:fldCharType="begin"/>
      </w:r>
      <w:r>
        <w:instrText> REF _Ref68932708 \h </w:instrText>
      </w:r>
      <w:r>
        <w:fldChar w:fldCharType="separate"/>
      </w:r>
      <w:r>
        <w:t>Figura 16</w:t>
      </w:r>
      <w:r>
        <w:fldChar w:fldCharType="end"/>
      </w:r>
      <w:r>
        <w:rPr>
          <w:lang w:val="en-US"/>
        </w:rPr>
        <w:t xml:space="preserve"> evidencia los resultados de las pruebas estadísticas, presentando al </w:t>
      </w:r>
      <w:r>
        <w:rPr>
          <w:rFonts w:cs="Courier New" w:ascii="Courier New" w:hAnsi="Courier New"/>
        </w:rPr>
        <w:t>RST</w:t>
      </w:r>
      <w:r>
        <w:rPr>
          <w:rFonts w:cs="Courier New" w:ascii="Courier New" w:hAnsi="Courier New"/>
          <w:szCs w:val="20"/>
        </w:rPr>
        <w:t>_LDS</w:t>
      </w:r>
      <w:r>
        <w:rPr>
          <w:i/>
          <w:sz w:val="28"/>
          <w:lang w:val="en-US"/>
        </w:rPr>
        <w:t xml:space="preserve"> </w:t>
      </w:r>
      <w:r>
        <w:rPr>
          <w:lang w:val="en-US"/>
        </w:rPr>
        <w:t xml:space="preserve">como el algoritmo de mejores resultados con el mayor valor de la media, aunque el </w:t>
      </w:r>
      <w:r>
        <w:rPr>
          <w:rFonts w:cs="Courier New" w:ascii="Courier New" w:hAnsi="Courier New"/>
        </w:rPr>
        <w:t xml:space="preserve">Apriori_LDS </w:t>
      </w:r>
      <w:r>
        <w:rPr>
          <w:lang w:val="en-US"/>
        </w:rPr>
        <w:t xml:space="preserve">obtuvo la menor dispersión. Mientras que la </w:t>
      </w:r>
      <w:r>
        <w:rPr>
          <w:lang w:val="en-US"/>
        </w:rPr>
        <w:fldChar w:fldCharType="begin"/>
      </w:r>
      <w:r>
        <w:instrText> REF _Ref65857494 \h </w:instrText>
      </w:r>
      <w:r>
        <w:fldChar w:fldCharType="separate"/>
      </w:r>
      <w:r>
        <w:t>Tabla 14</w:t>
      </w:r>
      <w:r>
        <w:fldChar w:fldCharType="end"/>
      </w:r>
      <w:r>
        <w:rPr>
          <w:lang w:val="en-US"/>
        </w:rPr>
        <w:t xml:space="preserve"> muestra los resultados de comparación de los algoritmos empleando pruebas paramétricas.</w:t>
      </w:r>
    </w:p>
    <w:p>
      <w:pPr>
        <w:pStyle w:val="Heading3"/>
        <w:numPr>
          <w:ilvl w:val="2"/>
          <w:numId w:val="80"/>
        </w:numPr>
        <w:rPr/>
      </w:pPr>
      <w:r>
        <w:rPr/>
        <w:t>Comparación de los algoritmos respecto al indicador Te</w:t>
      </w:r>
      <w:r>
        <w:rPr>
          <w:vertAlign w:val="subscript"/>
        </w:rPr>
        <w:t>3</w:t>
      </w:r>
    </w:p>
    <w:p>
      <w:pPr>
        <w:pStyle w:val="Normal"/>
        <w:rPr>
          <w:lang w:val="en-US"/>
        </w:rPr>
      </w:pPr>
      <w:r>
        <mc:AlternateContent>
          <mc:Choice Requires="wps">
            <w:drawing>
              <wp:anchor behindDoc="0" distT="45720" distB="45720" distL="114300" distR="114300" simplePos="0" locked="0" layoutInCell="1" allowOverlap="1" relativeHeight="7" wp14:anchorId="094BD068">
                <wp:simplePos x="0" y="0"/>
                <wp:positionH relativeFrom="margin">
                  <wp:align>right</wp:align>
                </wp:positionH>
                <wp:positionV relativeFrom="paragraph">
                  <wp:posOffset>40640</wp:posOffset>
                </wp:positionV>
                <wp:extent cx="3561715" cy="2834640"/>
                <wp:effectExtent l="0" t="0" r="3175" b="6350"/>
                <wp:wrapSquare wrapText="bothSides"/>
                <wp:docPr id="74" name="Cuadro de texto 2"/>
                <a:graphic xmlns:a="http://schemas.openxmlformats.org/drawingml/2006/main">
                  <a:graphicData uri="http://schemas.microsoft.com/office/word/2010/wordprocessingShape">
                    <wps:wsp>
                      <wps:cNvSpPr/>
                      <wps:spPr>
                        <a:xfrm>
                          <a:off x="0" y="0"/>
                          <a:ext cx="3561120" cy="2833920"/>
                        </a:xfrm>
                        <a:prstGeom prst="rect">
                          <a:avLst/>
                        </a:prstGeom>
                        <a:solidFill>
                          <a:srgbClr val="ffffff"/>
                        </a:solidFill>
                        <a:ln w="9360">
                          <a:noFill/>
                        </a:ln>
                      </wps:spPr>
                      <wps:style>
                        <a:lnRef idx="0"/>
                        <a:fillRef idx="0"/>
                        <a:effectRef idx="0"/>
                        <a:fontRef idx="minor"/>
                      </wps:style>
                      <wps:txbx>
                        <w:txbxContent>
                          <w:p>
                            <w:pPr>
                              <w:pStyle w:val="FrameContents"/>
                              <w:spacing w:before="80" w:after="60"/>
                              <w:rPr>
                                <w:sz w:val="20"/>
                              </w:rPr>
                            </w:pPr>
                            <w:bookmarkStart w:id="2642" w:name="_Ref65865386"/>
                            <w:bookmarkStart w:id="2643" w:name="_Ref68932743"/>
                            <w:r>
                              <w:rPr/>
                              <w:drawing>
                                <wp:inline distT="0" distB="0" distL="0" distR="0">
                                  <wp:extent cx="3219450" cy="2374900"/>
                                  <wp:effectExtent l="0" t="0" r="0" b="0"/>
                                  <wp:docPr id="76" name="Chart 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Chart 80" descr=""/>
                                          <pic:cNvPicPr>
                                            <a:picLocks noChangeAspect="1" noChangeArrowheads="1"/>
                                          </pic:cNvPicPr>
                                        </pic:nvPicPr>
                                        <pic:blipFill>
                                          <a:blip r:embed="rId20"/>
                                          <a:stretch>
                                            <a:fillRect/>
                                          </a:stretch>
                                        </pic:blipFill>
                                        <pic:spPr bwMode="auto">
                                          <a:xfrm>
                                            <a:off x="0" y="0"/>
                                            <a:ext cx="3219450" cy="2374900"/>
                                          </a:xfrm>
                                          <a:prstGeom prst="rect">
                                            <a:avLst/>
                                          </a:prstGeom>
                                        </pic:spPr>
                                      </pic:pic>
                                    </a:graphicData>
                                  </a:graphic>
                                </wp:inline>
                              </w:drawing>
                            </w:r>
                          </w:p>
                          <w:p>
                            <w:pPr>
                              <w:pStyle w:val="FrameContents"/>
                              <w:spacing w:before="80" w:after="60"/>
                              <w:jc w:val="center"/>
                              <w:rPr/>
                            </w:pPr>
                            <w:bookmarkStart w:id="2644" w:name="_Toc84599024"/>
                            <w:r>
                              <w:rPr>
                                <w:sz w:val="20"/>
                              </w:rPr>
                              <w:t xml:space="preserve">Figura </w:t>
                            </w:r>
                            <w:r>
                              <w:rPr>
                                <w:sz w:val="20"/>
                              </w:rPr>
                              <w:fldChar w:fldCharType="begin"/>
                            </w:r>
                            <w:r>
                              <w:instrText> SEQ Figura \* ARABIC </w:instrText>
                            </w:r>
                            <w:r>
                              <w:fldChar w:fldCharType="separate"/>
                            </w:r>
                            <w:r>
                              <w:t>17</w:t>
                            </w:r>
                            <w:r>
                              <w:fldChar w:fldCharType="end"/>
                            </w:r>
                            <w:bookmarkEnd w:id="2642"/>
                            <w:bookmarkEnd w:id="2643"/>
                            <w:r>
                              <w:rPr>
                                <w:sz w:val="20"/>
                              </w:rPr>
                              <w:t xml:space="preserve">: Media aritmética del indicador </w:t>
                            </w:r>
                            <w:r>
                              <w:rPr>
                                <w:i/>
                                <w:sz w:val="20"/>
                              </w:rPr>
                              <w:t>Te</w:t>
                            </w:r>
                            <w:r>
                              <w:rPr>
                                <w:i/>
                                <w:sz w:val="20"/>
                                <w:vertAlign w:val="subscript"/>
                              </w:rPr>
                              <w:t>3</w:t>
                            </w:r>
                            <w:bookmarkEnd w:id="2644"/>
                            <w:r>
                              <w:rPr>
                                <w:sz w:val="20"/>
                              </w:rPr>
                              <w:t>.</w:t>
                            </w:r>
                          </w:p>
                        </w:txbxContent>
                      </wps:txbx>
                      <wps:bodyPr lIns="90000" rIns="90000" tIns="45000" bIns="45000">
                        <a:noAutofit/>
                      </wps:bodyPr>
                    </wps:wsp>
                  </a:graphicData>
                </a:graphic>
              </wp:anchor>
            </w:drawing>
          </mc:Choice>
          <mc:Fallback>
            <w:pict>
              <v:rect id="shape_0" ID="Cuadro de texto 2" fillcolor="white" stroked="f" style="position:absolute;margin-left:159.25pt;margin-top:3.2pt;width:280.35pt;height:223.1pt;mso-position-horizontal:right;mso-position-horizontal-relative:margin" wp14:anchorId="094BD068">
                <w10:wrap type="square"/>
                <v:fill o:detectmouseclick="t" type="solid" color2="black"/>
                <v:stroke color="#3465a4" weight="9360" joinstyle="round" endcap="flat"/>
                <v:textbox>
                  <w:txbxContent>
                    <w:p>
                      <w:pPr>
                        <w:pStyle w:val="FrameContents"/>
                        <w:spacing w:before="80" w:after="60"/>
                        <w:rPr>
                          <w:sz w:val="20"/>
                        </w:rPr>
                      </w:pPr>
                      <w:bookmarkStart w:id="2645" w:name="_Ref65865386"/>
                      <w:bookmarkStart w:id="2646" w:name="_Ref68932743"/>
                      <w:r>
                        <w:rPr/>
                        <w:drawing>
                          <wp:inline distT="0" distB="0" distL="0" distR="0">
                            <wp:extent cx="3219450" cy="2374900"/>
                            <wp:effectExtent l="0" t="0" r="0" b="0"/>
                            <wp:docPr id="77" name="Chart 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hart 80" descr=""/>
                                    <pic:cNvPicPr>
                                      <a:picLocks noChangeAspect="1" noChangeArrowheads="1"/>
                                    </pic:cNvPicPr>
                                  </pic:nvPicPr>
                                  <pic:blipFill>
                                    <a:blip r:embed="rId20"/>
                                    <a:stretch>
                                      <a:fillRect/>
                                    </a:stretch>
                                  </pic:blipFill>
                                  <pic:spPr bwMode="auto">
                                    <a:xfrm>
                                      <a:off x="0" y="0"/>
                                      <a:ext cx="3219450" cy="2374900"/>
                                    </a:xfrm>
                                    <a:prstGeom prst="rect">
                                      <a:avLst/>
                                    </a:prstGeom>
                                  </pic:spPr>
                                </pic:pic>
                              </a:graphicData>
                            </a:graphic>
                          </wp:inline>
                        </w:drawing>
                      </w:r>
                    </w:p>
                    <w:p>
                      <w:pPr>
                        <w:pStyle w:val="FrameContents"/>
                        <w:spacing w:before="80" w:after="60"/>
                        <w:jc w:val="center"/>
                        <w:rPr/>
                      </w:pPr>
                      <w:bookmarkStart w:id="2647" w:name="_Toc84599024"/>
                      <w:r>
                        <w:rPr>
                          <w:sz w:val="20"/>
                        </w:rPr>
                        <w:t xml:space="preserve">Figura </w:t>
                      </w:r>
                      <w:r>
                        <w:rPr>
                          <w:sz w:val="20"/>
                        </w:rPr>
                        <w:fldChar w:fldCharType="begin"/>
                      </w:r>
                      <w:r>
                        <w:instrText> SEQ Figura \* ARABIC </w:instrText>
                      </w:r>
                      <w:r>
                        <w:fldChar w:fldCharType="separate"/>
                      </w:r>
                      <w:r>
                        <w:t>17</w:t>
                      </w:r>
                      <w:r>
                        <w:fldChar w:fldCharType="end"/>
                      </w:r>
                      <w:bookmarkEnd w:id="2645"/>
                      <w:bookmarkEnd w:id="2646"/>
                      <w:r>
                        <w:rPr>
                          <w:sz w:val="20"/>
                        </w:rPr>
                        <w:t xml:space="preserve">: Media aritmética del indicador </w:t>
                      </w:r>
                      <w:r>
                        <w:rPr>
                          <w:i/>
                          <w:sz w:val="20"/>
                        </w:rPr>
                        <w:t>Te</w:t>
                      </w:r>
                      <w:r>
                        <w:rPr>
                          <w:i/>
                          <w:sz w:val="20"/>
                          <w:vertAlign w:val="subscript"/>
                        </w:rPr>
                        <w:t>3</w:t>
                      </w:r>
                      <w:bookmarkEnd w:id="2647"/>
                      <w:r>
                        <w:rPr>
                          <w:sz w:val="20"/>
                        </w:rPr>
                        <w:t>.</w:t>
                      </w:r>
                    </w:p>
                  </w:txbxContent>
                </v:textbox>
              </v:rect>
            </w:pict>
          </mc:Fallback>
        </mc:AlternateContent>
      </w:r>
      <w:r>
        <w:rPr>
          <w:lang w:val="en-US"/>
        </w:rPr>
        <w:t xml:space="preserve">Respecto a la media aritmética del indicador </w:t>
      </w:r>
      <w:r>
        <w:rPr>
          <w:i/>
          <w:lang w:val="en-US"/>
        </w:rPr>
        <w:t>Te</w:t>
      </w:r>
      <w:r>
        <w:rPr>
          <w:i/>
          <w:vertAlign w:val="subscript"/>
          <w:lang w:val="en-US"/>
        </w:rPr>
        <w:t>3</w:t>
      </w:r>
      <w:r>
        <w:rPr>
          <w:vertAlign w:val="subscript"/>
          <w:lang w:val="en-US"/>
        </w:rPr>
        <w:t>,</w:t>
      </w:r>
      <w:r>
        <w:rPr>
          <w:lang w:val="en-US"/>
        </w:rPr>
        <w:t xml:space="preserve"> los algoritmos quedan ubicados en el siguiente orden: </w:t>
      </w:r>
      <w:r>
        <w:rPr>
          <w:rFonts w:cs="Courier New" w:ascii="Courier New" w:hAnsi="Courier New"/>
        </w:rPr>
        <w:t>PCA_LDS</w:t>
      </w:r>
      <w:r>
        <w:rPr>
          <w:lang w:val="en-US"/>
        </w:rPr>
        <w:t xml:space="preserve">, </w:t>
      </w:r>
      <w:r>
        <w:rPr>
          <w:rFonts w:cs="Courier New" w:ascii="Courier New" w:hAnsi="Courier New"/>
        </w:rPr>
        <w:t>Apriori_LDS</w:t>
      </w:r>
      <w:r>
        <w:rPr>
          <w:lang w:val="en-US"/>
        </w:rPr>
        <w:t xml:space="preserve">, </w:t>
      </w:r>
      <w:r>
        <w:rPr>
          <w:rFonts w:cs="Courier New" w:ascii="Courier New" w:hAnsi="Courier New"/>
        </w:rPr>
        <w:t>RST_LDS</w:t>
      </w:r>
      <w:r>
        <w:rPr>
          <w:lang w:val="en-US"/>
        </w:rPr>
        <w:t xml:space="preserve">, </w:t>
      </w:r>
      <w:r>
        <w:rPr>
          <w:rFonts w:cs="Courier New" w:ascii="Courier New" w:hAnsi="Courier New"/>
        </w:rPr>
        <w:t>ACO_LDS</w:t>
      </w:r>
      <w:r>
        <w:rPr>
          <w:lang w:val="en-US"/>
        </w:rPr>
        <w:t xml:space="preserve">, </w:t>
      </w:r>
      <w:r>
        <w:rPr>
          <w:rFonts w:cs="Courier New" w:ascii="Courier New" w:hAnsi="Courier New"/>
        </w:rPr>
        <w:t>LPA_LDS</w:t>
      </w:r>
      <w:r>
        <w:rPr>
          <w:lang w:val="en-US"/>
        </w:rPr>
        <w:t xml:space="preserve"> y</w:t>
      </w:r>
      <w:r>
        <w:rPr>
          <w:rFonts w:cs="Courier New" w:ascii="Courier New" w:hAnsi="Courier New"/>
        </w:rPr>
        <w:t xml:space="preserve"> GA_LDS</w:t>
      </w:r>
      <w:r>
        <w:rPr>
          <w:lang w:val="en-US"/>
        </w:rPr>
        <w:t>.</w:t>
      </w:r>
    </w:p>
    <w:p>
      <w:pPr>
        <w:pStyle w:val="Normal"/>
        <w:rPr>
          <w:lang w:val="en-US"/>
        </w:rPr>
      </w:pPr>
      <w:r>
        <w:rPr>
          <w:lang w:val="en-US"/>
        </w:rPr>
        <w:t>En el análisis se identifica que los resultados no cumplen con una distribución normal.</w:t>
      </w:r>
    </w:p>
    <w:p>
      <w:pPr>
        <w:pStyle w:val="Normal"/>
        <w:jc w:val="center"/>
        <w:rPr/>
      </w:pPr>
      <w:r>
        <w:rPr>
          <w:lang w:val="en-US"/>
        </w:rPr>
        <w:t xml:space="preserve">Se comparan los algoritmos empleando pruebas no paramétricas. </w:t>
      </w:r>
      <w:bookmarkStart w:id="2648" w:name="_Ref65865367"/>
      <w:r>
        <w:rPr>
          <w:lang w:val="en-US"/>
        </w:rPr>
        <w:t xml:space="preserve">Ver </w:t>
      </w:r>
    </w:p>
    <w:p>
      <w:pPr>
        <w:pStyle w:val="Normal"/>
        <w:rPr/>
      </w:pPr>
      <w:r>
        <w:rPr/>
        <w:fldChar w:fldCharType="begin"/>
      </w:r>
      <w:r>
        <w:instrText> REF _Ref68974173 \h </w:instrText>
      </w:r>
      <w:r>
        <w:fldChar w:fldCharType="separate"/>
      </w:r>
      <w:r/>
      <w:r>
        <w:fldChar w:fldCharType="end"/>
      </w:r>
      <w:r>
        <w:rPr>
          <w:lang w:val="en-US"/>
        </w:rPr>
        <w:t xml:space="preserve"> </w:t>
      </w:r>
      <w:r>
        <w:rPr>
          <w:lang w:val="en-US"/>
        </w:rPr>
        <w:t xml:space="preserve">y </w:t>
      </w:r>
      <w:r>
        <w:rPr>
          <w:lang w:val="en-US"/>
        </w:rPr>
        <w:drawing>
          <wp:inline distT="0" distB="0" distL="0" distR="0">
            <wp:extent cx="3219450" cy="2374900"/>
            <wp:effectExtent l="0" t="0" r="0" b="0"/>
            <wp:docPr id="78" name="Chart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hart 8" descr=""/>
                    <pic:cNvPicPr>
                      <a:picLocks noChangeAspect="1" noChangeArrowheads="1"/>
                    </pic:cNvPicPr>
                  </pic:nvPicPr>
                  <pic:blipFill>
                    <a:blip r:embed="rId21"/>
                    <a:stretch>
                      <a:fillRect/>
                    </a:stretch>
                  </pic:blipFill>
                  <pic:spPr bwMode="auto">
                    <a:xfrm>
                      <a:off x="0" y="0"/>
                      <a:ext cx="3219450" cy="2374900"/>
                    </a:xfrm>
                    <a:prstGeom prst="rect">
                      <a:avLst/>
                    </a:prstGeom>
                  </pic:spPr>
                </pic:pic>
              </a:graphicData>
            </a:graphic>
          </wp:inline>
        </w:drawing>
      </w:r>
    </w:p>
    <w:p>
      <w:pPr>
        <w:pStyle w:val="Normal"/>
        <w:rPr/>
      </w:pPr>
      <w:r>
        <w:rPr/>
        <w:fldChar w:fldCharType="begin"/>
      </w:r>
      <w:r>
        <w:instrText> REF _Ref68932743 \h </w:instrText>
      </w:r>
      <w:r>
        <w:fldChar w:fldCharType="separate"/>
      </w:r>
      <w:r/>
      <w:r>
        <w:fldChar w:fldCharType="end"/>
      </w:r>
      <w:r>
        <w:rPr>
          <w:lang w:val="en-US"/>
        </w:rPr>
        <w:t>.</w:t>
      </w:r>
    </w:p>
    <w:p>
      <w:pPr>
        <w:pStyle w:val="Normal"/>
        <w:jc w:val="center"/>
        <w:rPr/>
      </w:pPr>
      <w:bookmarkStart w:id="2649" w:name="_Toc84598985"/>
      <w:bookmarkStart w:id="2650" w:name="_Ref68974173"/>
      <w:bookmarkStart w:id="2651" w:name="_Toc84598985"/>
      <w:bookmarkStart w:id="2652" w:name="_Ref68974173"/>
      <w:r>
        <w:rPr/>
      </w:r>
    </w:p>
    <w:p>
      <w:pPr>
        <w:pStyle w:val="Normal"/>
        <w:jc w:val="center"/>
        <w:rPr/>
      </w:pPr>
      <w:r>
        <w:rPr/>
        <w:t xml:space="preserve">Tabla </w:t>
      </w:r>
      <w:r>
        <w:rPr/>
        <w:fldChar w:fldCharType="begin"/>
      </w:r>
      <w:r>
        <w:instrText> SEQ Tabla \* ARABIC </w:instrText>
      </w:r>
      <w:r>
        <w:fldChar w:fldCharType="separate"/>
      </w:r>
      <w:r>
        <w:t>15</w:t>
      </w:r>
      <w:r>
        <w:fldChar w:fldCharType="end"/>
      </w:r>
      <w:bookmarkEnd w:id="2648"/>
      <w:bookmarkEnd w:id="2652"/>
      <w:r>
        <w:rPr/>
        <w:t xml:space="preserve">: Comparación de los algoritmos respecto a la media aritmética del </w:t>
      </w:r>
      <w:r>
        <w:rPr>
          <w:i/>
        </w:rPr>
        <w:t>Te</w:t>
      </w:r>
      <w:r>
        <w:rPr>
          <w:i/>
          <w:vertAlign w:val="subscript"/>
        </w:rPr>
        <w:t>3</w:t>
      </w:r>
      <w:bookmarkEnd w:id="2651"/>
      <w:r>
        <w:rPr/>
        <w:t>.</w:t>
      </w:r>
    </w:p>
    <w:p>
      <w:pPr>
        <w:pStyle w:val="Normal"/>
        <w:rPr>
          <w:i/>
          <w:i/>
          <w:lang w:val="en-US"/>
        </w:rPr>
      </w:pPr>
      <w:r>
        <w:rPr>
          <w:i/>
          <w:lang w:val="en-US"/>
        </w:rPr>
        <mc:AlternateContent>
          <mc:Choice Requires="wps">
            <w:drawing>
              <wp:anchor behindDoc="0" distT="0" distB="0" distL="114300" distR="114300" simplePos="0" locked="0" layoutInCell="1" allowOverlap="1" relativeHeight="47">
                <wp:simplePos x="0" y="0"/>
                <wp:positionH relativeFrom="margin">
                  <wp:align>center</wp:align>
                </wp:positionH>
                <wp:positionV relativeFrom="paragraph">
                  <wp:posOffset>35560</wp:posOffset>
                </wp:positionV>
                <wp:extent cx="2105660" cy="1685925"/>
                <wp:effectExtent l="0" t="0" r="0" b="0"/>
                <wp:wrapSquare wrapText="bothSides"/>
                <wp:docPr id="79" name="Frame27"/>
                <a:graphic xmlns:a="http://schemas.openxmlformats.org/drawingml/2006/main">
                  <a:graphicData uri="http://schemas.microsoft.com/office/word/2010/wordprocessingShape">
                    <wps:wsp>
                      <wps:cNvSpPr/>
                      <wps:spPr>
                        <a:xfrm>
                          <a:off x="0" y="0"/>
                          <a:ext cx="2104920" cy="1685160"/>
                        </a:xfrm>
                        <a:prstGeom prst="rect">
                          <a:avLst/>
                        </a:prstGeom>
                        <a:noFill/>
                        <a:ln>
                          <a:noFill/>
                        </a:ln>
                      </wps:spPr>
                      <wps:style>
                        <a:lnRef idx="0"/>
                        <a:fillRef idx="0"/>
                        <a:effectRef idx="0"/>
                        <a:fontRef idx="minor"/>
                      </wps:style>
                      <wps:txbx>
                        <w:txbxContent>
                          <w:tbl>
                            <w:tblPr>
                              <w:tblW w:w="3313" w:type="dxa"/>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1340"/>
                              <w:gridCol w:w="1158"/>
                              <w:gridCol w:w="815"/>
                            </w:tblGrid>
                            <w:tr>
                              <w:trPr>
                                <w:cantSplit w:val="true"/>
                              </w:trPr>
                              <w:tc>
                                <w:tcPr>
                                  <w:tcW w:w="1340"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jc w:val="center"/>
                                    <w:rPr/>
                                  </w:pPr>
                                  <w:bookmarkStart w:id="2653" w:name="__UnoMark__18479_118561941"/>
                                  <w:bookmarkEnd w:id="2653"/>
                                  <w:r>
                                    <w:rPr>
                                      <w:color w:val="00000A"/>
                                      <w:sz w:val="18"/>
                                      <w:szCs w:val="18"/>
                                    </w:rPr>
                                    <w:t>Algoritmos</w:t>
                                  </w:r>
                                </w:p>
                              </w:tc>
                              <w:tc>
                                <w:tcPr>
                                  <w:tcW w:w="1158"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2654" w:name="__UnoMark__18480_118561941"/>
                                  <w:bookmarkEnd w:id="2654"/>
                                  <w:r>
                                    <w:rPr>
                                      <w:color w:val="00000A"/>
                                      <w:sz w:val="18"/>
                                      <w:szCs w:val="18"/>
                                    </w:rPr>
                                    <w:t>Kolmogorov-Smirnov</w:t>
                                  </w:r>
                                  <w:r>
                                    <w:rPr>
                                      <w:color w:val="00000A"/>
                                      <w:sz w:val="18"/>
                                      <w:szCs w:val="18"/>
                                      <w:vertAlign w:val="superscript"/>
                                    </w:rPr>
                                    <w:t>a</w:t>
                                  </w:r>
                                  <w:bookmarkStart w:id="2655" w:name="__UnoMark__18481_118561941"/>
                                  <w:bookmarkEnd w:id="2655"/>
                                  <w:r>
                                    <w:rPr>
                                      <w:color w:val="00000A"/>
                                      <w:sz w:val="18"/>
                                      <w:szCs w:val="18"/>
                                    </w:rPr>
                                    <w:t xml:space="preserve"> Sig.</w:t>
                                  </w:r>
                                </w:p>
                              </w:tc>
                              <w:tc>
                                <w:tcPr>
                                  <w:tcW w:w="815"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2656" w:name="__UnoMark__18483_118561941"/>
                                  <w:bookmarkStart w:id="2657" w:name="__UnoMark__18482_118561941"/>
                                  <w:bookmarkEnd w:id="2656"/>
                                  <w:bookmarkEnd w:id="2657"/>
                                  <w:r>
                                    <w:rPr>
                                      <w:color w:val="00000A"/>
                                      <w:sz w:val="18"/>
                                      <w:szCs w:val="18"/>
                                    </w:rPr>
                                    <w:t>Shapiro-Wilk Sig.</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658" w:name="__UnoMark__18485_118561941"/>
                                  <w:bookmarkStart w:id="2659" w:name="__UnoMark__18484_118561941"/>
                                  <w:bookmarkEnd w:id="2658"/>
                                  <w:bookmarkEnd w:id="2659"/>
                                  <w:r>
                                    <w:rPr>
                                      <w:color w:val="00000A"/>
                                      <w:sz w:val="18"/>
                                      <w:szCs w:val="18"/>
                                    </w:rPr>
                                    <w:t>RST_LDS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660" w:name="__UnoMark__18486_118561941"/>
                                  <w:bookmarkEnd w:id="2660"/>
                                  <w:r>
                                    <w:rPr>
                                      <w:color w:val="00000A"/>
                                      <w:sz w:val="18"/>
                                      <w:szCs w:val="18"/>
                                    </w:rPr>
                                    <w:t>.200</w:t>
                                  </w:r>
                                  <w:bookmarkStart w:id="2661" w:name="__UnoMark__18487_118561941"/>
                                  <w:bookmarkEnd w:id="2661"/>
                                  <w:r>
                                    <w:rPr>
                                      <w:color w:val="00000A"/>
                                      <w:sz w:val="18"/>
                                      <w:szCs w:val="18"/>
                                      <w:vertAlign w:val="superscript"/>
                                    </w:rPr>
                                    <w:t>*</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662" w:name="__UnoMark__18489_118561941"/>
                                  <w:bookmarkStart w:id="2663" w:name="__UnoMark__18488_118561941"/>
                                  <w:bookmarkEnd w:id="2662"/>
                                  <w:bookmarkEnd w:id="2663"/>
                                  <w:r>
                                    <w:rPr>
                                      <w:color w:val="00000A"/>
                                      <w:sz w:val="18"/>
                                      <w:szCs w:val="18"/>
                                    </w:rPr>
                                    <w:t>.688</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664" w:name="__UnoMark__18491_118561941"/>
                                  <w:bookmarkStart w:id="2665" w:name="__UnoMark__18490_118561941"/>
                                  <w:bookmarkEnd w:id="2664"/>
                                  <w:bookmarkEnd w:id="2665"/>
                                  <w:r>
                                    <w:rPr>
                                      <w:color w:val="00000A"/>
                                      <w:sz w:val="18"/>
                                      <w:szCs w:val="18"/>
                                    </w:rPr>
                                    <w:t>LPA_LDS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666" w:name="__UnoMark__18492_118561941"/>
                                  <w:bookmarkEnd w:id="2666"/>
                                  <w:r>
                                    <w:rPr>
                                      <w:color w:val="00000A"/>
                                      <w:sz w:val="18"/>
                                      <w:szCs w:val="18"/>
                                    </w:rPr>
                                    <w:t>.200</w:t>
                                  </w:r>
                                  <w:bookmarkStart w:id="2667" w:name="__UnoMark__18493_118561941"/>
                                  <w:bookmarkEnd w:id="2667"/>
                                  <w:r>
                                    <w:rPr>
                                      <w:color w:val="00000A"/>
                                      <w:sz w:val="18"/>
                                      <w:szCs w:val="18"/>
                                      <w:vertAlign w:val="superscript"/>
                                    </w:rPr>
                                    <w:t>*</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668" w:name="__UnoMark__18495_118561941"/>
                                  <w:bookmarkStart w:id="2669" w:name="__UnoMark__18494_118561941"/>
                                  <w:bookmarkEnd w:id="2668"/>
                                  <w:bookmarkEnd w:id="2669"/>
                                  <w:r>
                                    <w:rPr>
                                      <w:color w:val="00000A"/>
                                      <w:sz w:val="18"/>
                                      <w:szCs w:val="18"/>
                                    </w:rPr>
                                    <w:t>.664</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670" w:name="__UnoMark__18497_118561941"/>
                                  <w:bookmarkStart w:id="2671" w:name="__UnoMark__18496_118561941"/>
                                  <w:bookmarkEnd w:id="2670"/>
                                  <w:bookmarkEnd w:id="2671"/>
                                  <w:r>
                                    <w:rPr>
                                      <w:color w:val="00000A"/>
                                      <w:sz w:val="18"/>
                                      <w:szCs w:val="18"/>
                                    </w:rPr>
                                    <w:t>Apriori_LDS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672" w:name="__UnoMark__18498_118561941"/>
                                  <w:bookmarkEnd w:id="2672"/>
                                  <w:r>
                                    <w:rPr>
                                      <w:color w:val="00000A"/>
                                      <w:sz w:val="18"/>
                                      <w:szCs w:val="18"/>
                                    </w:rPr>
                                    <w:t>.200</w:t>
                                  </w:r>
                                  <w:bookmarkStart w:id="2673" w:name="__UnoMark__18499_118561941"/>
                                  <w:bookmarkEnd w:id="2673"/>
                                  <w:r>
                                    <w:rPr>
                                      <w:color w:val="00000A"/>
                                      <w:sz w:val="18"/>
                                      <w:szCs w:val="18"/>
                                      <w:vertAlign w:val="superscript"/>
                                    </w:rPr>
                                    <w:t>*</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674" w:name="__UnoMark__18501_118561941"/>
                                  <w:bookmarkStart w:id="2675" w:name="__UnoMark__18500_118561941"/>
                                  <w:bookmarkEnd w:id="2674"/>
                                  <w:bookmarkEnd w:id="2675"/>
                                  <w:r>
                                    <w:rPr>
                                      <w:color w:val="00000A"/>
                                      <w:sz w:val="18"/>
                                      <w:szCs w:val="18"/>
                                    </w:rPr>
                                    <w:t>.120</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676" w:name="__UnoMark__18503_118561941"/>
                                  <w:bookmarkStart w:id="2677" w:name="__UnoMark__18502_118561941"/>
                                  <w:bookmarkEnd w:id="2676"/>
                                  <w:bookmarkEnd w:id="2677"/>
                                  <w:r>
                                    <w:rPr>
                                      <w:color w:val="00000A"/>
                                      <w:sz w:val="18"/>
                                      <w:szCs w:val="18"/>
                                    </w:rPr>
                                    <w:t>ACO_LDS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678" w:name="__UnoMark__18505_118561941"/>
                                  <w:bookmarkStart w:id="2679" w:name="__UnoMark__18504_118561941"/>
                                  <w:bookmarkEnd w:id="2678"/>
                                  <w:bookmarkEnd w:id="2679"/>
                                  <w:r>
                                    <w:rPr>
                                      <w:color w:val="00000A"/>
                                      <w:sz w:val="18"/>
                                      <w:szCs w:val="18"/>
                                    </w:rPr>
                                    <w:t>.002</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680" w:name="__UnoMark__18507_118561941"/>
                                  <w:bookmarkStart w:id="2681" w:name="__UnoMark__18506_118561941"/>
                                  <w:bookmarkEnd w:id="2680"/>
                                  <w:bookmarkEnd w:id="2681"/>
                                  <w:r>
                                    <w:rPr>
                                      <w:color w:val="00000A"/>
                                      <w:sz w:val="18"/>
                                      <w:szCs w:val="18"/>
                                    </w:rPr>
                                    <w:t>.002</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682" w:name="__UnoMark__18509_118561941"/>
                                  <w:bookmarkStart w:id="2683" w:name="__UnoMark__18508_118561941"/>
                                  <w:bookmarkEnd w:id="2682"/>
                                  <w:bookmarkEnd w:id="2683"/>
                                  <w:r>
                                    <w:rPr>
                                      <w:color w:val="00000A"/>
                                      <w:sz w:val="18"/>
                                      <w:szCs w:val="18"/>
                                    </w:rPr>
                                    <w:t>GA_LDS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684" w:name="__UnoMark__18511_118561941"/>
                                  <w:bookmarkStart w:id="2685" w:name="__UnoMark__18510_118561941"/>
                                  <w:bookmarkEnd w:id="2684"/>
                                  <w:bookmarkEnd w:id="2685"/>
                                  <w:r>
                                    <w:rPr>
                                      <w:color w:val="00000A"/>
                                      <w:sz w:val="18"/>
                                      <w:szCs w:val="18"/>
                                    </w:rPr>
                                    <w:t>.037</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686" w:name="__UnoMark__18513_118561941"/>
                                  <w:bookmarkStart w:id="2687" w:name="__UnoMark__18512_118561941"/>
                                  <w:bookmarkEnd w:id="2686"/>
                                  <w:bookmarkEnd w:id="2687"/>
                                  <w:r>
                                    <w:rPr>
                                      <w:color w:val="00000A"/>
                                      <w:sz w:val="18"/>
                                      <w:szCs w:val="18"/>
                                    </w:rPr>
                                    <w:t>.001</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688" w:name="__UnoMark__18515_118561941"/>
                                  <w:bookmarkStart w:id="2689" w:name="__UnoMark__18514_118561941"/>
                                  <w:bookmarkEnd w:id="2688"/>
                                  <w:bookmarkEnd w:id="2689"/>
                                  <w:r>
                                    <w:rPr>
                                      <w:color w:val="00000A"/>
                                      <w:sz w:val="18"/>
                                      <w:szCs w:val="18"/>
                                    </w:rPr>
                                    <w:t>PCA_LDS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690" w:name="__UnoMark__18516_118561941"/>
                                  <w:bookmarkEnd w:id="2690"/>
                                  <w:r>
                                    <w:rPr>
                                      <w:color w:val="00000A"/>
                                      <w:sz w:val="18"/>
                                      <w:szCs w:val="18"/>
                                    </w:rPr>
                                    <w:t>.200</w:t>
                                  </w:r>
                                  <w:bookmarkStart w:id="2691" w:name="__UnoMark__18517_118561941"/>
                                  <w:bookmarkEnd w:id="2691"/>
                                  <w:r>
                                    <w:rPr>
                                      <w:color w:val="00000A"/>
                                      <w:sz w:val="18"/>
                                      <w:szCs w:val="18"/>
                                      <w:vertAlign w:val="superscript"/>
                                    </w:rPr>
                                    <w:t>*</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692" w:name="__UnoMark__18518_118561941"/>
                                  <w:bookmarkEnd w:id="2692"/>
                                  <w:r>
                                    <w:rPr>
                                      <w:color w:val="00000A"/>
                                      <w:sz w:val="18"/>
                                      <w:szCs w:val="18"/>
                                    </w:rPr>
                                    <w:t>.243</w:t>
                                  </w:r>
                                </w:p>
                              </w:tc>
                            </w:tr>
                          </w:tbl>
                          <w:p>
                            <w:pPr>
                              <w:pStyle w:val="FrameContents"/>
                              <w:spacing w:before="80" w:after="60"/>
                              <w:rPr>
                                <w:color w:val="000000"/>
                              </w:rPr>
                            </w:pPr>
                            <w:r>
                              <w:rPr>
                                <w:color w:val="000000"/>
                              </w:rPr>
                            </w:r>
                          </w:p>
                        </w:txbxContent>
                      </wps:txbx>
                      <wps:bodyPr lIns="0" rIns="0" tIns="0" bIns="0">
                        <a:spAutoFit/>
                      </wps:bodyPr>
                    </wps:wsp>
                  </a:graphicData>
                </a:graphic>
              </wp:anchor>
            </w:drawing>
          </mc:Choice>
          <mc:Fallback>
            <w:pict>
              <v:rect id="shape_0" ID="Frame27" stroked="f" style="position:absolute;margin-left:141.55pt;margin-top:2.8pt;width:165.7pt;height:132.65pt;mso-position-horizontal:center;mso-position-horizontal-relative:margin">
                <w10:wrap type="none"/>
                <v:fill o:detectmouseclick="t" on="false"/>
                <v:stroke color="#3465a4" joinstyle="round" endcap="flat"/>
                <v:textbox>
                  <w:txbxContent>
                    <w:tbl>
                      <w:tblPr>
                        <w:tblW w:w="3313" w:type="dxa"/>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1340"/>
                        <w:gridCol w:w="1158"/>
                        <w:gridCol w:w="815"/>
                      </w:tblGrid>
                      <w:tr>
                        <w:trPr>
                          <w:cantSplit w:val="true"/>
                        </w:trPr>
                        <w:tc>
                          <w:tcPr>
                            <w:tcW w:w="1340"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jc w:val="center"/>
                              <w:rPr/>
                            </w:pPr>
                            <w:bookmarkStart w:id="2693" w:name="__UnoMark__18479_118561941"/>
                            <w:bookmarkEnd w:id="2693"/>
                            <w:r>
                              <w:rPr>
                                <w:color w:val="00000A"/>
                                <w:sz w:val="18"/>
                                <w:szCs w:val="18"/>
                              </w:rPr>
                              <w:t>Algoritmos</w:t>
                            </w:r>
                          </w:p>
                        </w:tc>
                        <w:tc>
                          <w:tcPr>
                            <w:tcW w:w="1158"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2694" w:name="__UnoMark__18480_118561941"/>
                            <w:bookmarkEnd w:id="2694"/>
                            <w:r>
                              <w:rPr>
                                <w:color w:val="00000A"/>
                                <w:sz w:val="18"/>
                                <w:szCs w:val="18"/>
                              </w:rPr>
                              <w:t>Kolmogorov-Smirnov</w:t>
                            </w:r>
                            <w:r>
                              <w:rPr>
                                <w:color w:val="00000A"/>
                                <w:sz w:val="18"/>
                                <w:szCs w:val="18"/>
                                <w:vertAlign w:val="superscript"/>
                              </w:rPr>
                              <w:t>a</w:t>
                            </w:r>
                            <w:bookmarkStart w:id="2695" w:name="__UnoMark__18481_118561941"/>
                            <w:bookmarkEnd w:id="2695"/>
                            <w:r>
                              <w:rPr>
                                <w:color w:val="00000A"/>
                                <w:sz w:val="18"/>
                                <w:szCs w:val="18"/>
                              </w:rPr>
                              <w:t xml:space="preserve"> Sig.</w:t>
                            </w:r>
                          </w:p>
                        </w:tc>
                        <w:tc>
                          <w:tcPr>
                            <w:tcW w:w="815"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2696" w:name="__UnoMark__18483_118561941"/>
                            <w:bookmarkStart w:id="2697" w:name="__UnoMark__18482_118561941"/>
                            <w:bookmarkEnd w:id="2696"/>
                            <w:bookmarkEnd w:id="2697"/>
                            <w:r>
                              <w:rPr>
                                <w:color w:val="00000A"/>
                                <w:sz w:val="18"/>
                                <w:szCs w:val="18"/>
                              </w:rPr>
                              <w:t>Shapiro-Wilk Sig.</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698" w:name="__UnoMark__18485_118561941"/>
                            <w:bookmarkStart w:id="2699" w:name="__UnoMark__18484_118561941"/>
                            <w:bookmarkEnd w:id="2698"/>
                            <w:bookmarkEnd w:id="2699"/>
                            <w:r>
                              <w:rPr>
                                <w:color w:val="00000A"/>
                                <w:sz w:val="18"/>
                                <w:szCs w:val="18"/>
                              </w:rPr>
                              <w:t>RST_LDS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700" w:name="__UnoMark__18486_118561941"/>
                            <w:bookmarkEnd w:id="2700"/>
                            <w:r>
                              <w:rPr>
                                <w:color w:val="00000A"/>
                                <w:sz w:val="18"/>
                                <w:szCs w:val="18"/>
                              </w:rPr>
                              <w:t>.200</w:t>
                            </w:r>
                            <w:bookmarkStart w:id="2701" w:name="__UnoMark__18487_118561941"/>
                            <w:bookmarkEnd w:id="2701"/>
                            <w:r>
                              <w:rPr>
                                <w:color w:val="00000A"/>
                                <w:sz w:val="18"/>
                                <w:szCs w:val="18"/>
                                <w:vertAlign w:val="superscript"/>
                              </w:rPr>
                              <w:t>*</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702" w:name="__UnoMark__18489_118561941"/>
                            <w:bookmarkStart w:id="2703" w:name="__UnoMark__18488_118561941"/>
                            <w:bookmarkEnd w:id="2702"/>
                            <w:bookmarkEnd w:id="2703"/>
                            <w:r>
                              <w:rPr>
                                <w:color w:val="00000A"/>
                                <w:sz w:val="18"/>
                                <w:szCs w:val="18"/>
                              </w:rPr>
                              <w:t>.688</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704" w:name="__UnoMark__18491_118561941"/>
                            <w:bookmarkStart w:id="2705" w:name="__UnoMark__18490_118561941"/>
                            <w:bookmarkEnd w:id="2704"/>
                            <w:bookmarkEnd w:id="2705"/>
                            <w:r>
                              <w:rPr>
                                <w:color w:val="00000A"/>
                                <w:sz w:val="18"/>
                                <w:szCs w:val="18"/>
                              </w:rPr>
                              <w:t>LPA_LDS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706" w:name="__UnoMark__18492_118561941"/>
                            <w:bookmarkEnd w:id="2706"/>
                            <w:r>
                              <w:rPr>
                                <w:color w:val="00000A"/>
                                <w:sz w:val="18"/>
                                <w:szCs w:val="18"/>
                              </w:rPr>
                              <w:t>.200</w:t>
                            </w:r>
                            <w:bookmarkStart w:id="2707" w:name="__UnoMark__18493_118561941"/>
                            <w:bookmarkEnd w:id="2707"/>
                            <w:r>
                              <w:rPr>
                                <w:color w:val="00000A"/>
                                <w:sz w:val="18"/>
                                <w:szCs w:val="18"/>
                                <w:vertAlign w:val="superscript"/>
                              </w:rPr>
                              <w:t>*</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708" w:name="__UnoMark__18495_118561941"/>
                            <w:bookmarkStart w:id="2709" w:name="__UnoMark__18494_118561941"/>
                            <w:bookmarkEnd w:id="2708"/>
                            <w:bookmarkEnd w:id="2709"/>
                            <w:r>
                              <w:rPr>
                                <w:color w:val="00000A"/>
                                <w:sz w:val="18"/>
                                <w:szCs w:val="18"/>
                              </w:rPr>
                              <w:t>.664</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710" w:name="__UnoMark__18497_118561941"/>
                            <w:bookmarkStart w:id="2711" w:name="__UnoMark__18496_118561941"/>
                            <w:bookmarkEnd w:id="2710"/>
                            <w:bookmarkEnd w:id="2711"/>
                            <w:r>
                              <w:rPr>
                                <w:color w:val="00000A"/>
                                <w:sz w:val="18"/>
                                <w:szCs w:val="18"/>
                              </w:rPr>
                              <w:t>Apriori_LDS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712" w:name="__UnoMark__18498_118561941"/>
                            <w:bookmarkEnd w:id="2712"/>
                            <w:r>
                              <w:rPr>
                                <w:color w:val="00000A"/>
                                <w:sz w:val="18"/>
                                <w:szCs w:val="18"/>
                              </w:rPr>
                              <w:t>.200</w:t>
                            </w:r>
                            <w:bookmarkStart w:id="2713" w:name="__UnoMark__18499_118561941"/>
                            <w:bookmarkEnd w:id="2713"/>
                            <w:r>
                              <w:rPr>
                                <w:color w:val="00000A"/>
                                <w:sz w:val="18"/>
                                <w:szCs w:val="18"/>
                                <w:vertAlign w:val="superscript"/>
                              </w:rPr>
                              <w:t>*</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714" w:name="__UnoMark__18501_118561941"/>
                            <w:bookmarkStart w:id="2715" w:name="__UnoMark__18500_118561941"/>
                            <w:bookmarkEnd w:id="2714"/>
                            <w:bookmarkEnd w:id="2715"/>
                            <w:r>
                              <w:rPr>
                                <w:color w:val="00000A"/>
                                <w:sz w:val="18"/>
                                <w:szCs w:val="18"/>
                              </w:rPr>
                              <w:t>.120</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716" w:name="__UnoMark__18503_118561941"/>
                            <w:bookmarkStart w:id="2717" w:name="__UnoMark__18502_118561941"/>
                            <w:bookmarkEnd w:id="2716"/>
                            <w:bookmarkEnd w:id="2717"/>
                            <w:r>
                              <w:rPr>
                                <w:color w:val="00000A"/>
                                <w:sz w:val="18"/>
                                <w:szCs w:val="18"/>
                              </w:rPr>
                              <w:t>ACO_LDS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718" w:name="__UnoMark__18505_118561941"/>
                            <w:bookmarkStart w:id="2719" w:name="__UnoMark__18504_118561941"/>
                            <w:bookmarkEnd w:id="2718"/>
                            <w:bookmarkEnd w:id="2719"/>
                            <w:r>
                              <w:rPr>
                                <w:color w:val="00000A"/>
                                <w:sz w:val="18"/>
                                <w:szCs w:val="18"/>
                              </w:rPr>
                              <w:t>.002</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720" w:name="__UnoMark__18507_118561941"/>
                            <w:bookmarkStart w:id="2721" w:name="__UnoMark__18506_118561941"/>
                            <w:bookmarkEnd w:id="2720"/>
                            <w:bookmarkEnd w:id="2721"/>
                            <w:r>
                              <w:rPr>
                                <w:color w:val="00000A"/>
                                <w:sz w:val="18"/>
                                <w:szCs w:val="18"/>
                              </w:rPr>
                              <w:t>.002</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722" w:name="__UnoMark__18509_118561941"/>
                            <w:bookmarkStart w:id="2723" w:name="__UnoMark__18508_118561941"/>
                            <w:bookmarkEnd w:id="2722"/>
                            <w:bookmarkEnd w:id="2723"/>
                            <w:r>
                              <w:rPr>
                                <w:color w:val="00000A"/>
                                <w:sz w:val="18"/>
                                <w:szCs w:val="18"/>
                              </w:rPr>
                              <w:t>GA_LDS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724" w:name="__UnoMark__18511_118561941"/>
                            <w:bookmarkStart w:id="2725" w:name="__UnoMark__18510_118561941"/>
                            <w:bookmarkEnd w:id="2724"/>
                            <w:bookmarkEnd w:id="2725"/>
                            <w:r>
                              <w:rPr>
                                <w:color w:val="00000A"/>
                                <w:sz w:val="18"/>
                                <w:szCs w:val="18"/>
                              </w:rPr>
                              <w:t>.037</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726" w:name="__UnoMark__18513_118561941"/>
                            <w:bookmarkStart w:id="2727" w:name="__UnoMark__18512_118561941"/>
                            <w:bookmarkEnd w:id="2726"/>
                            <w:bookmarkEnd w:id="2727"/>
                            <w:r>
                              <w:rPr>
                                <w:color w:val="00000A"/>
                                <w:sz w:val="18"/>
                                <w:szCs w:val="18"/>
                              </w:rPr>
                              <w:t>.001</w:t>
                            </w:r>
                          </w:p>
                        </w:tc>
                      </w:tr>
                      <w:tr>
                        <w:trPr>
                          <w:cantSplit w:val="true"/>
                        </w:trPr>
                        <w:tc>
                          <w:tcPr>
                            <w:tcW w:w="1340"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728" w:name="__UnoMark__18515_118561941"/>
                            <w:bookmarkStart w:id="2729" w:name="__UnoMark__18514_118561941"/>
                            <w:bookmarkEnd w:id="2728"/>
                            <w:bookmarkEnd w:id="2729"/>
                            <w:r>
                              <w:rPr>
                                <w:color w:val="00000A"/>
                                <w:sz w:val="18"/>
                                <w:szCs w:val="18"/>
                              </w:rPr>
                              <w:t>PCA_LDS</w:t>
                            </w:r>
                          </w:p>
                        </w:tc>
                        <w:tc>
                          <w:tcPr>
                            <w:tcW w:w="115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730" w:name="__UnoMark__18516_118561941"/>
                            <w:bookmarkEnd w:id="2730"/>
                            <w:r>
                              <w:rPr>
                                <w:color w:val="00000A"/>
                                <w:sz w:val="18"/>
                                <w:szCs w:val="18"/>
                              </w:rPr>
                              <w:t>.200</w:t>
                            </w:r>
                            <w:bookmarkStart w:id="2731" w:name="__UnoMark__18517_118561941"/>
                            <w:bookmarkEnd w:id="2731"/>
                            <w:r>
                              <w:rPr>
                                <w:color w:val="00000A"/>
                                <w:sz w:val="18"/>
                                <w:szCs w:val="18"/>
                                <w:vertAlign w:val="superscript"/>
                              </w:rPr>
                              <w:t>*</w:t>
                            </w:r>
                          </w:p>
                        </w:tc>
                        <w:tc>
                          <w:tcPr>
                            <w:tcW w:w="815"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732" w:name="__UnoMark__18518_118561941"/>
                            <w:bookmarkEnd w:id="2732"/>
                            <w:r>
                              <w:rPr>
                                <w:color w:val="00000A"/>
                                <w:sz w:val="18"/>
                                <w:szCs w:val="18"/>
                              </w:rPr>
                              <w:t>.243</w:t>
                            </w:r>
                          </w:p>
                        </w:tc>
                      </w:tr>
                    </w:tbl>
                    <w:p>
                      <w:pPr>
                        <w:pStyle w:val="FrameContents"/>
                        <w:spacing w:before="80" w:after="60"/>
                        <w:rPr>
                          <w:color w:val="000000"/>
                        </w:rPr>
                      </w:pPr>
                      <w:r>
                        <w:rPr>
                          <w:color w:val="000000"/>
                        </w:rPr>
                      </w:r>
                    </w:p>
                  </w:txbxContent>
                </v:textbox>
              </v:rect>
            </w:pict>
          </mc:Fallback>
        </mc:AlternateContent>
      </w:r>
    </w:p>
    <w:p>
      <w:pPr>
        <w:pStyle w:val="Caption1"/>
        <w:keepNext/>
        <w:rPr/>
      </w:pPr>
      <w:r>
        <w:rPr/>
      </w:r>
    </w:p>
    <w:p>
      <w:pPr>
        <w:pStyle w:val="Normal"/>
        <w:rPr>
          <w:lang w:val="en-US"/>
        </w:rPr>
      </w:pPr>
      <w:r>
        <w:rPr>
          <w:lang w:val="en-US"/>
        </w:rPr>
        <mc:AlternateContent>
          <mc:Choice Requires="wps">
            <w:drawing>
              <wp:anchor behindDoc="0" distT="0" distB="0" distL="114300" distR="114300" simplePos="0" locked="0" layoutInCell="1" allowOverlap="1" relativeHeight="48">
                <wp:simplePos x="0" y="0"/>
                <wp:positionH relativeFrom="margin">
                  <wp:align>center</wp:align>
                </wp:positionH>
                <wp:positionV relativeFrom="paragraph">
                  <wp:posOffset>-83185</wp:posOffset>
                </wp:positionV>
                <wp:extent cx="5701665" cy="2640330"/>
                <wp:effectExtent l="0" t="0" r="0" b="0"/>
                <wp:wrapSquare wrapText="bothSides"/>
                <wp:docPr id="81" name="Frame28"/>
                <a:graphic xmlns:a="http://schemas.openxmlformats.org/drawingml/2006/main">
                  <a:graphicData uri="http://schemas.microsoft.com/office/word/2010/wordprocessingShape">
                    <wps:wsp>
                      <wps:cNvSpPr/>
                      <wps:spPr>
                        <a:xfrm>
                          <a:off x="0" y="0"/>
                          <a:ext cx="5700960" cy="2639520"/>
                        </a:xfrm>
                        <a:prstGeom prst="rect">
                          <a:avLst/>
                        </a:prstGeom>
                        <a:noFill/>
                        <a:ln>
                          <a:noFill/>
                        </a:ln>
                      </wps:spPr>
                      <wps:style>
                        <a:lnRef idx="0"/>
                        <a:fillRef idx="0"/>
                        <a:effectRef idx="0"/>
                        <a:fontRef idx="minor"/>
                      </wps:style>
                      <wps:txbx>
                        <w:txbxContent>
                          <w:tbl>
                            <w:tblPr>
                              <w:tblW w:w="5000" w:type="pct"/>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4271"/>
                              <w:gridCol w:w="1372"/>
                              <w:gridCol w:w="3337"/>
                            </w:tblGrid>
                            <w:tr>
                              <w:trPr>
                                <w:cantSplit w:val="true"/>
                              </w:trPr>
                              <w:tc>
                                <w:tcPr>
                                  <w:tcW w:w="427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733" w:name="__UnoMark__18595_118561941"/>
                                  <w:bookmarkEnd w:id="2733"/>
                                  <w:r>
                                    <w:rPr>
                                      <w:color w:val="00000A"/>
                                      <w:sz w:val="18"/>
                                      <w:szCs w:val="18"/>
                                      <w:lang w:val="en-US"/>
                                    </w:rPr>
                                    <w:t>Algoritmos</w:t>
                                  </w:r>
                                </w:p>
                              </w:tc>
                              <w:tc>
                                <w:tcPr>
                                  <w:tcW w:w="137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734" w:name="__UnoMark__18597_118561941"/>
                                  <w:bookmarkStart w:id="2735" w:name="__UnoMark__18596_118561941"/>
                                  <w:bookmarkEnd w:id="2734"/>
                                  <w:bookmarkEnd w:id="2735"/>
                                  <w:r>
                                    <w:rPr>
                                      <w:color w:val="00000A"/>
                                      <w:sz w:val="18"/>
                                      <w:szCs w:val="18"/>
                                      <w:lang w:val="en-US"/>
                                    </w:rPr>
                                    <w:t>p-value</w:t>
                                  </w:r>
                                </w:p>
                              </w:tc>
                              <w:tc>
                                <w:tcPr>
                                  <w:tcW w:w="333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736" w:name="__UnoMark__18599_118561941"/>
                                  <w:bookmarkStart w:id="2737" w:name="__UnoMark__18598_118561941"/>
                                  <w:bookmarkEnd w:id="2736"/>
                                  <w:bookmarkEnd w:id="2737"/>
                                  <w:r>
                                    <w:rPr>
                                      <w:color w:val="00000A"/>
                                      <w:sz w:val="18"/>
                                      <w:szCs w:val="18"/>
                                      <w:lang w:val="en-US"/>
                                    </w:rPr>
                                    <w:t>Resultados</w:t>
                                  </w:r>
                                </w:p>
                              </w:tc>
                            </w:tr>
                            <w:tr>
                              <w:trPr>
                                <w:trHeight w:val="801" w:hRule="atLeast"/>
                                <w:cantSplit w:val="true"/>
                              </w:trPr>
                              <w:tc>
                                <w:tcPr>
                                  <w:tcW w:w="427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738" w:name="__UnoMark__18600_118561941"/>
                                  <w:bookmarkEnd w:id="2738"/>
                                  <w:r>
                                    <w:rPr>
                                      <w:i/>
                                      <w:color w:val="00000A"/>
                                      <w:sz w:val="18"/>
                                      <w:szCs w:val="18"/>
                                    </w:rPr>
                                    <w:t xml:space="preserve">Wilcoxon test </w:t>
                                  </w:r>
                                </w:p>
                                <w:p>
                                  <w:pPr>
                                    <w:pStyle w:val="FrameContents"/>
                                    <w:spacing w:lineRule="auto" w:line="240" w:before="0" w:after="0"/>
                                    <w:jc w:val="left"/>
                                    <w:rPr>
                                      <w:color w:val="00000A"/>
                                    </w:rPr>
                                  </w:pPr>
                                  <w:bookmarkStart w:id="2739" w:name="__UnoMark__18601_118561941"/>
                                  <w:bookmarkEnd w:id="2739"/>
                                  <w:r>
                                    <w:rPr>
                                      <w:color w:val="00000A"/>
                                      <w:sz w:val="18"/>
                                      <w:szCs w:val="18"/>
                                    </w:rPr>
                                    <w:t>PCA_LDS (grupo A) - Apriori_LDS (grupo B)</w:t>
                                  </w:r>
                                </w:p>
                              </w:tc>
                              <w:tc>
                                <w:tcPr>
                                  <w:tcW w:w="1372"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color w:val="00000A"/>
                                    </w:rPr>
                                  </w:pPr>
                                  <w:bookmarkStart w:id="2740" w:name="__UnoMark__18603_118561941"/>
                                  <w:bookmarkStart w:id="2741" w:name="__UnoMark__18602_118561941"/>
                                  <w:bookmarkEnd w:id="2740"/>
                                  <w:bookmarkEnd w:id="2741"/>
                                  <w:r>
                                    <w:rPr>
                                      <w:color w:val="00000A"/>
                                      <w:sz w:val="18"/>
                                      <w:szCs w:val="18"/>
                                      <w:lang w:val="en-US"/>
                                    </w:rPr>
                                    <w:t>0.026</w:t>
                                  </w:r>
                                </w:p>
                              </w:tc>
                              <w:tc>
                                <w:tcPr>
                                  <w:tcW w:w="333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742" w:name="__UnoMark__18605_118561941"/>
                                  <w:bookmarkStart w:id="2743" w:name="__UnoMark__18604_118561941"/>
                                  <w:bookmarkEnd w:id="2742"/>
                                  <w:bookmarkEnd w:id="2743"/>
                                  <w:r>
                                    <w:rPr>
                                      <w:color w:val="00000A"/>
                                      <w:sz w:val="18"/>
                                      <w:szCs w:val="18"/>
                                      <w:lang w:val="en-US"/>
                                    </w:rPr>
                                    <w:t>Hay diferencias significativas</w:t>
                                  </w:r>
                                </w:p>
                              </w:tc>
                            </w:tr>
                            <w:tr>
                              <w:trPr>
                                <w:trHeight w:val="702" w:hRule="atLeast"/>
                                <w:cantSplit w:val="true"/>
                              </w:trPr>
                              <w:tc>
                                <w:tcPr>
                                  <w:tcW w:w="427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744" w:name="__UnoMark__18606_118561941"/>
                                  <w:bookmarkEnd w:id="2744"/>
                                  <w:r>
                                    <w:rPr>
                                      <w:i/>
                                      <w:color w:val="00000A"/>
                                      <w:sz w:val="18"/>
                                      <w:szCs w:val="18"/>
                                      <w:lang w:val="en-US"/>
                                    </w:rPr>
                                    <w:t xml:space="preserve">Wilcoxon test </w:t>
                                  </w:r>
                                </w:p>
                                <w:p>
                                  <w:pPr>
                                    <w:pStyle w:val="FrameContents"/>
                                    <w:spacing w:lineRule="auto" w:line="240" w:before="0" w:after="0"/>
                                    <w:jc w:val="left"/>
                                    <w:rPr>
                                      <w:color w:val="00000A"/>
                                    </w:rPr>
                                  </w:pPr>
                                  <w:r>
                                    <w:rPr>
                                      <w:color w:val="00000A"/>
                                      <w:sz w:val="18"/>
                                      <w:szCs w:val="18"/>
                                      <w:lang w:val="en-US"/>
                                    </w:rPr>
                                    <w:t xml:space="preserve">Apriori_LDS (grupo B) – </w:t>
                                  </w:r>
                                </w:p>
                                <w:p>
                                  <w:pPr>
                                    <w:pStyle w:val="FrameContents"/>
                                    <w:spacing w:lineRule="auto" w:line="240" w:before="0" w:after="0"/>
                                    <w:jc w:val="left"/>
                                    <w:rPr>
                                      <w:color w:val="00000A"/>
                                    </w:rPr>
                                  </w:pPr>
                                  <w:bookmarkStart w:id="2745" w:name="__UnoMark__18607_118561941"/>
                                  <w:bookmarkEnd w:id="2745"/>
                                  <w:r>
                                    <w:rPr>
                                      <w:color w:val="00000A"/>
                                      <w:sz w:val="18"/>
                                      <w:szCs w:val="18"/>
                                      <w:lang w:val="en-US"/>
                                    </w:rPr>
                                    <w:t>RST_LDS (grupo C)</w:t>
                                  </w:r>
                                </w:p>
                              </w:tc>
                              <w:tc>
                                <w:tcPr>
                                  <w:tcW w:w="1372"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color w:val="00000A"/>
                                    </w:rPr>
                                  </w:pPr>
                                  <w:bookmarkStart w:id="2746" w:name="__UnoMark__18609_118561941"/>
                                  <w:bookmarkStart w:id="2747" w:name="__UnoMark__18608_118561941"/>
                                  <w:bookmarkEnd w:id="2746"/>
                                  <w:bookmarkEnd w:id="2747"/>
                                  <w:r>
                                    <w:rPr>
                                      <w:color w:val="00000A"/>
                                      <w:sz w:val="18"/>
                                      <w:szCs w:val="18"/>
                                      <w:lang w:val="en-US"/>
                                    </w:rPr>
                                    <w:t>0.002</w:t>
                                  </w:r>
                                </w:p>
                              </w:tc>
                              <w:tc>
                                <w:tcPr>
                                  <w:tcW w:w="333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748" w:name="__UnoMark__18611_118561941"/>
                                  <w:bookmarkStart w:id="2749" w:name="__UnoMark__18610_118561941"/>
                                  <w:bookmarkEnd w:id="2748"/>
                                  <w:bookmarkEnd w:id="2749"/>
                                  <w:r>
                                    <w:rPr>
                                      <w:color w:val="00000A"/>
                                      <w:sz w:val="18"/>
                                      <w:szCs w:val="18"/>
                                      <w:lang w:val="en-US"/>
                                    </w:rPr>
                                    <w:t>Hay diferencias significativas</w:t>
                                  </w:r>
                                </w:p>
                              </w:tc>
                            </w:tr>
                            <w:tr>
                              <w:trPr>
                                <w:trHeight w:val="702" w:hRule="atLeast"/>
                                <w:cantSplit w:val="true"/>
                              </w:trPr>
                              <w:tc>
                                <w:tcPr>
                                  <w:tcW w:w="427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750" w:name="__UnoMark__18612_118561941"/>
                                  <w:bookmarkEnd w:id="2750"/>
                                  <w:r>
                                    <w:rPr>
                                      <w:i/>
                                      <w:color w:val="00000A"/>
                                      <w:sz w:val="18"/>
                                      <w:szCs w:val="18"/>
                                      <w:lang w:val="en-US"/>
                                    </w:rPr>
                                    <w:t>Wilcoxon test</w:t>
                                  </w:r>
                                  <w:r>
                                    <w:rPr>
                                      <w:color w:val="00000A"/>
                                      <w:sz w:val="18"/>
                                      <w:szCs w:val="18"/>
                                      <w:lang w:val="en-US"/>
                                    </w:rPr>
                                    <w:t xml:space="preserve"> (grupo C)</w:t>
                                  </w:r>
                                </w:p>
                                <w:p>
                                  <w:pPr>
                                    <w:pStyle w:val="FrameContents"/>
                                    <w:spacing w:lineRule="auto" w:line="240" w:before="0" w:after="0"/>
                                    <w:jc w:val="left"/>
                                    <w:rPr>
                                      <w:color w:val="00000A"/>
                                    </w:rPr>
                                  </w:pPr>
                                  <w:bookmarkStart w:id="2751" w:name="__UnoMark__18613_118561941"/>
                                  <w:bookmarkEnd w:id="2751"/>
                                  <w:r>
                                    <w:rPr>
                                      <w:color w:val="00000A"/>
                                      <w:sz w:val="18"/>
                                      <w:szCs w:val="18"/>
                                      <w:lang w:val="en-US"/>
                                    </w:rPr>
                                    <w:t xml:space="preserve">RST_LDS – ACO_LDS </w:t>
                                  </w:r>
                                </w:p>
                              </w:tc>
                              <w:tc>
                                <w:tcPr>
                                  <w:tcW w:w="137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752" w:name="__UnoMark__18615_118561941"/>
                                  <w:bookmarkStart w:id="2753" w:name="__UnoMark__18614_118561941"/>
                                  <w:bookmarkEnd w:id="2752"/>
                                  <w:bookmarkEnd w:id="2753"/>
                                  <w:r>
                                    <w:rPr>
                                      <w:color w:val="00000A"/>
                                      <w:sz w:val="18"/>
                                      <w:szCs w:val="18"/>
                                      <w:lang w:val="en-US"/>
                                    </w:rPr>
                                    <w:t>0.182</w:t>
                                  </w:r>
                                </w:p>
                              </w:tc>
                              <w:tc>
                                <w:tcPr>
                                  <w:tcW w:w="333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754" w:name="__UnoMark__18617_118561941"/>
                                  <w:bookmarkStart w:id="2755" w:name="__UnoMark__18616_118561941"/>
                                  <w:bookmarkEnd w:id="2754"/>
                                  <w:bookmarkEnd w:id="2755"/>
                                  <w:r>
                                    <w:rPr>
                                      <w:color w:val="00000A"/>
                                      <w:sz w:val="18"/>
                                      <w:szCs w:val="18"/>
                                      <w:lang w:val="en-US"/>
                                    </w:rPr>
                                    <w:t>No hay diferencias significativas</w:t>
                                  </w:r>
                                </w:p>
                              </w:tc>
                            </w:tr>
                            <w:tr>
                              <w:trPr>
                                <w:trHeight w:val="702" w:hRule="atLeast"/>
                                <w:cantSplit w:val="true"/>
                              </w:trPr>
                              <w:tc>
                                <w:tcPr>
                                  <w:tcW w:w="427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756" w:name="__UnoMark__18618_118561941"/>
                                  <w:bookmarkEnd w:id="2756"/>
                                  <w:r>
                                    <w:rPr>
                                      <w:i/>
                                      <w:color w:val="00000A"/>
                                      <w:sz w:val="18"/>
                                      <w:szCs w:val="18"/>
                                      <w:lang w:val="en-US"/>
                                    </w:rPr>
                                    <w:t xml:space="preserve">Wilcoxon test </w:t>
                                  </w:r>
                                </w:p>
                                <w:p>
                                  <w:pPr>
                                    <w:pStyle w:val="FrameContents"/>
                                    <w:spacing w:lineRule="auto" w:line="240" w:before="0" w:after="0"/>
                                    <w:jc w:val="left"/>
                                    <w:rPr>
                                      <w:color w:val="00000A"/>
                                    </w:rPr>
                                  </w:pPr>
                                  <w:r>
                                    <w:rPr>
                                      <w:color w:val="00000A"/>
                                      <w:sz w:val="18"/>
                                      <w:szCs w:val="18"/>
                                      <w:lang w:val="en-US"/>
                                    </w:rPr>
                                    <w:t xml:space="preserve">RST_LDS (grupo C) – </w:t>
                                  </w:r>
                                </w:p>
                                <w:p>
                                  <w:pPr>
                                    <w:pStyle w:val="FrameContents"/>
                                    <w:spacing w:lineRule="auto" w:line="240" w:before="0" w:after="0"/>
                                    <w:jc w:val="left"/>
                                    <w:rPr>
                                      <w:color w:val="00000A"/>
                                    </w:rPr>
                                  </w:pPr>
                                  <w:bookmarkStart w:id="2757" w:name="__UnoMark__18619_118561941"/>
                                  <w:bookmarkEnd w:id="2757"/>
                                  <w:r>
                                    <w:rPr>
                                      <w:color w:val="00000A"/>
                                      <w:sz w:val="18"/>
                                      <w:szCs w:val="18"/>
                                      <w:lang w:val="en-US"/>
                                    </w:rPr>
                                    <w:t>LPA_LDS (grupo D)</w:t>
                                  </w:r>
                                </w:p>
                              </w:tc>
                              <w:tc>
                                <w:tcPr>
                                  <w:tcW w:w="1372"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color w:val="00000A"/>
                                    </w:rPr>
                                  </w:pPr>
                                  <w:bookmarkStart w:id="2758" w:name="__UnoMark__18621_118561941"/>
                                  <w:bookmarkStart w:id="2759" w:name="__UnoMark__18620_118561941"/>
                                  <w:bookmarkEnd w:id="2758"/>
                                  <w:bookmarkEnd w:id="2759"/>
                                  <w:r>
                                    <w:rPr>
                                      <w:color w:val="00000A"/>
                                      <w:sz w:val="18"/>
                                      <w:szCs w:val="18"/>
                                      <w:lang w:val="en-US"/>
                                    </w:rPr>
                                    <w:t>0.002</w:t>
                                  </w:r>
                                </w:p>
                              </w:tc>
                              <w:tc>
                                <w:tcPr>
                                  <w:tcW w:w="333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760" w:name="__UnoMark__18623_118561941"/>
                                  <w:bookmarkStart w:id="2761" w:name="__UnoMark__18622_118561941"/>
                                  <w:bookmarkEnd w:id="2760"/>
                                  <w:bookmarkEnd w:id="2761"/>
                                  <w:r>
                                    <w:rPr>
                                      <w:color w:val="00000A"/>
                                      <w:sz w:val="18"/>
                                      <w:szCs w:val="18"/>
                                      <w:lang w:val="en-US"/>
                                    </w:rPr>
                                    <w:t>Hay diferencias significativas</w:t>
                                  </w:r>
                                </w:p>
                              </w:tc>
                            </w:tr>
                            <w:tr>
                              <w:trPr>
                                <w:trHeight w:val="702" w:hRule="atLeast"/>
                                <w:cantSplit w:val="true"/>
                              </w:trPr>
                              <w:tc>
                                <w:tcPr>
                                  <w:tcW w:w="427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762" w:name="__UnoMark__18624_118561941"/>
                                  <w:bookmarkEnd w:id="2762"/>
                                  <w:r>
                                    <w:rPr>
                                      <w:i/>
                                      <w:color w:val="00000A"/>
                                      <w:sz w:val="18"/>
                                      <w:szCs w:val="18"/>
                                      <w:lang w:val="en-US"/>
                                    </w:rPr>
                                    <w:t>Wilcoxon test</w:t>
                                  </w:r>
                                  <w:r>
                                    <w:rPr>
                                      <w:color w:val="00000A"/>
                                      <w:sz w:val="18"/>
                                      <w:szCs w:val="18"/>
                                      <w:lang w:val="en-US"/>
                                    </w:rPr>
                                    <w:t xml:space="preserve"> (grupo D)</w:t>
                                  </w:r>
                                </w:p>
                                <w:p>
                                  <w:pPr>
                                    <w:pStyle w:val="FrameContents"/>
                                    <w:spacing w:lineRule="auto" w:line="240" w:before="0" w:after="0"/>
                                    <w:jc w:val="left"/>
                                    <w:rPr>
                                      <w:color w:val="00000A"/>
                                    </w:rPr>
                                  </w:pPr>
                                  <w:bookmarkStart w:id="2763" w:name="__UnoMark__18625_118561941"/>
                                  <w:bookmarkEnd w:id="2763"/>
                                  <w:r>
                                    <w:rPr>
                                      <w:color w:val="00000A"/>
                                      <w:sz w:val="18"/>
                                      <w:szCs w:val="18"/>
                                      <w:lang w:val="en-US"/>
                                    </w:rPr>
                                    <w:t xml:space="preserve">LPA_LDS – GA_LDS </w:t>
                                  </w:r>
                                </w:p>
                              </w:tc>
                              <w:tc>
                                <w:tcPr>
                                  <w:tcW w:w="137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764" w:name="__UnoMark__18627_118561941"/>
                                  <w:bookmarkStart w:id="2765" w:name="__UnoMark__18626_118561941"/>
                                  <w:bookmarkEnd w:id="2764"/>
                                  <w:bookmarkEnd w:id="2765"/>
                                  <w:r>
                                    <w:rPr>
                                      <w:color w:val="00000A"/>
                                      <w:sz w:val="18"/>
                                      <w:szCs w:val="18"/>
                                      <w:lang w:val="en-US"/>
                                    </w:rPr>
                                    <w:t>0.169</w:t>
                                  </w:r>
                                </w:p>
                              </w:tc>
                              <w:tc>
                                <w:tcPr>
                                  <w:tcW w:w="333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766" w:name="__UnoMark__18628_118561941"/>
                                  <w:bookmarkEnd w:id="2766"/>
                                  <w:r>
                                    <w:rPr>
                                      <w:color w:val="00000A"/>
                                      <w:sz w:val="18"/>
                                      <w:szCs w:val="18"/>
                                      <w:lang w:val="en-US"/>
                                    </w:rPr>
                                    <w:t>No hay diferencias significativas</w:t>
                                  </w:r>
                                </w:p>
                              </w:tc>
                            </w:tr>
                          </w:tbl>
                          <w:p>
                            <w:pPr>
                              <w:pStyle w:val="FrameContents"/>
                              <w:spacing w:before="80" w:after="60"/>
                              <w:rPr>
                                <w:color w:val="000000"/>
                              </w:rPr>
                            </w:pPr>
                            <w:r>
                              <w:rPr>
                                <w:color w:val="000000"/>
                              </w:rPr>
                            </w:r>
                          </w:p>
                        </w:txbxContent>
                      </wps:txbx>
                      <wps:bodyPr lIns="0" rIns="0" tIns="0" bIns="0">
                        <a:spAutoFit/>
                      </wps:bodyPr>
                    </wps:wsp>
                  </a:graphicData>
                </a:graphic>
                <wp14:sizeRelH relativeFrom="margin">
                  <wp14:pctWidth>100000</wp14:pctWidth>
                </wp14:sizeRelH>
              </wp:anchor>
            </w:drawing>
          </mc:Choice>
          <mc:Fallback>
            <w:pict>
              <v:rect id="shape_0" ID="Frame28" stroked="f" style="position:absolute;margin-left:0pt;margin-top:-6.55pt;width:448.85pt;height:207.8pt;mso-position-horizontal:center;mso-position-horizontal-relative:margin">
                <w10:wrap type="none"/>
                <v:fill o:detectmouseclick="t" on="false"/>
                <v:stroke color="#3465a4" joinstyle="round" endcap="flat"/>
                <v:textbox>
                  <w:txbxContent>
                    <w:tbl>
                      <w:tblPr>
                        <w:tblW w:w="5000" w:type="pct"/>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4271"/>
                        <w:gridCol w:w="1372"/>
                        <w:gridCol w:w="3337"/>
                      </w:tblGrid>
                      <w:tr>
                        <w:trPr>
                          <w:cantSplit w:val="true"/>
                        </w:trPr>
                        <w:tc>
                          <w:tcPr>
                            <w:tcW w:w="427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767" w:name="__UnoMark__18595_118561941"/>
                            <w:bookmarkEnd w:id="2767"/>
                            <w:r>
                              <w:rPr>
                                <w:color w:val="00000A"/>
                                <w:sz w:val="18"/>
                                <w:szCs w:val="18"/>
                                <w:lang w:val="en-US"/>
                              </w:rPr>
                              <w:t>Algoritmos</w:t>
                            </w:r>
                          </w:p>
                        </w:tc>
                        <w:tc>
                          <w:tcPr>
                            <w:tcW w:w="137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768" w:name="__UnoMark__18597_118561941"/>
                            <w:bookmarkStart w:id="2769" w:name="__UnoMark__18596_118561941"/>
                            <w:bookmarkEnd w:id="2768"/>
                            <w:bookmarkEnd w:id="2769"/>
                            <w:r>
                              <w:rPr>
                                <w:color w:val="00000A"/>
                                <w:sz w:val="18"/>
                                <w:szCs w:val="18"/>
                                <w:lang w:val="en-US"/>
                              </w:rPr>
                              <w:t>p-value</w:t>
                            </w:r>
                          </w:p>
                        </w:tc>
                        <w:tc>
                          <w:tcPr>
                            <w:tcW w:w="333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770" w:name="__UnoMark__18599_118561941"/>
                            <w:bookmarkStart w:id="2771" w:name="__UnoMark__18598_118561941"/>
                            <w:bookmarkEnd w:id="2770"/>
                            <w:bookmarkEnd w:id="2771"/>
                            <w:r>
                              <w:rPr>
                                <w:color w:val="00000A"/>
                                <w:sz w:val="18"/>
                                <w:szCs w:val="18"/>
                                <w:lang w:val="en-US"/>
                              </w:rPr>
                              <w:t>Resultados</w:t>
                            </w:r>
                          </w:p>
                        </w:tc>
                      </w:tr>
                      <w:tr>
                        <w:trPr>
                          <w:trHeight w:val="801" w:hRule="atLeast"/>
                          <w:cantSplit w:val="true"/>
                        </w:trPr>
                        <w:tc>
                          <w:tcPr>
                            <w:tcW w:w="427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772" w:name="__UnoMark__18600_118561941"/>
                            <w:bookmarkEnd w:id="2772"/>
                            <w:r>
                              <w:rPr>
                                <w:i/>
                                <w:color w:val="00000A"/>
                                <w:sz w:val="18"/>
                                <w:szCs w:val="18"/>
                              </w:rPr>
                              <w:t xml:space="preserve">Wilcoxon test </w:t>
                            </w:r>
                          </w:p>
                          <w:p>
                            <w:pPr>
                              <w:pStyle w:val="FrameContents"/>
                              <w:spacing w:lineRule="auto" w:line="240" w:before="0" w:after="0"/>
                              <w:jc w:val="left"/>
                              <w:rPr>
                                <w:color w:val="00000A"/>
                              </w:rPr>
                            </w:pPr>
                            <w:bookmarkStart w:id="2773" w:name="__UnoMark__18601_118561941"/>
                            <w:bookmarkEnd w:id="2773"/>
                            <w:r>
                              <w:rPr>
                                <w:color w:val="00000A"/>
                                <w:sz w:val="18"/>
                                <w:szCs w:val="18"/>
                              </w:rPr>
                              <w:t>PCA_LDS (grupo A) - Apriori_LDS (grupo B)</w:t>
                            </w:r>
                          </w:p>
                        </w:tc>
                        <w:tc>
                          <w:tcPr>
                            <w:tcW w:w="1372"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color w:val="00000A"/>
                              </w:rPr>
                            </w:pPr>
                            <w:bookmarkStart w:id="2774" w:name="__UnoMark__18603_118561941"/>
                            <w:bookmarkStart w:id="2775" w:name="__UnoMark__18602_118561941"/>
                            <w:bookmarkEnd w:id="2774"/>
                            <w:bookmarkEnd w:id="2775"/>
                            <w:r>
                              <w:rPr>
                                <w:color w:val="00000A"/>
                                <w:sz w:val="18"/>
                                <w:szCs w:val="18"/>
                                <w:lang w:val="en-US"/>
                              </w:rPr>
                              <w:t>0.026</w:t>
                            </w:r>
                          </w:p>
                        </w:tc>
                        <w:tc>
                          <w:tcPr>
                            <w:tcW w:w="333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776" w:name="__UnoMark__18605_118561941"/>
                            <w:bookmarkStart w:id="2777" w:name="__UnoMark__18604_118561941"/>
                            <w:bookmarkEnd w:id="2776"/>
                            <w:bookmarkEnd w:id="2777"/>
                            <w:r>
                              <w:rPr>
                                <w:color w:val="00000A"/>
                                <w:sz w:val="18"/>
                                <w:szCs w:val="18"/>
                                <w:lang w:val="en-US"/>
                              </w:rPr>
                              <w:t>Hay diferencias significativas</w:t>
                            </w:r>
                          </w:p>
                        </w:tc>
                      </w:tr>
                      <w:tr>
                        <w:trPr>
                          <w:trHeight w:val="702" w:hRule="atLeast"/>
                          <w:cantSplit w:val="true"/>
                        </w:trPr>
                        <w:tc>
                          <w:tcPr>
                            <w:tcW w:w="427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778" w:name="__UnoMark__18606_118561941"/>
                            <w:bookmarkEnd w:id="2778"/>
                            <w:r>
                              <w:rPr>
                                <w:i/>
                                <w:color w:val="00000A"/>
                                <w:sz w:val="18"/>
                                <w:szCs w:val="18"/>
                                <w:lang w:val="en-US"/>
                              </w:rPr>
                              <w:t xml:space="preserve">Wilcoxon test </w:t>
                            </w:r>
                          </w:p>
                          <w:p>
                            <w:pPr>
                              <w:pStyle w:val="FrameContents"/>
                              <w:spacing w:lineRule="auto" w:line="240" w:before="0" w:after="0"/>
                              <w:jc w:val="left"/>
                              <w:rPr>
                                <w:color w:val="00000A"/>
                              </w:rPr>
                            </w:pPr>
                            <w:r>
                              <w:rPr>
                                <w:color w:val="00000A"/>
                                <w:sz w:val="18"/>
                                <w:szCs w:val="18"/>
                                <w:lang w:val="en-US"/>
                              </w:rPr>
                              <w:t xml:space="preserve">Apriori_LDS (grupo B) – </w:t>
                            </w:r>
                          </w:p>
                          <w:p>
                            <w:pPr>
                              <w:pStyle w:val="FrameContents"/>
                              <w:spacing w:lineRule="auto" w:line="240" w:before="0" w:after="0"/>
                              <w:jc w:val="left"/>
                              <w:rPr>
                                <w:color w:val="00000A"/>
                              </w:rPr>
                            </w:pPr>
                            <w:bookmarkStart w:id="2779" w:name="__UnoMark__18607_118561941"/>
                            <w:bookmarkEnd w:id="2779"/>
                            <w:r>
                              <w:rPr>
                                <w:color w:val="00000A"/>
                                <w:sz w:val="18"/>
                                <w:szCs w:val="18"/>
                                <w:lang w:val="en-US"/>
                              </w:rPr>
                              <w:t>RST_LDS (grupo C)</w:t>
                            </w:r>
                          </w:p>
                        </w:tc>
                        <w:tc>
                          <w:tcPr>
                            <w:tcW w:w="1372"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color w:val="00000A"/>
                              </w:rPr>
                            </w:pPr>
                            <w:bookmarkStart w:id="2780" w:name="__UnoMark__18609_118561941"/>
                            <w:bookmarkStart w:id="2781" w:name="__UnoMark__18608_118561941"/>
                            <w:bookmarkEnd w:id="2780"/>
                            <w:bookmarkEnd w:id="2781"/>
                            <w:r>
                              <w:rPr>
                                <w:color w:val="00000A"/>
                                <w:sz w:val="18"/>
                                <w:szCs w:val="18"/>
                                <w:lang w:val="en-US"/>
                              </w:rPr>
                              <w:t>0.002</w:t>
                            </w:r>
                          </w:p>
                        </w:tc>
                        <w:tc>
                          <w:tcPr>
                            <w:tcW w:w="333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782" w:name="__UnoMark__18611_118561941"/>
                            <w:bookmarkStart w:id="2783" w:name="__UnoMark__18610_118561941"/>
                            <w:bookmarkEnd w:id="2782"/>
                            <w:bookmarkEnd w:id="2783"/>
                            <w:r>
                              <w:rPr>
                                <w:color w:val="00000A"/>
                                <w:sz w:val="18"/>
                                <w:szCs w:val="18"/>
                                <w:lang w:val="en-US"/>
                              </w:rPr>
                              <w:t>Hay diferencias significativas</w:t>
                            </w:r>
                          </w:p>
                        </w:tc>
                      </w:tr>
                      <w:tr>
                        <w:trPr>
                          <w:trHeight w:val="702" w:hRule="atLeast"/>
                          <w:cantSplit w:val="true"/>
                        </w:trPr>
                        <w:tc>
                          <w:tcPr>
                            <w:tcW w:w="427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784" w:name="__UnoMark__18612_118561941"/>
                            <w:bookmarkEnd w:id="2784"/>
                            <w:r>
                              <w:rPr>
                                <w:i/>
                                <w:color w:val="00000A"/>
                                <w:sz w:val="18"/>
                                <w:szCs w:val="18"/>
                                <w:lang w:val="en-US"/>
                              </w:rPr>
                              <w:t>Wilcoxon test</w:t>
                            </w:r>
                            <w:r>
                              <w:rPr>
                                <w:color w:val="00000A"/>
                                <w:sz w:val="18"/>
                                <w:szCs w:val="18"/>
                                <w:lang w:val="en-US"/>
                              </w:rPr>
                              <w:t xml:space="preserve"> (grupo C)</w:t>
                            </w:r>
                          </w:p>
                          <w:p>
                            <w:pPr>
                              <w:pStyle w:val="FrameContents"/>
                              <w:spacing w:lineRule="auto" w:line="240" w:before="0" w:after="0"/>
                              <w:jc w:val="left"/>
                              <w:rPr>
                                <w:color w:val="00000A"/>
                              </w:rPr>
                            </w:pPr>
                            <w:bookmarkStart w:id="2785" w:name="__UnoMark__18613_118561941"/>
                            <w:bookmarkEnd w:id="2785"/>
                            <w:r>
                              <w:rPr>
                                <w:color w:val="00000A"/>
                                <w:sz w:val="18"/>
                                <w:szCs w:val="18"/>
                                <w:lang w:val="en-US"/>
                              </w:rPr>
                              <w:t xml:space="preserve">RST_LDS – ACO_LDS </w:t>
                            </w:r>
                          </w:p>
                        </w:tc>
                        <w:tc>
                          <w:tcPr>
                            <w:tcW w:w="137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786" w:name="__UnoMark__18615_118561941"/>
                            <w:bookmarkStart w:id="2787" w:name="__UnoMark__18614_118561941"/>
                            <w:bookmarkEnd w:id="2786"/>
                            <w:bookmarkEnd w:id="2787"/>
                            <w:r>
                              <w:rPr>
                                <w:color w:val="00000A"/>
                                <w:sz w:val="18"/>
                                <w:szCs w:val="18"/>
                                <w:lang w:val="en-US"/>
                              </w:rPr>
                              <w:t>0.182</w:t>
                            </w:r>
                          </w:p>
                        </w:tc>
                        <w:tc>
                          <w:tcPr>
                            <w:tcW w:w="333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788" w:name="__UnoMark__18617_118561941"/>
                            <w:bookmarkStart w:id="2789" w:name="__UnoMark__18616_118561941"/>
                            <w:bookmarkEnd w:id="2788"/>
                            <w:bookmarkEnd w:id="2789"/>
                            <w:r>
                              <w:rPr>
                                <w:color w:val="00000A"/>
                                <w:sz w:val="18"/>
                                <w:szCs w:val="18"/>
                                <w:lang w:val="en-US"/>
                              </w:rPr>
                              <w:t>No hay diferencias significativas</w:t>
                            </w:r>
                          </w:p>
                        </w:tc>
                      </w:tr>
                      <w:tr>
                        <w:trPr>
                          <w:trHeight w:val="702" w:hRule="atLeast"/>
                          <w:cantSplit w:val="true"/>
                        </w:trPr>
                        <w:tc>
                          <w:tcPr>
                            <w:tcW w:w="427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790" w:name="__UnoMark__18618_118561941"/>
                            <w:bookmarkEnd w:id="2790"/>
                            <w:r>
                              <w:rPr>
                                <w:i/>
                                <w:color w:val="00000A"/>
                                <w:sz w:val="18"/>
                                <w:szCs w:val="18"/>
                                <w:lang w:val="en-US"/>
                              </w:rPr>
                              <w:t xml:space="preserve">Wilcoxon test </w:t>
                            </w:r>
                          </w:p>
                          <w:p>
                            <w:pPr>
                              <w:pStyle w:val="FrameContents"/>
                              <w:spacing w:lineRule="auto" w:line="240" w:before="0" w:after="0"/>
                              <w:jc w:val="left"/>
                              <w:rPr>
                                <w:color w:val="00000A"/>
                              </w:rPr>
                            </w:pPr>
                            <w:r>
                              <w:rPr>
                                <w:color w:val="00000A"/>
                                <w:sz w:val="18"/>
                                <w:szCs w:val="18"/>
                                <w:lang w:val="en-US"/>
                              </w:rPr>
                              <w:t xml:space="preserve">RST_LDS (grupo C) – </w:t>
                            </w:r>
                          </w:p>
                          <w:p>
                            <w:pPr>
                              <w:pStyle w:val="FrameContents"/>
                              <w:spacing w:lineRule="auto" w:line="240" w:before="0" w:after="0"/>
                              <w:jc w:val="left"/>
                              <w:rPr>
                                <w:color w:val="00000A"/>
                              </w:rPr>
                            </w:pPr>
                            <w:bookmarkStart w:id="2791" w:name="__UnoMark__18619_118561941"/>
                            <w:bookmarkEnd w:id="2791"/>
                            <w:r>
                              <w:rPr>
                                <w:color w:val="00000A"/>
                                <w:sz w:val="18"/>
                                <w:szCs w:val="18"/>
                                <w:lang w:val="en-US"/>
                              </w:rPr>
                              <w:t>LPA_LDS (grupo D)</w:t>
                            </w:r>
                          </w:p>
                        </w:tc>
                        <w:tc>
                          <w:tcPr>
                            <w:tcW w:w="1372"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color w:val="00000A"/>
                              </w:rPr>
                            </w:pPr>
                            <w:bookmarkStart w:id="2792" w:name="__UnoMark__18621_118561941"/>
                            <w:bookmarkStart w:id="2793" w:name="__UnoMark__18620_118561941"/>
                            <w:bookmarkEnd w:id="2792"/>
                            <w:bookmarkEnd w:id="2793"/>
                            <w:r>
                              <w:rPr>
                                <w:color w:val="00000A"/>
                                <w:sz w:val="18"/>
                                <w:szCs w:val="18"/>
                                <w:lang w:val="en-US"/>
                              </w:rPr>
                              <w:t>0.002</w:t>
                            </w:r>
                          </w:p>
                        </w:tc>
                        <w:tc>
                          <w:tcPr>
                            <w:tcW w:w="333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794" w:name="__UnoMark__18623_118561941"/>
                            <w:bookmarkStart w:id="2795" w:name="__UnoMark__18622_118561941"/>
                            <w:bookmarkEnd w:id="2794"/>
                            <w:bookmarkEnd w:id="2795"/>
                            <w:r>
                              <w:rPr>
                                <w:color w:val="00000A"/>
                                <w:sz w:val="18"/>
                                <w:szCs w:val="18"/>
                                <w:lang w:val="en-US"/>
                              </w:rPr>
                              <w:t>Hay diferencias significativas</w:t>
                            </w:r>
                          </w:p>
                        </w:tc>
                      </w:tr>
                      <w:tr>
                        <w:trPr>
                          <w:trHeight w:val="702" w:hRule="atLeast"/>
                          <w:cantSplit w:val="true"/>
                        </w:trPr>
                        <w:tc>
                          <w:tcPr>
                            <w:tcW w:w="427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796" w:name="__UnoMark__18624_118561941"/>
                            <w:bookmarkEnd w:id="2796"/>
                            <w:r>
                              <w:rPr>
                                <w:i/>
                                <w:color w:val="00000A"/>
                                <w:sz w:val="18"/>
                                <w:szCs w:val="18"/>
                                <w:lang w:val="en-US"/>
                              </w:rPr>
                              <w:t>Wilcoxon test</w:t>
                            </w:r>
                            <w:r>
                              <w:rPr>
                                <w:color w:val="00000A"/>
                                <w:sz w:val="18"/>
                                <w:szCs w:val="18"/>
                                <w:lang w:val="en-US"/>
                              </w:rPr>
                              <w:t xml:space="preserve"> (grupo D)</w:t>
                            </w:r>
                          </w:p>
                          <w:p>
                            <w:pPr>
                              <w:pStyle w:val="FrameContents"/>
                              <w:spacing w:lineRule="auto" w:line="240" w:before="0" w:after="0"/>
                              <w:jc w:val="left"/>
                              <w:rPr>
                                <w:color w:val="00000A"/>
                              </w:rPr>
                            </w:pPr>
                            <w:bookmarkStart w:id="2797" w:name="__UnoMark__18625_118561941"/>
                            <w:bookmarkEnd w:id="2797"/>
                            <w:r>
                              <w:rPr>
                                <w:color w:val="00000A"/>
                                <w:sz w:val="18"/>
                                <w:szCs w:val="18"/>
                                <w:lang w:val="en-US"/>
                              </w:rPr>
                              <w:t xml:space="preserve">LPA_LDS – GA_LDS </w:t>
                            </w:r>
                          </w:p>
                        </w:tc>
                        <w:tc>
                          <w:tcPr>
                            <w:tcW w:w="137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798" w:name="__UnoMark__18627_118561941"/>
                            <w:bookmarkStart w:id="2799" w:name="__UnoMark__18626_118561941"/>
                            <w:bookmarkEnd w:id="2798"/>
                            <w:bookmarkEnd w:id="2799"/>
                            <w:r>
                              <w:rPr>
                                <w:color w:val="00000A"/>
                                <w:sz w:val="18"/>
                                <w:szCs w:val="18"/>
                                <w:lang w:val="en-US"/>
                              </w:rPr>
                              <w:t>0.169</w:t>
                            </w:r>
                          </w:p>
                        </w:tc>
                        <w:tc>
                          <w:tcPr>
                            <w:tcW w:w="333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800" w:name="__UnoMark__18628_118561941"/>
                            <w:bookmarkEnd w:id="2800"/>
                            <w:r>
                              <w:rPr>
                                <w:color w:val="00000A"/>
                                <w:sz w:val="18"/>
                                <w:szCs w:val="18"/>
                                <w:lang w:val="en-US"/>
                              </w:rPr>
                              <w:t>No hay diferencias significativas</w:t>
                            </w:r>
                          </w:p>
                        </w:tc>
                      </w:tr>
                    </w:tbl>
                    <w:p>
                      <w:pPr>
                        <w:pStyle w:val="FrameContents"/>
                        <w:spacing w:before="80" w:after="60"/>
                        <w:rPr>
                          <w:color w:val="000000"/>
                        </w:rPr>
                      </w:pPr>
                      <w:r>
                        <w:rPr>
                          <w:color w:val="000000"/>
                        </w:rPr>
                      </w:r>
                    </w:p>
                  </w:txbxContent>
                </v:textbox>
              </v:rect>
            </w:pict>
          </mc:Fallback>
        </mc:AlternateContent>
      </w:r>
    </w:p>
    <w:p>
      <w:pPr>
        <w:pStyle w:val="Normal"/>
        <w:rPr>
          <w:lang w:val="en-US"/>
        </w:rPr>
      </w:pPr>
      <w:r>
        <w:rPr>
          <w:lang w:val="en-US"/>
        </w:rPr>
        <w:t xml:space="preserve">Para la comparación se aplicó el test no paramétrico </w:t>
      </w:r>
      <w:r>
        <w:rPr>
          <w:i/>
          <w:lang w:val="en-US"/>
        </w:rPr>
        <w:t>Wilcoxon</w:t>
      </w:r>
      <w:r>
        <w:rPr>
          <w:lang w:val="en-US"/>
        </w:rPr>
        <w:t xml:space="preserve"> y se demuestra que el algoritmo </w:t>
      </w:r>
      <w:r>
        <w:rPr>
          <w:rFonts w:cs="Courier New" w:ascii="Courier New" w:hAnsi="Courier New"/>
          <w:szCs w:val="20"/>
        </w:rPr>
        <w:t>PCA_LDS</w:t>
      </w:r>
      <w:r>
        <w:rPr>
          <w:i/>
          <w:sz w:val="28"/>
          <w:lang w:val="en-US"/>
        </w:rPr>
        <w:t xml:space="preserve"> </w:t>
      </w:r>
      <w:r>
        <w:rPr>
          <w:lang w:val="en-US"/>
        </w:rPr>
        <w:t>reporta resultados significativamente mejores que el resto de los algoritmos, ubicado</w:t>
      </w:r>
      <w:r>
        <w:rPr>
          <w:i/>
          <w:lang w:val="en-US"/>
        </w:rPr>
        <w:t xml:space="preserve"> </w:t>
      </w:r>
      <w:r>
        <w:rPr>
          <w:lang w:val="en-US"/>
        </w:rPr>
        <w:t>en el</w:t>
      </w:r>
      <w:r>
        <w:rPr>
          <w:i/>
          <w:lang w:val="en-US"/>
        </w:rPr>
        <w:t xml:space="preserve"> </w:t>
      </w:r>
      <w:r>
        <w:rPr>
          <w:lang w:val="en-US"/>
        </w:rPr>
        <w:t xml:space="preserve">“grupo A” y seguido por el algoritmo </w:t>
      </w:r>
      <w:r>
        <w:rPr>
          <w:rFonts w:cs="Courier New" w:ascii="Courier New" w:hAnsi="Courier New"/>
          <w:szCs w:val="20"/>
        </w:rPr>
        <w:t>Apriori_LDS</w:t>
      </w:r>
      <w:r>
        <w:rPr>
          <w:sz w:val="18"/>
          <w:szCs w:val="18"/>
        </w:rPr>
        <w:t xml:space="preserve"> </w:t>
      </w:r>
      <w:r>
        <w:rPr>
          <w:lang w:val="en-US"/>
        </w:rPr>
        <w:t xml:space="preserve">ubicado en un grupo B. Luego se ubican los algoritmos </w:t>
      </w:r>
      <w:r>
        <w:rPr>
          <w:rFonts w:cs="Courier New" w:ascii="Courier New" w:hAnsi="Courier New"/>
          <w:szCs w:val="20"/>
        </w:rPr>
        <w:t>RST_LDS</w:t>
      </w:r>
      <w:r>
        <w:rPr>
          <w:lang w:val="en-US"/>
        </w:rPr>
        <w:t xml:space="preserve"> y</w:t>
      </w:r>
      <w:r>
        <w:rPr>
          <w:rFonts w:cs="Courier New" w:ascii="Courier New" w:hAnsi="Courier New"/>
          <w:szCs w:val="20"/>
        </w:rPr>
        <w:t xml:space="preserve"> ACO_LDS</w:t>
      </w:r>
      <w:r>
        <w:rPr>
          <w:lang w:val="en-US"/>
        </w:rPr>
        <w:t xml:space="preserve"> en un grupo C sin diferencias significativas entre ellos, así como </w:t>
      </w:r>
      <w:r>
        <w:rPr>
          <w:rFonts w:cs="Courier New" w:ascii="Courier New" w:hAnsi="Courier New"/>
          <w:szCs w:val="20"/>
        </w:rPr>
        <w:t>LPA_LDS</w:t>
      </w:r>
      <w:r>
        <w:rPr>
          <w:lang w:val="en-US"/>
        </w:rPr>
        <w:t xml:space="preserve"> y</w:t>
      </w:r>
      <w:r>
        <w:rPr>
          <w:rFonts w:cs="Courier New" w:ascii="Courier New" w:hAnsi="Courier New"/>
          <w:szCs w:val="20"/>
        </w:rPr>
        <w:t xml:space="preserve"> GA_LDS</w:t>
      </w:r>
      <w:r>
        <w:rPr>
          <w:lang w:val="en-US"/>
        </w:rPr>
        <w:t xml:space="preserve"> en el grupo D reportando peores resultados.</w:t>
      </w:r>
    </w:p>
    <w:p>
      <w:pPr>
        <w:pStyle w:val="Heading3"/>
        <w:numPr>
          <w:ilvl w:val="2"/>
          <w:numId w:val="80"/>
        </w:numPr>
        <w:rPr/>
      </w:pPr>
      <w:r>
        <w:rPr/>
        <w:t>Comparación de los algoritmos respecto al indicador Te</w:t>
      </w:r>
      <w:r>
        <w:rPr>
          <w:vertAlign w:val="subscript"/>
        </w:rPr>
        <w:t>4</w:t>
      </w:r>
    </w:p>
    <w:p>
      <w:pPr>
        <w:pStyle w:val="Normal"/>
        <w:rPr>
          <w:lang w:val="en-US"/>
        </w:rPr>
      </w:pPr>
      <w:r>
        <mc:AlternateContent>
          <mc:Choice Requires="wps">
            <w:drawing>
              <wp:anchor behindDoc="0" distT="45720" distB="45720" distL="114300" distR="114300" simplePos="0" locked="0" layoutInCell="1" allowOverlap="1" relativeHeight="8" wp14:anchorId="2BB7D058">
                <wp:simplePos x="0" y="0"/>
                <wp:positionH relativeFrom="column">
                  <wp:posOffset>2630805</wp:posOffset>
                </wp:positionH>
                <wp:positionV relativeFrom="paragraph">
                  <wp:posOffset>247650</wp:posOffset>
                </wp:positionV>
                <wp:extent cx="3214370" cy="1407160"/>
                <wp:effectExtent l="0" t="0" r="7620" b="0"/>
                <wp:wrapSquare wrapText="bothSides"/>
                <wp:docPr id="83" name="Cuadro de texto 2"/>
                <a:graphic xmlns:a="http://schemas.openxmlformats.org/drawingml/2006/main">
                  <a:graphicData uri="http://schemas.microsoft.com/office/word/2010/wordprocessingShape">
                    <wps:wsp>
                      <wps:cNvSpPr/>
                      <wps:spPr>
                        <a:xfrm>
                          <a:off x="0" y="0"/>
                          <a:ext cx="3213720" cy="1406520"/>
                        </a:xfrm>
                        <a:prstGeom prst="rect">
                          <a:avLst/>
                        </a:prstGeom>
                        <a:solidFill>
                          <a:srgbClr val="ffffff"/>
                        </a:solidFill>
                        <a:ln w="9360">
                          <a:noFill/>
                        </a:ln>
                      </wps:spPr>
                      <wps:style>
                        <a:lnRef idx="0"/>
                        <a:fillRef idx="0"/>
                        <a:effectRef idx="0"/>
                        <a:fontRef idx="minor"/>
                      </wps:style>
                      <wps:txbx>
                        <w:txbxContent>
                          <w:p>
                            <w:pPr>
                              <w:pStyle w:val="FrameContents"/>
                              <w:spacing w:before="80" w:after="60"/>
                              <w:rPr/>
                            </w:pPr>
                            <w:bookmarkStart w:id="2801" w:name="_Ref65868972"/>
                            <w:bookmarkStart w:id="2802" w:name="_Ref68932787"/>
                            <w:r>
                              <w:rPr/>
                              <w:drawing>
                                <wp:inline distT="0" distB="0" distL="0" distR="0">
                                  <wp:extent cx="2809875" cy="2486025"/>
                                  <wp:effectExtent l="0" t="0" r="0" b="0"/>
                                  <wp:docPr id="85" name="Chart 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hart 81" descr=""/>
                                          <pic:cNvPicPr>
                                            <a:picLocks noChangeAspect="1" noChangeArrowheads="1"/>
                                          </pic:cNvPicPr>
                                        </pic:nvPicPr>
                                        <pic:blipFill>
                                          <a:blip r:embed="rId22"/>
                                          <a:stretch>
                                            <a:fillRect/>
                                          </a:stretch>
                                        </pic:blipFill>
                                        <pic:spPr bwMode="auto">
                                          <a:xfrm>
                                            <a:off x="0" y="0"/>
                                            <a:ext cx="2809875" cy="2486025"/>
                                          </a:xfrm>
                                          <a:prstGeom prst="rect">
                                            <a:avLst/>
                                          </a:prstGeom>
                                        </pic:spPr>
                                      </pic:pic>
                                    </a:graphicData>
                                  </a:graphic>
                                </wp:inline>
                              </w:drawing>
                            </w:r>
                          </w:p>
                          <w:p>
                            <w:pPr>
                              <w:pStyle w:val="FrameContents"/>
                              <w:spacing w:before="80" w:after="60"/>
                              <w:rPr/>
                            </w:pPr>
                            <w:bookmarkStart w:id="2803" w:name="_Toc84599025"/>
                            <w:r>
                              <w:rPr/>
                              <w:t xml:space="preserve">Figura </w:t>
                            </w:r>
                            <w:r>
                              <w:rPr/>
                              <w:fldChar w:fldCharType="begin"/>
                            </w:r>
                            <w:r>
                              <w:instrText> SEQ Figura \* ARABIC </w:instrText>
                            </w:r>
                            <w:r>
                              <w:fldChar w:fldCharType="separate"/>
                            </w:r>
                            <w:r>
                              <w:t>18</w:t>
                            </w:r>
                            <w:r>
                              <w:fldChar w:fldCharType="end"/>
                            </w:r>
                            <w:bookmarkEnd w:id="2801"/>
                            <w:bookmarkEnd w:id="2802"/>
                            <w:r>
                              <w:rPr/>
                              <w:t xml:space="preserve">: Media aritmética del indicador </w:t>
                            </w:r>
                            <w:r>
                              <w:rPr>
                                <w:i/>
                              </w:rPr>
                              <w:t>Te</w:t>
                            </w:r>
                            <w:r>
                              <w:rPr>
                                <w:i/>
                                <w:vertAlign w:val="subscript"/>
                              </w:rPr>
                              <w:t>4</w:t>
                            </w:r>
                            <w:bookmarkEnd w:id="2803"/>
                            <w:r>
                              <w:rPr/>
                              <w:t>.</w:t>
                            </w:r>
                          </w:p>
                        </w:txbxContent>
                      </wps:txbx>
                      <wps:bodyPr lIns="90000" rIns="90000" tIns="45000" bIns="45000">
                        <a:noAutofit/>
                      </wps:bodyPr>
                    </wps:wsp>
                  </a:graphicData>
                </a:graphic>
              </wp:anchor>
            </w:drawing>
          </mc:Choice>
          <mc:Fallback>
            <w:pict>
              <v:rect id="shape_0" ID="Cuadro de texto 2" fillcolor="white" stroked="f" style="position:absolute;margin-left:207.15pt;margin-top:19.5pt;width:253pt;height:110.7pt" wp14:anchorId="2BB7D058">
                <w10:wrap type="square"/>
                <v:fill o:detectmouseclick="t" type="solid" color2="black"/>
                <v:stroke color="#3465a4" weight="9360" joinstyle="round" endcap="flat"/>
                <v:textbox>
                  <w:txbxContent>
                    <w:p>
                      <w:pPr>
                        <w:pStyle w:val="FrameContents"/>
                        <w:spacing w:before="80" w:after="60"/>
                        <w:rPr/>
                      </w:pPr>
                      <w:bookmarkStart w:id="2804" w:name="_Ref65868972"/>
                      <w:bookmarkStart w:id="2805" w:name="_Ref68932787"/>
                      <w:r>
                        <w:rPr/>
                        <w:drawing>
                          <wp:inline distT="0" distB="0" distL="0" distR="0">
                            <wp:extent cx="2809875" cy="2486025"/>
                            <wp:effectExtent l="0" t="0" r="0" b="0"/>
                            <wp:docPr id="86" name="Chart 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Chart 81" descr=""/>
                                    <pic:cNvPicPr>
                                      <a:picLocks noChangeAspect="1" noChangeArrowheads="1"/>
                                    </pic:cNvPicPr>
                                  </pic:nvPicPr>
                                  <pic:blipFill>
                                    <a:blip r:embed="rId22"/>
                                    <a:stretch>
                                      <a:fillRect/>
                                    </a:stretch>
                                  </pic:blipFill>
                                  <pic:spPr bwMode="auto">
                                    <a:xfrm>
                                      <a:off x="0" y="0"/>
                                      <a:ext cx="2809875" cy="2486025"/>
                                    </a:xfrm>
                                    <a:prstGeom prst="rect">
                                      <a:avLst/>
                                    </a:prstGeom>
                                  </pic:spPr>
                                </pic:pic>
                              </a:graphicData>
                            </a:graphic>
                          </wp:inline>
                        </w:drawing>
                      </w:r>
                    </w:p>
                    <w:p>
                      <w:pPr>
                        <w:pStyle w:val="FrameContents"/>
                        <w:spacing w:before="80" w:after="60"/>
                        <w:rPr/>
                      </w:pPr>
                      <w:bookmarkStart w:id="2806" w:name="_Toc84599025"/>
                      <w:r>
                        <w:rPr/>
                        <w:t xml:space="preserve">Figura </w:t>
                      </w:r>
                      <w:r>
                        <w:rPr/>
                        <w:fldChar w:fldCharType="begin"/>
                      </w:r>
                      <w:r>
                        <w:instrText> SEQ Figura \* ARABIC </w:instrText>
                      </w:r>
                      <w:r>
                        <w:fldChar w:fldCharType="separate"/>
                      </w:r>
                      <w:r>
                        <w:t>18</w:t>
                      </w:r>
                      <w:r>
                        <w:fldChar w:fldCharType="end"/>
                      </w:r>
                      <w:bookmarkEnd w:id="2804"/>
                      <w:bookmarkEnd w:id="2805"/>
                      <w:r>
                        <w:rPr/>
                        <w:t xml:space="preserve">: Media aritmética del indicador </w:t>
                      </w:r>
                      <w:r>
                        <w:rPr>
                          <w:i/>
                        </w:rPr>
                        <w:t>Te</w:t>
                      </w:r>
                      <w:r>
                        <w:rPr>
                          <w:i/>
                          <w:vertAlign w:val="subscript"/>
                        </w:rPr>
                        <w:t>4</w:t>
                      </w:r>
                      <w:bookmarkEnd w:id="2806"/>
                      <w:r>
                        <w:rPr/>
                        <w:t>.</w:t>
                      </w:r>
                    </w:p>
                  </w:txbxContent>
                </v:textbox>
              </v:rect>
            </w:pict>
          </mc:Fallback>
        </mc:AlternateContent>
      </w:r>
      <w:r>
        <w:rPr>
          <w:lang w:val="en-US"/>
        </w:rPr>
        <w:t xml:space="preserve">Respecto a la media aritmética del indicador </w:t>
      </w:r>
      <w:r>
        <w:rPr>
          <w:i/>
          <w:lang w:val="en-US"/>
        </w:rPr>
        <w:t>Te</w:t>
      </w:r>
      <w:r>
        <w:rPr>
          <w:i/>
          <w:vertAlign w:val="subscript"/>
          <w:lang w:val="en-US"/>
        </w:rPr>
        <w:t>4</w:t>
      </w:r>
      <w:r>
        <w:rPr>
          <w:vertAlign w:val="subscript"/>
          <w:lang w:val="en-US"/>
        </w:rPr>
        <w:t>,</w:t>
      </w:r>
      <w:r>
        <w:rPr>
          <w:lang w:val="en-US"/>
        </w:rPr>
        <w:t xml:space="preserve"> los algoritmos quedan ubicados en el siguiente orden: </w:t>
      </w:r>
      <w:r>
        <w:rPr>
          <w:rFonts w:cs="Courier New" w:ascii="Courier New" w:hAnsi="Courier New"/>
        </w:rPr>
        <w:t>PCA_LDS</w:t>
      </w:r>
      <w:r>
        <w:rPr>
          <w:lang w:val="en-US"/>
        </w:rPr>
        <w:t xml:space="preserve">, </w:t>
      </w:r>
      <w:r>
        <w:rPr>
          <w:rFonts w:cs="Courier New" w:ascii="Courier New" w:hAnsi="Courier New"/>
        </w:rPr>
        <w:t>Apriori_LDS</w:t>
      </w:r>
      <w:r>
        <w:rPr>
          <w:lang w:val="en-US"/>
        </w:rPr>
        <w:t xml:space="preserve">, </w:t>
      </w:r>
      <w:r>
        <w:rPr>
          <w:rFonts w:cs="Courier New" w:ascii="Courier New" w:hAnsi="Courier New"/>
        </w:rPr>
        <w:t>GA_LDS</w:t>
      </w:r>
      <w:r>
        <w:rPr>
          <w:lang w:val="en-US"/>
        </w:rPr>
        <w:t xml:space="preserve">, </w:t>
      </w:r>
      <w:r>
        <w:rPr>
          <w:rFonts w:cs="Courier New" w:ascii="Courier New" w:hAnsi="Courier New"/>
        </w:rPr>
        <w:t>RST_LDS</w:t>
      </w:r>
      <w:r>
        <w:rPr>
          <w:lang w:val="en-US"/>
        </w:rPr>
        <w:t xml:space="preserve">, </w:t>
      </w:r>
      <w:r>
        <w:rPr>
          <w:rFonts w:cs="Courier New" w:ascii="Courier New" w:hAnsi="Courier New"/>
        </w:rPr>
        <w:t>LPA_LDS</w:t>
      </w:r>
      <w:r>
        <w:rPr>
          <w:lang w:val="en-US"/>
        </w:rPr>
        <w:t xml:space="preserve"> y</w:t>
      </w:r>
      <w:r>
        <w:rPr>
          <w:rFonts w:cs="Courier New" w:ascii="Courier New" w:hAnsi="Courier New"/>
        </w:rPr>
        <w:t xml:space="preserve"> ACO_LDS</w:t>
      </w:r>
      <w:r>
        <w:rPr>
          <w:lang w:val="en-US"/>
        </w:rPr>
        <w:t xml:space="preserve">. </w:t>
      </w:r>
    </w:p>
    <w:p>
      <w:pPr>
        <w:pStyle w:val="Normal"/>
        <w:rPr/>
      </w:pPr>
      <w:r>
        <w:rPr>
          <w:lang w:val="en-US"/>
        </w:rPr>
        <w:t xml:space="preserve">La </w:t>
      </w:r>
      <w:r>
        <w:rPr>
          <w:lang w:val="en-US"/>
        </w:rPr>
        <w:drawing>
          <wp:inline distT="0" distB="0" distL="0" distR="0">
            <wp:extent cx="2809875" cy="2486025"/>
            <wp:effectExtent l="0" t="0" r="0" b="0"/>
            <wp:docPr id="87" name="Chart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Chart 10" descr=""/>
                    <pic:cNvPicPr>
                      <a:picLocks noChangeAspect="1" noChangeArrowheads="1"/>
                    </pic:cNvPicPr>
                  </pic:nvPicPr>
                  <pic:blipFill>
                    <a:blip r:embed="rId23"/>
                    <a:stretch>
                      <a:fillRect/>
                    </a:stretch>
                  </pic:blipFill>
                  <pic:spPr bwMode="auto">
                    <a:xfrm>
                      <a:off x="0" y="0"/>
                      <a:ext cx="2809875" cy="2486025"/>
                    </a:xfrm>
                    <a:prstGeom prst="rect">
                      <a:avLst/>
                    </a:prstGeom>
                  </pic:spPr>
                </pic:pic>
              </a:graphicData>
            </a:graphic>
          </wp:inline>
        </w:drawing>
      </w:r>
    </w:p>
    <w:p>
      <w:pPr>
        <w:pStyle w:val="Normal"/>
        <w:rPr/>
      </w:pPr>
      <w:r>
        <w:rPr/>
        <w:fldChar w:fldCharType="begin"/>
      </w:r>
      <w:r>
        <w:instrText> REF _Ref68932787 \h </w:instrText>
      </w:r>
      <w:r>
        <w:fldChar w:fldCharType="separate"/>
      </w:r>
      <w:r/>
      <w:r>
        <w:fldChar w:fldCharType="end"/>
      </w:r>
      <w:r>
        <w:rPr>
          <w:lang w:val="en-US"/>
        </w:rPr>
        <w:t xml:space="preserve"> </w:t>
      </w:r>
      <w:r>
        <w:rPr>
          <w:lang w:val="en-US"/>
        </w:rPr>
        <w:t xml:space="preserve">evidencia los resultados de las pruebas estadísticas, presentando el </w:t>
      </w:r>
      <w:r>
        <w:rPr>
          <w:rFonts w:cs="Courier New" w:ascii="Courier New" w:hAnsi="Courier New"/>
        </w:rPr>
        <w:t>PCA_LDS</w:t>
      </w:r>
      <w:r>
        <w:rPr>
          <w:lang w:val="en-US"/>
        </w:rPr>
        <w:t xml:space="preserve"> y </w:t>
      </w:r>
      <w:r>
        <w:rPr>
          <w:rFonts w:cs="Courier New" w:ascii="Courier New" w:hAnsi="Courier New"/>
        </w:rPr>
        <w:t>Apriori_LDS</w:t>
      </w:r>
      <w:r>
        <w:rPr>
          <w:lang w:val="en-US"/>
        </w:rPr>
        <w:t xml:space="preserve"> como los algoritmos con mejores resultados y más baja dispersión.</w:t>
      </w:r>
    </w:p>
    <w:p>
      <w:pPr>
        <w:pStyle w:val="Normal"/>
        <w:rPr/>
      </w:pPr>
      <w:r>
        <w:rPr>
          <w:lang w:val="en-US"/>
        </w:rPr>
        <w:t xml:space="preserve">En el análisis se identifica que los resultados no cumplen con una distribución normal, ver </w:t>
      </w:r>
      <w:r>
        <w:rPr>
          <w:lang w:val="en-US"/>
        </w:rPr>
        <w:fldChar w:fldCharType="begin"/>
      </w:r>
      <w:r>
        <w:instrText> REF _Ref65869025 \h </w:instrText>
      </w:r>
      <w:r>
        <w:fldChar w:fldCharType="separate"/>
      </w:r>
      <w:r>
        <w:t>Tabla 16</w:t>
      </w:r>
      <w:r>
        <w:fldChar w:fldCharType="end"/>
      </w:r>
      <w:r>
        <w:rPr>
          <w:lang w:val="en-US"/>
        </w:rPr>
        <w:t xml:space="preserve">. En la comparación de los algoritmos, se aplicaron pruebas no paramétricas y se demuestra que no existen diferencias significativas entre los algoritmos </w:t>
      </w:r>
      <w:r>
        <w:rPr>
          <w:rFonts w:cs="Courier New" w:ascii="Courier New" w:hAnsi="Courier New"/>
        </w:rPr>
        <w:t>PCA_LDS</w:t>
      </w:r>
      <w:r>
        <w:rPr>
          <w:lang w:val="en-US"/>
        </w:rPr>
        <w:t xml:space="preserve">, </w:t>
      </w:r>
      <w:r>
        <w:rPr>
          <w:rFonts w:cs="Courier New" w:ascii="Courier New" w:hAnsi="Courier New"/>
        </w:rPr>
        <w:t>Apriori_LDS</w:t>
      </w:r>
      <w:r>
        <w:rPr>
          <w:lang w:val="en-US"/>
        </w:rPr>
        <w:t xml:space="preserve">, </w:t>
      </w:r>
      <w:r>
        <w:rPr>
          <w:rFonts w:cs="Courier New" w:ascii="Courier New" w:hAnsi="Courier New"/>
        </w:rPr>
        <w:t>GA_LDS</w:t>
      </w:r>
      <w:r>
        <w:rPr>
          <w:lang w:val="en-US"/>
        </w:rPr>
        <w:t xml:space="preserve">, </w:t>
      </w:r>
      <w:r>
        <w:rPr>
          <w:rFonts w:cs="Courier New" w:ascii="Courier New" w:hAnsi="Courier New"/>
        </w:rPr>
        <w:t>RST_LDS</w:t>
      </w:r>
      <w:r>
        <w:rPr>
          <w:lang w:val="en-US"/>
        </w:rPr>
        <w:t xml:space="preserve"> y </w:t>
      </w:r>
      <w:r>
        <w:rPr>
          <w:rFonts w:cs="Courier New" w:ascii="Courier New" w:hAnsi="Courier New"/>
        </w:rPr>
        <w:t>LPA_LDS</w:t>
      </w:r>
      <w:r>
        <w:rPr>
          <w:lang w:val="en-US"/>
        </w:rPr>
        <w:t xml:space="preserve"> ubicados en el “grupo A” y reportando resultados significativamente mejores al </w:t>
      </w:r>
      <w:r>
        <w:rPr>
          <w:rFonts w:cs="Courier New" w:ascii="Courier New" w:hAnsi="Courier New"/>
        </w:rPr>
        <w:t>ACO_LDS</w:t>
      </w:r>
      <w:r>
        <w:rPr>
          <w:lang w:val="en-US"/>
        </w:rPr>
        <w:t>, el cual está ubicado en el</w:t>
      </w:r>
      <w:r>
        <w:rPr>
          <w:rFonts w:cs="Courier New" w:ascii="Courier New" w:hAnsi="Courier New"/>
          <w:sz w:val="18"/>
          <w:szCs w:val="18"/>
        </w:rPr>
        <w:t xml:space="preserve"> </w:t>
      </w:r>
      <w:r>
        <w:rPr>
          <w:lang w:val="en-US"/>
        </w:rPr>
        <w:t>“grupo B” reportando peores resultados.</w:t>
      </w:r>
    </w:p>
    <w:p>
      <w:pPr>
        <w:pStyle w:val="TablaFigura"/>
        <w:numPr>
          <w:ilvl w:val="0"/>
          <w:numId w:val="2"/>
        </w:numPr>
        <w:ind w:left="431" w:hanging="431"/>
        <w:rPr/>
      </w:pPr>
      <w:bookmarkStart w:id="2807" w:name="_Toc84598986"/>
      <w:bookmarkStart w:id="2808" w:name="_Ref65869025"/>
      <w:r>
        <w:rPr/>
        <w:t xml:space="preserve">Tabla </w:t>
      </w:r>
      <w:r>
        <w:rPr/>
        <w:fldChar w:fldCharType="begin"/>
      </w:r>
      <w:r>
        <w:instrText> SEQ Tabla \* ARABIC </w:instrText>
      </w:r>
      <w:r>
        <w:fldChar w:fldCharType="separate"/>
      </w:r>
      <w:r>
        <w:t>16</w:t>
      </w:r>
      <w:r>
        <w:fldChar w:fldCharType="end"/>
      </w:r>
      <w:bookmarkEnd w:id="2808"/>
      <w:r>
        <w:rPr/>
        <w:t xml:space="preserve">: Comparación de los algoritmos respecto a la media aritmética del </w:t>
      </w:r>
      <w:r>
        <w:rPr>
          <w:i/>
        </w:rPr>
        <w:t>Te</w:t>
      </w:r>
      <w:r>
        <w:rPr>
          <w:i/>
          <w:vertAlign w:val="subscript"/>
        </w:rPr>
        <w:t>4</w:t>
      </w:r>
      <w:bookmarkEnd w:id="2807"/>
      <w:r>
        <w:rPr/>
        <w:t>.</w:t>
      </w:r>
    </w:p>
    <w:p>
      <w:pPr>
        <w:pStyle w:val="Normal"/>
        <w:rPr>
          <w:i/>
          <w:i/>
          <w:lang w:val="en-US"/>
        </w:rPr>
      </w:pPr>
      <w:r>
        <w:rPr>
          <w:i/>
          <w:lang w:val="en-US"/>
        </w:rPr>
        <mc:AlternateContent>
          <mc:Choice Requires="wps">
            <w:drawing>
              <wp:anchor behindDoc="0" distT="0" distB="0" distL="114300" distR="114300" simplePos="0" locked="0" layoutInCell="1" allowOverlap="1" relativeHeight="49">
                <wp:simplePos x="0" y="0"/>
                <wp:positionH relativeFrom="margin">
                  <wp:align>center</wp:align>
                </wp:positionH>
                <wp:positionV relativeFrom="paragraph">
                  <wp:posOffset>35560</wp:posOffset>
                </wp:positionV>
                <wp:extent cx="2082165" cy="1685925"/>
                <wp:effectExtent l="0" t="0" r="0" b="0"/>
                <wp:wrapSquare wrapText="bothSides"/>
                <wp:docPr id="88" name="Frame30"/>
                <a:graphic xmlns:a="http://schemas.openxmlformats.org/drawingml/2006/main">
                  <a:graphicData uri="http://schemas.microsoft.com/office/word/2010/wordprocessingShape">
                    <wps:wsp>
                      <wps:cNvSpPr/>
                      <wps:spPr>
                        <a:xfrm>
                          <a:off x="0" y="0"/>
                          <a:ext cx="2081520" cy="1685160"/>
                        </a:xfrm>
                        <a:prstGeom prst="rect">
                          <a:avLst/>
                        </a:prstGeom>
                        <a:noFill/>
                        <a:ln>
                          <a:noFill/>
                        </a:ln>
                      </wps:spPr>
                      <wps:style>
                        <a:lnRef idx="0"/>
                        <a:fillRef idx="0"/>
                        <a:effectRef idx="0"/>
                        <a:fontRef idx="minor"/>
                      </wps:style>
                      <wps:txbx>
                        <w:txbxContent>
                          <w:tbl>
                            <w:tblPr>
                              <w:tblW w:w="3276" w:type="dxa"/>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1325"/>
                              <w:gridCol w:w="1148"/>
                              <w:gridCol w:w="803"/>
                            </w:tblGrid>
                            <w:tr>
                              <w:trPr>
                                <w:trHeight w:val="380" w:hRule="atLeast"/>
                                <w:cantSplit w:val="true"/>
                              </w:trPr>
                              <w:tc>
                                <w:tcPr>
                                  <w:tcW w:w="1325"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jc w:val="center"/>
                                    <w:rPr/>
                                  </w:pPr>
                                  <w:bookmarkStart w:id="2809" w:name="__UnoMark__18855_118561941"/>
                                  <w:bookmarkEnd w:id="2809"/>
                                  <w:r>
                                    <w:rPr>
                                      <w:color w:val="00000A"/>
                                      <w:sz w:val="18"/>
                                      <w:szCs w:val="18"/>
                                    </w:rPr>
                                    <w:t>Algoritmos</w:t>
                                  </w:r>
                                </w:p>
                              </w:tc>
                              <w:tc>
                                <w:tcPr>
                                  <w:tcW w:w="1148"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2810" w:name="__UnoMark__18856_118561941"/>
                                  <w:bookmarkEnd w:id="2810"/>
                                  <w:r>
                                    <w:rPr>
                                      <w:color w:val="00000A"/>
                                      <w:sz w:val="18"/>
                                      <w:szCs w:val="18"/>
                                    </w:rPr>
                                    <w:t>Kolmogorov-Smirnov</w:t>
                                  </w:r>
                                  <w:r>
                                    <w:rPr>
                                      <w:color w:val="00000A"/>
                                      <w:sz w:val="18"/>
                                      <w:szCs w:val="18"/>
                                      <w:vertAlign w:val="superscript"/>
                                    </w:rPr>
                                    <w:t>a</w:t>
                                  </w:r>
                                  <w:bookmarkStart w:id="2811" w:name="__UnoMark__18857_118561941"/>
                                  <w:bookmarkEnd w:id="2811"/>
                                  <w:r>
                                    <w:rPr>
                                      <w:color w:val="00000A"/>
                                      <w:sz w:val="18"/>
                                      <w:szCs w:val="18"/>
                                    </w:rPr>
                                    <w:t xml:space="preserve"> Sig.</w:t>
                                  </w:r>
                                </w:p>
                              </w:tc>
                              <w:tc>
                                <w:tcPr>
                                  <w:tcW w:w="803"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2812" w:name="__UnoMark__18859_118561941"/>
                                  <w:bookmarkStart w:id="2813" w:name="__UnoMark__18858_118561941"/>
                                  <w:bookmarkEnd w:id="2812"/>
                                  <w:bookmarkEnd w:id="2813"/>
                                  <w:r>
                                    <w:rPr>
                                      <w:color w:val="00000A"/>
                                      <w:sz w:val="18"/>
                                      <w:szCs w:val="18"/>
                                    </w:rPr>
                                    <w:t>Shapiro-Wilk Sig.</w:t>
                                  </w:r>
                                </w:p>
                              </w:tc>
                            </w:tr>
                            <w:tr>
                              <w:trPr>
                                <w:trHeight w:val="131" w:hRule="atLeast"/>
                                <w:cantSplit w:val="true"/>
                              </w:trPr>
                              <w:tc>
                                <w:tcPr>
                                  <w:tcW w:w="1325"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814" w:name="__UnoMark__18861_118561941"/>
                                  <w:bookmarkStart w:id="2815" w:name="__UnoMark__18860_118561941"/>
                                  <w:bookmarkEnd w:id="2814"/>
                                  <w:bookmarkEnd w:id="2815"/>
                                  <w:r>
                                    <w:rPr>
                                      <w:color w:val="00000A"/>
                                      <w:sz w:val="18"/>
                                      <w:szCs w:val="18"/>
                                    </w:rPr>
                                    <w:t>RST_LDS</w:t>
                                  </w:r>
                                </w:p>
                              </w:tc>
                              <w:tc>
                                <w:tcPr>
                                  <w:tcW w:w="114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816" w:name="__UnoMark__18863_118561941"/>
                                  <w:bookmarkStart w:id="2817" w:name="__UnoMark__18862_118561941"/>
                                  <w:bookmarkEnd w:id="2816"/>
                                  <w:bookmarkEnd w:id="2817"/>
                                  <w:r>
                                    <w:rPr>
                                      <w:color w:val="00000A"/>
                                      <w:sz w:val="18"/>
                                      <w:szCs w:val="18"/>
                                    </w:rPr>
                                    <w:t>.186</w:t>
                                  </w:r>
                                </w:p>
                              </w:tc>
                              <w:tc>
                                <w:tcPr>
                                  <w:tcW w:w="803"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818" w:name="__UnoMark__18865_118561941"/>
                                  <w:bookmarkStart w:id="2819" w:name="__UnoMark__18864_118561941"/>
                                  <w:bookmarkEnd w:id="2818"/>
                                  <w:bookmarkEnd w:id="2819"/>
                                  <w:r>
                                    <w:rPr>
                                      <w:color w:val="00000A"/>
                                      <w:sz w:val="18"/>
                                      <w:szCs w:val="18"/>
                                    </w:rPr>
                                    <w:t>.028</w:t>
                                  </w:r>
                                </w:p>
                              </w:tc>
                            </w:tr>
                            <w:tr>
                              <w:trPr>
                                <w:trHeight w:val="124" w:hRule="atLeast"/>
                                <w:cantSplit w:val="true"/>
                              </w:trPr>
                              <w:tc>
                                <w:tcPr>
                                  <w:tcW w:w="1325"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820" w:name="__UnoMark__18867_118561941"/>
                                  <w:bookmarkStart w:id="2821" w:name="__UnoMark__18866_118561941"/>
                                  <w:bookmarkEnd w:id="2820"/>
                                  <w:bookmarkEnd w:id="2821"/>
                                  <w:r>
                                    <w:rPr>
                                      <w:color w:val="00000A"/>
                                      <w:sz w:val="18"/>
                                      <w:szCs w:val="18"/>
                                    </w:rPr>
                                    <w:t>LPA_LDS</w:t>
                                  </w:r>
                                </w:p>
                              </w:tc>
                              <w:tc>
                                <w:tcPr>
                                  <w:tcW w:w="114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822" w:name="__UnoMark__18868_118561941"/>
                                  <w:bookmarkEnd w:id="2822"/>
                                  <w:r>
                                    <w:rPr>
                                      <w:color w:val="00000A"/>
                                      <w:sz w:val="18"/>
                                      <w:szCs w:val="18"/>
                                    </w:rPr>
                                    <w:t>.200</w:t>
                                  </w:r>
                                  <w:bookmarkStart w:id="2823" w:name="__UnoMark__18869_118561941"/>
                                  <w:bookmarkEnd w:id="2823"/>
                                  <w:r>
                                    <w:rPr>
                                      <w:color w:val="00000A"/>
                                      <w:sz w:val="18"/>
                                      <w:szCs w:val="18"/>
                                      <w:vertAlign w:val="superscript"/>
                                    </w:rPr>
                                    <w:t>*</w:t>
                                  </w:r>
                                </w:p>
                              </w:tc>
                              <w:tc>
                                <w:tcPr>
                                  <w:tcW w:w="803"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824" w:name="__UnoMark__18871_118561941"/>
                                  <w:bookmarkStart w:id="2825" w:name="__UnoMark__18870_118561941"/>
                                  <w:bookmarkEnd w:id="2824"/>
                                  <w:bookmarkEnd w:id="2825"/>
                                  <w:r>
                                    <w:rPr>
                                      <w:color w:val="00000A"/>
                                      <w:sz w:val="18"/>
                                      <w:szCs w:val="18"/>
                                    </w:rPr>
                                    <w:t>.009</w:t>
                                  </w:r>
                                </w:p>
                              </w:tc>
                            </w:tr>
                            <w:tr>
                              <w:trPr>
                                <w:trHeight w:val="124" w:hRule="atLeast"/>
                                <w:cantSplit w:val="true"/>
                              </w:trPr>
                              <w:tc>
                                <w:tcPr>
                                  <w:tcW w:w="1325"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826" w:name="__UnoMark__18873_118561941"/>
                                  <w:bookmarkStart w:id="2827" w:name="__UnoMark__18872_118561941"/>
                                  <w:bookmarkEnd w:id="2826"/>
                                  <w:bookmarkEnd w:id="2827"/>
                                  <w:r>
                                    <w:rPr>
                                      <w:color w:val="00000A"/>
                                      <w:sz w:val="18"/>
                                      <w:szCs w:val="18"/>
                                    </w:rPr>
                                    <w:t>Apriori_LDS</w:t>
                                  </w:r>
                                </w:p>
                              </w:tc>
                              <w:tc>
                                <w:tcPr>
                                  <w:tcW w:w="114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828" w:name="__UnoMark__18874_118561941"/>
                                  <w:bookmarkEnd w:id="2828"/>
                                  <w:r>
                                    <w:rPr>
                                      <w:color w:val="00000A"/>
                                      <w:sz w:val="18"/>
                                      <w:szCs w:val="18"/>
                                    </w:rPr>
                                    <w:t>.200</w:t>
                                  </w:r>
                                  <w:bookmarkStart w:id="2829" w:name="__UnoMark__18875_118561941"/>
                                  <w:bookmarkEnd w:id="2829"/>
                                  <w:r>
                                    <w:rPr>
                                      <w:color w:val="00000A"/>
                                      <w:sz w:val="18"/>
                                      <w:szCs w:val="18"/>
                                      <w:vertAlign w:val="superscript"/>
                                    </w:rPr>
                                    <w:t>*</w:t>
                                  </w:r>
                                </w:p>
                              </w:tc>
                              <w:tc>
                                <w:tcPr>
                                  <w:tcW w:w="803"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830" w:name="__UnoMark__18877_118561941"/>
                                  <w:bookmarkStart w:id="2831" w:name="__UnoMark__18876_118561941"/>
                                  <w:bookmarkEnd w:id="2830"/>
                                  <w:bookmarkEnd w:id="2831"/>
                                  <w:r>
                                    <w:rPr>
                                      <w:color w:val="00000A"/>
                                      <w:sz w:val="18"/>
                                      <w:szCs w:val="18"/>
                                    </w:rPr>
                                    <w:t>.052</w:t>
                                  </w:r>
                                </w:p>
                              </w:tc>
                            </w:tr>
                            <w:tr>
                              <w:trPr>
                                <w:trHeight w:val="131" w:hRule="atLeast"/>
                                <w:cantSplit w:val="true"/>
                              </w:trPr>
                              <w:tc>
                                <w:tcPr>
                                  <w:tcW w:w="1325"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832" w:name="__UnoMark__18879_118561941"/>
                                  <w:bookmarkStart w:id="2833" w:name="__UnoMark__18878_118561941"/>
                                  <w:bookmarkEnd w:id="2832"/>
                                  <w:bookmarkEnd w:id="2833"/>
                                  <w:r>
                                    <w:rPr>
                                      <w:color w:val="00000A"/>
                                      <w:sz w:val="18"/>
                                      <w:szCs w:val="18"/>
                                    </w:rPr>
                                    <w:t>ACO_LDS</w:t>
                                  </w:r>
                                </w:p>
                              </w:tc>
                              <w:tc>
                                <w:tcPr>
                                  <w:tcW w:w="114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834" w:name="__UnoMark__18880_118561941"/>
                                  <w:bookmarkEnd w:id="2834"/>
                                  <w:r>
                                    <w:rPr>
                                      <w:color w:val="00000A"/>
                                      <w:sz w:val="18"/>
                                      <w:szCs w:val="18"/>
                                    </w:rPr>
                                    <w:t>.200</w:t>
                                  </w:r>
                                  <w:bookmarkStart w:id="2835" w:name="__UnoMark__18881_118561941"/>
                                  <w:bookmarkEnd w:id="2835"/>
                                  <w:r>
                                    <w:rPr>
                                      <w:color w:val="00000A"/>
                                      <w:sz w:val="18"/>
                                      <w:szCs w:val="18"/>
                                      <w:vertAlign w:val="superscript"/>
                                    </w:rPr>
                                    <w:t>*</w:t>
                                  </w:r>
                                </w:p>
                              </w:tc>
                              <w:tc>
                                <w:tcPr>
                                  <w:tcW w:w="803"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836" w:name="__UnoMark__18883_118561941"/>
                                  <w:bookmarkStart w:id="2837" w:name="__UnoMark__18882_118561941"/>
                                  <w:bookmarkEnd w:id="2836"/>
                                  <w:bookmarkEnd w:id="2837"/>
                                  <w:r>
                                    <w:rPr>
                                      <w:color w:val="00000A"/>
                                      <w:sz w:val="18"/>
                                      <w:szCs w:val="18"/>
                                    </w:rPr>
                                    <w:t>.079</w:t>
                                  </w:r>
                                </w:p>
                              </w:tc>
                            </w:tr>
                            <w:tr>
                              <w:trPr>
                                <w:trHeight w:val="124" w:hRule="atLeast"/>
                                <w:cantSplit w:val="true"/>
                              </w:trPr>
                              <w:tc>
                                <w:tcPr>
                                  <w:tcW w:w="1325"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838" w:name="__UnoMark__18885_118561941"/>
                                  <w:bookmarkStart w:id="2839" w:name="__UnoMark__18884_118561941"/>
                                  <w:bookmarkEnd w:id="2838"/>
                                  <w:bookmarkEnd w:id="2839"/>
                                  <w:r>
                                    <w:rPr>
                                      <w:color w:val="00000A"/>
                                      <w:sz w:val="18"/>
                                      <w:szCs w:val="18"/>
                                    </w:rPr>
                                    <w:t>GA_LDS</w:t>
                                  </w:r>
                                </w:p>
                              </w:tc>
                              <w:tc>
                                <w:tcPr>
                                  <w:tcW w:w="114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840" w:name="__UnoMark__18887_118561941"/>
                                  <w:bookmarkStart w:id="2841" w:name="__UnoMark__18886_118561941"/>
                                  <w:bookmarkEnd w:id="2840"/>
                                  <w:bookmarkEnd w:id="2841"/>
                                  <w:r>
                                    <w:rPr>
                                      <w:color w:val="00000A"/>
                                      <w:sz w:val="18"/>
                                      <w:szCs w:val="18"/>
                                    </w:rPr>
                                    <w:t>.002</w:t>
                                  </w:r>
                                </w:p>
                              </w:tc>
                              <w:tc>
                                <w:tcPr>
                                  <w:tcW w:w="803"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842" w:name="__UnoMark__18889_118561941"/>
                                  <w:bookmarkStart w:id="2843" w:name="__UnoMark__18888_118561941"/>
                                  <w:bookmarkEnd w:id="2842"/>
                                  <w:bookmarkEnd w:id="2843"/>
                                  <w:r>
                                    <w:rPr>
                                      <w:color w:val="00000A"/>
                                      <w:sz w:val="18"/>
                                      <w:szCs w:val="18"/>
                                    </w:rPr>
                                    <w:t>.000</w:t>
                                  </w:r>
                                </w:p>
                              </w:tc>
                            </w:tr>
                            <w:tr>
                              <w:trPr>
                                <w:trHeight w:val="131" w:hRule="atLeast"/>
                                <w:cantSplit w:val="true"/>
                              </w:trPr>
                              <w:tc>
                                <w:tcPr>
                                  <w:tcW w:w="1325"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844" w:name="__UnoMark__18891_118561941"/>
                                  <w:bookmarkStart w:id="2845" w:name="__UnoMark__18890_118561941"/>
                                  <w:bookmarkEnd w:id="2844"/>
                                  <w:bookmarkEnd w:id="2845"/>
                                  <w:r>
                                    <w:rPr>
                                      <w:color w:val="00000A"/>
                                      <w:sz w:val="18"/>
                                      <w:szCs w:val="18"/>
                                    </w:rPr>
                                    <w:t>PCA_LDS</w:t>
                                  </w:r>
                                </w:p>
                              </w:tc>
                              <w:tc>
                                <w:tcPr>
                                  <w:tcW w:w="114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846" w:name="__UnoMark__18892_118561941"/>
                                  <w:bookmarkEnd w:id="2846"/>
                                  <w:r>
                                    <w:rPr>
                                      <w:color w:val="00000A"/>
                                      <w:sz w:val="18"/>
                                      <w:szCs w:val="18"/>
                                    </w:rPr>
                                    <w:t>.200</w:t>
                                  </w:r>
                                  <w:bookmarkStart w:id="2847" w:name="__UnoMark__18893_118561941"/>
                                  <w:bookmarkEnd w:id="2847"/>
                                  <w:r>
                                    <w:rPr>
                                      <w:color w:val="00000A"/>
                                      <w:sz w:val="18"/>
                                      <w:szCs w:val="18"/>
                                      <w:vertAlign w:val="superscript"/>
                                    </w:rPr>
                                    <w:t>*</w:t>
                                  </w:r>
                                </w:p>
                              </w:tc>
                              <w:tc>
                                <w:tcPr>
                                  <w:tcW w:w="803"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848" w:name="__UnoMark__18894_118561941"/>
                                  <w:bookmarkEnd w:id="2848"/>
                                  <w:r>
                                    <w:rPr>
                                      <w:color w:val="00000A"/>
                                      <w:sz w:val="18"/>
                                      <w:szCs w:val="18"/>
                                    </w:rPr>
                                    <w:t>.064</w:t>
                                  </w:r>
                                </w:p>
                              </w:tc>
                            </w:tr>
                          </w:tbl>
                          <w:p>
                            <w:pPr>
                              <w:pStyle w:val="FrameContents"/>
                              <w:spacing w:before="80" w:after="60"/>
                              <w:rPr>
                                <w:color w:val="000000"/>
                              </w:rPr>
                            </w:pPr>
                            <w:r>
                              <w:rPr>
                                <w:color w:val="000000"/>
                              </w:rPr>
                            </w:r>
                          </w:p>
                        </w:txbxContent>
                      </wps:txbx>
                      <wps:bodyPr lIns="0" rIns="0" tIns="0" bIns="0">
                        <a:spAutoFit/>
                      </wps:bodyPr>
                    </wps:wsp>
                  </a:graphicData>
                </a:graphic>
              </wp:anchor>
            </w:drawing>
          </mc:Choice>
          <mc:Fallback>
            <w:pict>
              <v:rect id="shape_0" ID="Frame30" stroked="f" style="position:absolute;margin-left:142.5pt;margin-top:2.8pt;width:163.85pt;height:132.65pt;mso-position-horizontal:center;mso-position-horizontal-relative:margin">
                <w10:wrap type="none"/>
                <v:fill o:detectmouseclick="t" on="false"/>
                <v:stroke color="#3465a4" joinstyle="round" endcap="flat"/>
                <v:textbox>
                  <w:txbxContent>
                    <w:tbl>
                      <w:tblPr>
                        <w:tblW w:w="3276" w:type="dxa"/>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1325"/>
                        <w:gridCol w:w="1148"/>
                        <w:gridCol w:w="803"/>
                      </w:tblGrid>
                      <w:tr>
                        <w:trPr>
                          <w:trHeight w:val="380" w:hRule="atLeast"/>
                          <w:cantSplit w:val="true"/>
                        </w:trPr>
                        <w:tc>
                          <w:tcPr>
                            <w:tcW w:w="1325"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jc w:val="center"/>
                              <w:rPr/>
                            </w:pPr>
                            <w:bookmarkStart w:id="2849" w:name="__UnoMark__18855_118561941"/>
                            <w:bookmarkEnd w:id="2849"/>
                            <w:r>
                              <w:rPr>
                                <w:color w:val="00000A"/>
                                <w:sz w:val="18"/>
                                <w:szCs w:val="18"/>
                              </w:rPr>
                              <w:t>Algoritmos</w:t>
                            </w:r>
                          </w:p>
                        </w:tc>
                        <w:tc>
                          <w:tcPr>
                            <w:tcW w:w="1148"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2850" w:name="__UnoMark__18856_118561941"/>
                            <w:bookmarkEnd w:id="2850"/>
                            <w:r>
                              <w:rPr>
                                <w:color w:val="00000A"/>
                                <w:sz w:val="18"/>
                                <w:szCs w:val="18"/>
                              </w:rPr>
                              <w:t>Kolmogorov-Smirnov</w:t>
                            </w:r>
                            <w:r>
                              <w:rPr>
                                <w:color w:val="00000A"/>
                                <w:sz w:val="18"/>
                                <w:szCs w:val="18"/>
                                <w:vertAlign w:val="superscript"/>
                              </w:rPr>
                              <w:t>a</w:t>
                            </w:r>
                            <w:bookmarkStart w:id="2851" w:name="__UnoMark__18857_118561941"/>
                            <w:bookmarkEnd w:id="2851"/>
                            <w:r>
                              <w:rPr>
                                <w:color w:val="00000A"/>
                                <w:sz w:val="18"/>
                                <w:szCs w:val="18"/>
                              </w:rPr>
                              <w:t xml:space="preserve"> Sig.</w:t>
                            </w:r>
                          </w:p>
                        </w:tc>
                        <w:tc>
                          <w:tcPr>
                            <w:tcW w:w="803"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2852" w:name="__UnoMark__18859_118561941"/>
                            <w:bookmarkStart w:id="2853" w:name="__UnoMark__18858_118561941"/>
                            <w:bookmarkEnd w:id="2852"/>
                            <w:bookmarkEnd w:id="2853"/>
                            <w:r>
                              <w:rPr>
                                <w:color w:val="00000A"/>
                                <w:sz w:val="18"/>
                                <w:szCs w:val="18"/>
                              </w:rPr>
                              <w:t>Shapiro-Wilk Sig.</w:t>
                            </w:r>
                          </w:p>
                        </w:tc>
                      </w:tr>
                      <w:tr>
                        <w:trPr>
                          <w:trHeight w:val="131" w:hRule="atLeast"/>
                          <w:cantSplit w:val="true"/>
                        </w:trPr>
                        <w:tc>
                          <w:tcPr>
                            <w:tcW w:w="1325"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854" w:name="__UnoMark__18861_118561941"/>
                            <w:bookmarkStart w:id="2855" w:name="__UnoMark__18860_118561941"/>
                            <w:bookmarkEnd w:id="2854"/>
                            <w:bookmarkEnd w:id="2855"/>
                            <w:r>
                              <w:rPr>
                                <w:color w:val="00000A"/>
                                <w:sz w:val="18"/>
                                <w:szCs w:val="18"/>
                              </w:rPr>
                              <w:t>RST_LDS</w:t>
                            </w:r>
                          </w:p>
                        </w:tc>
                        <w:tc>
                          <w:tcPr>
                            <w:tcW w:w="114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856" w:name="__UnoMark__18863_118561941"/>
                            <w:bookmarkStart w:id="2857" w:name="__UnoMark__18862_118561941"/>
                            <w:bookmarkEnd w:id="2856"/>
                            <w:bookmarkEnd w:id="2857"/>
                            <w:r>
                              <w:rPr>
                                <w:color w:val="00000A"/>
                                <w:sz w:val="18"/>
                                <w:szCs w:val="18"/>
                              </w:rPr>
                              <w:t>.186</w:t>
                            </w:r>
                          </w:p>
                        </w:tc>
                        <w:tc>
                          <w:tcPr>
                            <w:tcW w:w="803"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858" w:name="__UnoMark__18865_118561941"/>
                            <w:bookmarkStart w:id="2859" w:name="__UnoMark__18864_118561941"/>
                            <w:bookmarkEnd w:id="2858"/>
                            <w:bookmarkEnd w:id="2859"/>
                            <w:r>
                              <w:rPr>
                                <w:color w:val="00000A"/>
                                <w:sz w:val="18"/>
                                <w:szCs w:val="18"/>
                              </w:rPr>
                              <w:t>.028</w:t>
                            </w:r>
                          </w:p>
                        </w:tc>
                      </w:tr>
                      <w:tr>
                        <w:trPr>
                          <w:trHeight w:val="124" w:hRule="atLeast"/>
                          <w:cantSplit w:val="true"/>
                        </w:trPr>
                        <w:tc>
                          <w:tcPr>
                            <w:tcW w:w="1325"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860" w:name="__UnoMark__18867_118561941"/>
                            <w:bookmarkStart w:id="2861" w:name="__UnoMark__18866_118561941"/>
                            <w:bookmarkEnd w:id="2860"/>
                            <w:bookmarkEnd w:id="2861"/>
                            <w:r>
                              <w:rPr>
                                <w:color w:val="00000A"/>
                                <w:sz w:val="18"/>
                                <w:szCs w:val="18"/>
                              </w:rPr>
                              <w:t>LPA_LDS</w:t>
                            </w:r>
                          </w:p>
                        </w:tc>
                        <w:tc>
                          <w:tcPr>
                            <w:tcW w:w="114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862" w:name="__UnoMark__18868_118561941"/>
                            <w:bookmarkEnd w:id="2862"/>
                            <w:r>
                              <w:rPr>
                                <w:color w:val="00000A"/>
                                <w:sz w:val="18"/>
                                <w:szCs w:val="18"/>
                              </w:rPr>
                              <w:t>.200</w:t>
                            </w:r>
                            <w:bookmarkStart w:id="2863" w:name="__UnoMark__18869_118561941"/>
                            <w:bookmarkEnd w:id="2863"/>
                            <w:r>
                              <w:rPr>
                                <w:color w:val="00000A"/>
                                <w:sz w:val="18"/>
                                <w:szCs w:val="18"/>
                                <w:vertAlign w:val="superscript"/>
                              </w:rPr>
                              <w:t>*</w:t>
                            </w:r>
                          </w:p>
                        </w:tc>
                        <w:tc>
                          <w:tcPr>
                            <w:tcW w:w="803"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864" w:name="__UnoMark__18871_118561941"/>
                            <w:bookmarkStart w:id="2865" w:name="__UnoMark__18870_118561941"/>
                            <w:bookmarkEnd w:id="2864"/>
                            <w:bookmarkEnd w:id="2865"/>
                            <w:r>
                              <w:rPr>
                                <w:color w:val="00000A"/>
                                <w:sz w:val="18"/>
                                <w:szCs w:val="18"/>
                              </w:rPr>
                              <w:t>.009</w:t>
                            </w:r>
                          </w:p>
                        </w:tc>
                      </w:tr>
                      <w:tr>
                        <w:trPr>
                          <w:trHeight w:val="124" w:hRule="atLeast"/>
                          <w:cantSplit w:val="true"/>
                        </w:trPr>
                        <w:tc>
                          <w:tcPr>
                            <w:tcW w:w="1325"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866" w:name="__UnoMark__18873_118561941"/>
                            <w:bookmarkStart w:id="2867" w:name="__UnoMark__18872_118561941"/>
                            <w:bookmarkEnd w:id="2866"/>
                            <w:bookmarkEnd w:id="2867"/>
                            <w:r>
                              <w:rPr>
                                <w:color w:val="00000A"/>
                                <w:sz w:val="18"/>
                                <w:szCs w:val="18"/>
                              </w:rPr>
                              <w:t>Apriori_LDS</w:t>
                            </w:r>
                          </w:p>
                        </w:tc>
                        <w:tc>
                          <w:tcPr>
                            <w:tcW w:w="114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868" w:name="__UnoMark__18874_118561941"/>
                            <w:bookmarkEnd w:id="2868"/>
                            <w:r>
                              <w:rPr>
                                <w:color w:val="00000A"/>
                                <w:sz w:val="18"/>
                                <w:szCs w:val="18"/>
                              </w:rPr>
                              <w:t>.200</w:t>
                            </w:r>
                            <w:bookmarkStart w:id="2869" w:name="__UnoMark__18875_118561941"/>
                            <w:bookmarkEnd w:id="2869"/>
                            <w:r>
                              <w:rPr>
                                <w:color w:val="00000A"/>
                                <w:sz w:val="18"/>
                                <w:szCs w:val="18"/>
                                <w:vertAlign w:val="superscript"/>
                              </w:rPr>
                              <w:t>*</w:t>
                            </w:r>
                          </w:p>
                        </w:tc>
                        <w:tc>
                          <w:tcPr>
                            <w:tcW w:w="803"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870" w:name="__UnoMark__18877_118561941"/>
                            <w:bookmarkStart w:id="2871" w:name="__UnoMark__18876_118561941"/>
                            <w:bookmarkEnd w:id="2870"/>
                            <w:bookmarkEnd w:id="2871"/>
                            <w:r>
                              <w:rPr>
                                <w:color w:val="00000A"/>
                                <w:sz w:val="18"/>
                                <w:szCs w:val="18"/>
                              </w:rPr>
                              <w:t>.052</w:t>
                            </w:r>
                          </w:p>
                        </w:tc>
                      </w:tr>
                      <w:tr>
                        <w:trPr>
                          <w:trHeight w:val="131" w:hRule="atLeast"/>
                          <w:cantSplit w:val="true"/>
                        </w:trPr>
                        <w:tc>
                          <w:tcPr>
                            <w:tcW w:w="1325"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872" w:name="__UnoMark__18879_118561941"/>
                            <w:bookmarkStart w:id="2873" w:name="__UnoMark__18878_118561941"/>
                            <w:bookmarkEnd w:id="2872"/>
                            <w:bookmarkEnd w:id="2873"/>
                            <w:r>
                              <w:rPr>
                                <w:color w:val="00000A"/>
                                <w:sz w:val="18"/>
                                <w:szCs w:val="18"/>
                              </w:rPr>
                              <w:t>ACO_LDS</w:t>
                            </w:r>
                          </w:p>
                        </w:tc>
                        <w:tc>
                          <w:tcPr>
                            <w:tcW w:w="114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874" w:name="__UnoMark__18880_118561941"/>
                            <w:bookmarkEnd w:id="2874"/>
                            <w:r>
                              <w:rPr>
                                <w:color w:val="00000A"/>
                                <w:sz w:val="18"/>
                                <w:szCs w:val="18"/>
                              </w:rPr>
                              <w:t>.200</w:t>
                            </w:r>
                            <w:bookmarkStart w:id="2875" w:name="__UnoMark__18881_118561941"/>
                            <w:bookmarkEnd w:id="2875"/>
                            <w:r>
                              <w:rPr>
                                <w:color w:val="00000A"/>
                                <w:sz w:val="18"/>
                                <w:szCs w:val="18"/>
                                <w:vertAlign w:val="superscript"/>
                              </w:rPr>
                              <w:t>*</w:t>
                            </w:r>
                          </w:p>
                        </w:tc>
                        <w:tc>
                          <w:tcPr>
                            <w:tcW w:w="803"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876" w:name="__UnoMark__18883_118561941"/>
                            <w:bookmarkStart w:id="2877" w:name="__UnoMark__18882_118561941"/>
                            <w:bookmarkEnd w:id="2876"/>
                            <w:bookmarkEnd w:id="2877"/>
                            <w:r>
                              <w:rPr>
                                <w:color w:val="00000A"/>
                                <w:sz w:val="18"/>
                                <w:szCs w:val="18"/>
                              </w:rPr>
                              <w:t>.079</w:t>
                            </w:r>
                          </w:p>
                        </w:tc>
                      </w:tr>
                      <w:tr>
                        <w:trPr>
                          <w:trHeight w:val="124" w:hRule="atLeast"/>
                          <w:cantSplit w:val="true"/>
                        </w:trPr>
                        <w:tc>
                          <w:tcPr>
                            <w:tcW w:w="1325"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878" w:name="__UnoMark__18885_118561941"/>
                            <w:bookmarkStart w:id="2879" w:name="__UnoMark__18884_118561941"/>
                            <w:bookmarkEnd w:id="2878"/>
                            <w:bookmarkEnd w:id="2879"/>
                            <w:r>
                              <w:rPr>
                                <w:color w:val="00000A"/>
                                <w:sz w:val="18"/>
                                <w:szCs w:val="18"/>
                              </w:rPr>
                              <w:t>GA_LDS</w:t>
                            </w:r>
                          </w:p>
                        </w:tc>
                        <w:tc>
                          <w:tcPr>
                            <w:tcW w:w="114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880" w:name="__UnoMark__18887_118561941"/>
                            <w:bookmarkStart w:id="2881" w:name="__UnoMark__18886_118561941"/>
                            <w:bookmarkEnd w:id="2880"/>
                            <w:bookmarkEnd w:id="2881"/>
                            <w:r>
                              <w:rPr>
                                <w:color w:val="00000A"/>
                                <w:sz w:val="18"/>
                                <w:szCs w:val="18"/>
                              </w:rPr>
                              <w:t>.002</w:t>
                            </w:r>
                          </w:p>
                        </w:tc>
                        <w:tc>
                          <w:tcPr>
                            <w:tcW w:w="803"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882" w:name="__UnoMark__18889_118561941"/>
                            <w:bookmarkStart w:id="2883" w:name="__UnoMark__18888_118561941"/>
                            <w:bookmarkEnd w:id="2882"/>
                            <w:bookmarkEnd w:id="2883"/>
                            <w:r>
                              <w:rPr>
                                <w:color w:val="00000A"/>
                                <w:sz w:val="18"/>
                                <w:szCs w:val="18"/>
                              </w:rPr>
                              <w:t>.000</w:t>
                            </w:r>
                          </w:p>
                        </w:tc>
                      </w:tr>
                      <w:tr>
                        <w:trPr>
                          <w:trHeight w:val="131" w:hRule="atLeast"/>
                          <w:cantSplit w:val="true"/>
                        </w:trPr>
                        <w:tc>
                          <w:tcPr>
                            <w:tcW w:w="1325"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884" w:name="__UnoMark__18891_118561941"/>
                            <w:bookmarkStart w:id="2885" w:name="__UnoMark__18890_118561941"/>
                            <w:bookmarkEnd w:id="2884"/>
                            <w:bookmarkEnd w:id="2885"/>
                            <w:r>
                              <w:rPr>
                                <w:color w:val="00000A"/>
                                <w:sz w:val="18"/>
                                <w:szCs w:val="18"/>
                              </w:rPr>
                              <w:t>PCA_LDS</w:t>
                            </w:r>
                          </w:p>
                        </w:tc>
                        <w:tc>
                          <w:tcPr>
                            <w:tcW w:w="1148"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886" w:name="__UnoMark__18892_118561941"/>
                            <w:bookmarkEnd w:id="2886"/>
                            <w:r>
                              <w:rPr>
                                <w:color w:val="00000A"/>
                                <w:sz w:val="18"/>
                                <w:szCs w:val="18"/>
                              </w:rPr>
                              <w:t>.200</w:t>
                            </w:r>
                            <w:bookmarkStart w:id="2887" w:name="__UnoMark__18893_118561941"/>
                            <w:bookmarkEnd w:id="2887"/>
                            <w:r>
                              <w:rPr>
                                <w:color w:val="00000A"/>
                                <w:sz w:val="18"/>
                                <w:szCs w:val="18"/>
                                <w:vertAlign w:val="superscript"/>
                              </w:rPr>
                              <w:t>*</w:t>
                            </w:r>
                          </w:p>
                        </w:tc>
                        <w:tc>
                          <w:tcPr>
                            <w:tcW w:w="803"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888" w:name="__UnoMark__18894_118561941"/>
                            <w:bookmarkEnd w:id="2888"/>
                            <w:r>
                              <w:rPr>
                                <w:color w:val="00000A"/>
                                <w:sz w:val="18"/>
                                <w:szCs w:val="18"/>
                              </w:rPr>
                              <w:t>.064</w:t>
                            </w:r>
                          </w:p>
                        </w:tc>
                      </w:tr>
                    </w:tbl>
                    <w:p>
                      <w:pPr>
                        <w:pStyle w:val="FrameContents"/>
                        <w:spacing w:before="80" w:after="60"/>
                        <w:rPr>
                          <w:color w:val="000000"/>
                        </w:rPr>
                      </w:pPr>
                      <w:r>
                        <w:rPr>
                          <w:color w:val="000000"/>
                        </w:rPr>
                      </w:r>
                    </w:p>
                  </w:txbxContent>
                </v:textbox>
              </v:rect>
            </w:pict>
          </mc:Fallback>
        </mc:AlternateContent>
      </w:r>
    </w:p>
    <w:p>
      <w:pPr>
        <w:pStyle w:val="Caption1"/>
        <w:keepNext/>
        <w:rPr/>
      </w:pPr>
      <w:r>
        <w:rPr/>
      </w:r>
    </w:p>
    <w:p>
      <w:pPr>
        <w:pStyle w:val="Normal"/>
        <w:rPr>
          <w:lang w:val="en-US"/>
        </w:rPr>
      </w:pPr>
      <w:r>
        <w:rPr>
          <w:lang w:val="en-US"/>
        </w:rPr>
        <mc:AlternateContent>
          <mc:Choice Requires="wps">
            <w:drawing>
              <wp:anchor behindDoc="0" distT="0" distB="0" distL="114300" distR="114300" simplePos="0" locked="0" layoutInCell="1" allowOverlap="1" relativeHeight="50">
                <wp:simplePos x="0" y="0"/>
                <wp:positionH relativeFrom="margin">
                  <wp:align>center</wp:align>
                </wp:positionH>
                <wp:positionV relativeFrom="paragraph">
                  <wp:posOffset>-83185</wp:posOffset>
                </wp:positionV>
                <wp:extent cx="2702560" cy="1434465"/>
                <wp:effectExtent l="0" t="0" r="0" b="0"/>
                <wp:wrapSquare wrapText="bothSides"/>
                <wp:docPr id="90" name="Frame31"/>
                <a:graphic xmlns:a="http://schemas.openxmlformats.org/drawingml/2006/main">
                  <a:graphicData uri="http://schemas.microsoft.com/office/word/2010/wordprocessingShape">
                    <wps:wsp>
                      <wps:cNvSpPr/>
                      <wps:spPr>
                        <a:xfrm>
                          <a:off x="0" y="0"/>
                          <a:ext cx="2701800" cy="1433880"/>
                        </a:xfrm>
                        <a:prstGeom prst="rect">
                          <a:avLst/>
                        </a:prstGeom>
                        <a:noFill/>
                        <a:ln>
                          <a:noFill/>
                        </a:ln>
                      </wps:spPr>
                      <wps:style>
                        <a:lnRef idx="0"/>
                        <a:fillRef idx="0"/>
                        <a:effectRef idx="0"/>
                        <a:fontRef idx="minor"/>
                      </wps:style>
                      <wps:txbx>
                        <w:txbxContent>
                          <w:tbl>
                            <w:tblPr>
                              <w:tblW w:w="4253" w:type="dxa"/>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1984"/>
                              <w:gridCol w:w="708"/>
                              <w:gridCol w:w="1561"/>
                            </w:tblGrid>
                            <w:tr>
                              <w:trPr>
                                <w:trHeight w:val="131" w:hRule="atLeast"/>
                                <w:cantSplit w:val="true"/>
                              </w:trPr>
                              <w:tc>
                                <w:tcPr>
                                  <w:tcW w:w="198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889" w:name="__UnoMark__18942_118561941"/>
                                  <w:bookmarkEnd w:id="2889"/>
                                  <w:r>
                                    <w:rPr>
                                      <w:color w:val="00000A"/>
                                      <w:sz w:val="18"/>
                                      <w:szCs w:val="18"/>
                                      <w:lang w:val="en-US"/>
                                    </w:rPr>
                                    <w:t>Algoritmos</w:t>
                                  </w:r>
                                </w:p>
                              </w:tc>
                              <w:tc>
                                <w:tcPr>
                                  <w:tcW w:w="708"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890" w:name="__UnoMark__18944_118561941"/>
                                  <w:bookmarkStart w:id="2891" w:name="__UnoMark__18943_118561941"/>
                                  <w:bookmarkEnd w:id="2890"/>
                                  <w:bookmarkEnd w:id="2891"/>
                                  <w:r>
                                    <w:rPr>
                                      <w:color w:val="00000A"/>
                                      <w:sz w:val="18"/>
                                      <w:szCs w:val="18"/>
                                      <w:lang w:val="en-US"/>
                                    </w:rPr>
                                    <w:t>p-value</w:t>
                                  </w:r>
                                </w:p>
                              </w:tc>
                              <w:tc>
                                <w:tcPr>
                                  <w:tcW w:w="156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892" w:name="__UnoMark__18946_118561941"/>
                                  <w:bookmarkStart w:id="2893" w:name="__UnoMark__18945_118561941"/>
                                  <w:bookmarkEnd w:id="2892"/>
                                  <w:bookmarkEnd w:id="2893"/>
                                  <w:r>
                                    <w:rPr>
                                      <w:color w:val="00000A"/>
                                      <w:sz w:val="18"/>
                                      <w:szCs w:val="18"/>
                                      <w:lang w:val="en-US"/>
                                    </w:rPr>
                                    <w:t>Resultados</w:t>
                                  </w:r>
                                </w:p>
                              </w:tc>
                            </w:tr>
                            <w:tr>
                              <w:trPr>
                                <w:trHeight w:val="920" w:hRule="atLeast"/>
                                <w:cantSplit w:val="true"/>
                              </w:trPr>
                              <w:tc>
                                <w:tcPr>
                                  <w:tcW w:w="198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894" w:name="__UnoMark__18947_118561941"/>
                                  <w:bookmarkEnd w:id="2894"/>
                                  <w:r>
                                    <w:rPr>
                                      <w:i/>
                                      <w:color w:val="00000A"/>
                                      <w:sz w:val="18"/>
                                      <w:szCs w:val="18"/>
                                      <w:lang w:val="en-US"/>
                                    </w:rPr>
                                    <w:t>Friedman test</w:t>
                                  </w:r>
                                  <w:r>
                                    <w:rPr>
                                      <w:color w:val="00000A"/>
                                      <w:sz w:val="18"/>
                                      <w:szCs w:val="18"/>
                                      <w:lang w:val="en-US"/>
                                    </w:rPr>
                                    <w:t xml:space="preserve"> (grupo A)</w:t>
                                  </w:r>
                                </w:p>
                                <w:p>
                                  <w:pPr>
                                    <w:pStyle w:val="FrameContents"/>
                                    <w:spacing w:lineRule="auto" w:line="240" w:before="0" w:after="0"/>
                                    <w:jc w:val="left"/>
                                    <w:rPr>
                                      <w:color w:val="00000A"/>
                                    </w:rPr>
                                  </w:pPr>
                                  <w:bookmarkStart w:id="2895" w:name="__UnoMark__18948_118561941"/>
                                  <w:bookmarkEnd w:id="2895"/>
                                  <w:r>
                                    <w:rPr>
                                      <w:color w:val="00000A"/>
                                      <w:sz w:val="18"/>
                                      <w:szCs w:val="18"/>
                                      <w:lang w:val="en-US"/>
                                    </w:rPr>
                                    <w:t>PCA_LDS, Apriori_LDS, GA_LDS, RST_LDS, LPA_LDS</w:t>
                                  </w:r>
                                </w:p>
                              </w:tc>
                              <w:tc>
                                <w:tcPr>
                                  <w:tcW w:w="708"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896" w:name="__UnoMark__18950_118561941"/>
                                  <w:bookmarkStart w:id="2897" w:name="__UnoMark__18949_118561941"/>
                                  <w:bookmarkEnd w:id="2896"/>
                                  <w:bookmarkEnd w:id="2897"/>
                                  <w:r>
                                    <w:rPr>
                                      <w:color w:val="00000A"/>
                                      <w:sz w:val="18"/>
                                      <w:szCs w:val="18"/>
                                      <w:lang w:val="en-US"/>
                                    </w:rPr>
                                    <w:t>0.767</w:t>
                                  </w:r>
                                </w:p>
                              </w:tc>
                              <w:tc>
                                <w:tcPr>
                                  <w:tcW w:w="156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898" w:name="__UnoMark__18952_118561941"/>
                                  <w:bookmarkStart w:id="2899" w:name="__UnoMark__18951_118561941"/>
                                  <w:bookmarkEnd w:id="2898"/>
                                  <w:bookmarkEnd w:id="2899"/>
                                  <w:r>
                                    <w:rPr>
                                      <w:color w:val="00000A"/>
                                      <w:sz w:val="18"/>
                                      <w:szCs w:val="18"/>
                                      <w:lang w:val="en-US"/>
                                    </w:rPr>
                                    <w:t>No hay diferencias significativas</w:t>
                                  </w:r>
                                </w:p>
                              </w:tc>
                            </w:tr>
                            <w:tr>
                              <w:trPr>
                                <w:trHeight w:val="790" w:hRule="atLeast"/>
                                <w:cantSplit w:val="true"/>
                              </w:trPr>
                              <w:tc>
                                <w:tcPr>
                                  <w:tcW w:w="198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900" w:name="__UnoMark__18953_118561941"/>
                                  <w:bookmarkEnd w:id="2900"/>
                                  <w:r>
                                    <w:rPr>
                                      <w:i/>
                                      <w:color w:val="00000A"/>
                                      <w:sz w:val="18"/>
                                      <w:szCs w:val="18"/>
                                    </w:rPr>
                                    <w:t xml:space="preserve">Wilcoxon test </w:t>
                                  </w:r>
                                </w:p>
                                <w:p>
                                  <w:pPr>
                                    <w:pStyle w:val="FrameContents"/>
                                    <w:spacing w:lineRule="auto" w:line="240" w:before="0" w:after="0"/>
                                    <w:jc w:val="left"/>
                                    <w:rPr>
                                      <w:color w:val="00000A"/>
                                    </w:rPr>
                                  </w:pPr>
                                  <w:r>
                                    <w:rPr>
                                      <w:color w:val="00000A"/>
                                      <w:sz w:val="18"/>
                                      <w:szCs w:val="18"/>
                                    </w:rPr>
                                    <w:t xml:space="preserve">PCA_LDS (grupo A) – </w:t>
                                  </w:r>
                                </w:p>
                                <w:p>
                                  <w:pPr>
                                    <w:pStyle w:val="FrameContents"/>
                                    <w:spacing w:lineRule="auto" w:line="240" w:before="0" w:after="0"/>
                                    <w:jc w:val="left"/>
                                    <w:rPr>
                                      <w:color w:val="00000A"/>
                                    </w:rPr>
                                  </w:pPr>
                                  <w:bookmarkStart w:id="2901" w:name="__UnoMark__18954_118561941"/>
                                  <w:bookmarkEnd w:id="2901"/>
                                  <w:r>
                                    <w:rPr>
                                      <w:color w:val="00000A"/>
                                      <w:sz w:val="18"/>
                                      <w:szCs w:val="18"/>
                                    </w:rPr>
                                    <w:t>ACO_LDS (grupo B)</w:t>
                                  </w:r>
                                </w:p>
                              </w:tc>
                              <w:tc>
                                <w:tcPr>
                                  <w:tcW w:w="708"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color w:val="00000A"/>
                                    </w:rPr>
                                  </w:pPr>
                                  <w:bookmarkStart w:id="2902" w:name="__UnoMark__18956_118561941"/>
                                  <w:bookmarkStart w:id="2903" w:name="__UnoMark__18955_118561941"/>
                                  <w:bookmarkEnd w:id="2902"/>
                                  <w:bookmarkEnd w:id="2903"/>
                                  <w:r>
                                    <w:rPr>
                                      <w:color w:val="00000A"/>
                                      <w:sz w:val="18"/>
                                      <w:szCs w:val="18"/>
                                      <w:lang w:val="en-US"/>
                                    </w:rPr>
                                    <w:t>0.002</w:t>
                                  </w:r>
                                </w:p>
                              </w:tc>
                              <w:tc>
                                <w:tcPr>
                                  <w:tcW w:w="156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904" w:name="__UnoMark__18957_118561941"/>
                                  <w:bookmarkEnd w:id="2904"/>
                                  <w:r>
                                    <w:rPr>
                                      <w:color w:val="00000A"/>
                                      <w:sz w:val="18"/>
                                      <w:szCs w:val="18"/>
                                      <w:lang w:val="en-US"/>
                                    </w:rPr>
                                    <w:t>Hay diferencias significativas</w:t>
                                  </w:r>
                                </w:p>
                              </w:tc>
                            </w:tr>
                          </w:tbl>
                          <w:p>
                            <w:pPr>
                              <w:pStyle w:val="FrameContents"/>
                              <w:spacing w:before="80" w:after="60"/>
                              <w:rPr>
                                <w:color w:val="000000"/>
                              </w:rPr>
                            </w:pPr>
                            <w:r>
                              <w:rPr>
                                <w:color w:val="000000"/>
                              </w:rPr>
                            </w:r>
                          </w:p>
                        </w:txbxContent>
                      </wps:txbx>
                      <wps:bodyPr lIns="0" rIns="0" tIns="0" bIns="0">
                        <a:spAutoFit/>
                      </wps:bodyPr>
                    </wps:wsp>
                  </a:graphicData>
                </a:graphic>
              </wp:anchor>
            </w:drawing>
          </mc:Choice>
          <mc:Fallback>
            <w:pict>
              <v:rect id="shape_0" ID="Frame31" stroked="f" style="position:absolute;margin-left:118.05pt;margin-top:-6.55pt;width:212.7pt;height:112.85pt;mso-position-horizontal:center;mso-position-horizontal-relative:margin">
                <w10:wrap type="none"/>
                <v:fill o:detectmouseclick="t" on="false"/>
                <v:stroke color="#3465a4" joinstyle="round" endcap="flat"/>
                <v:textbox>
                  <w:txbxContent>
                    <w:tbl>
                      <w:tblPr>
                        <w:tblW w:w="4253" w:type="dxa"/>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1984"/>
                        <w:gridCol w:w="708"/>
                        <w:gridCol w:w="1561"/>
                      </w:tblGrid>
                      <w:tr>
                        <w:trPr>
                          <w:trHeight w:val="131" w:hRule="atLeast"/>
                          <w:cantSplit w:val="true"/>
                        </w:trPr>
                        <w:tc>
                          <w:tcPr>
                            <w:tcW w:w="198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905" w:name="__UnoMark__18942_118561941"/>
                            <w:bookmarkEnd w:id="2905"/>
                            <w:r>
                              <w:rPr>
                                <w:color w:val="00000A"/>
                                <w:sz w:val="18"/>
                                <w:szCs w:val="18"/>
                                <w:lang w:val="en-US"/>
                              </w:rPr>
                              <w:t>Algoritmos</w:t>
                            </w:r>
                          </w:p>
                        </w:tc>
                        <w:tc>
                          <w:tcPr>
                            <w:tcW w:w="708"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906" w:name="__UnoMark__18944_118561941"/>
                            <w:bookmarkStart w:id="2907" w:name="__UnoMark__18943_118561941"/>
                            <w:bookmarkEnd w:id="2906"/>
                            <w:bookmarkEnd w:id="2907"/>
                            <w:r>
                              <w:rPr>
                                <w:color w:val="00000A"/>
                                <w:sz w:val="18"/>
                                <w:szCs w:val="18"/>
                                <w:lang w:val="en-US"/>
                              </w:rPr>
                              <w:t>p-value</w:t>
                            </w:r>
                          </w:p>
                        </w:tc>
                        <w:tc>
                          <w:tcPr>
                            <w:tcW w:w="156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908" w:name="__UnoMark__18946_118561941"/>
                            <w:bookmarkStart w:id="2909" w:name="__UnoMark__18945_118561941"/>
                            <w:bookmarkEnd w:id="2908"/>
                            <w:bookmarkEnd w:id="2909"/>
                            <w:r>
                              <w:rPr>
                                <w:color w:val="00000A"/>
                                <w:sz w:val="18"/>
                                <w:szCs w:val="18"/>
                                <w:lang w:val="en-US"/>
                              </w:rPr>
                              <w:t>Resultados</w:t>
                            </w:r>
                          </w:p>
                        </w:tc>
                      </w:tr>
                      <w:tr>
                        <w:trPr>
                          <w:trHeight w:val="920" w:hRule="atLeast"/>
                          <w:cantSplit w:val="true"/>
                        </w:trPr>
                        <w:tc>
                          <w:tcPr>
                            <w:tcW w:w="198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910" w:name="__UnoMark__18947_118561941"/>
                            <w:bookmarkEnd w:id="2910"/>
                            <w:r>
                              <w:rPr>
                                <w:i/>
                                <w:color w:val="00000A"/>
                                <w:sz w:val="18"/>
                                <w:szCs w:val="18"/>
                                <w:lang w:val="en-US"/>
                              </w:rPr>
                              <w:t>Friedman test</w:t>
                            </w:r>
                            <w:r>
                              <w:rPr>
                                <w:color w:val="00000A"/>
                                <w:sz w:val="18"/>
                                <w:szCs w:val="18"/>
                                <w:lang w:val="en-US"/>
                              </w:rPr>
                              <w:t xml:space="preserve"> (grupo A)</w:t>
                            </w:r>
                          </w:p>
                          <w:p>
                            <w:pPr>
                              <w:pStyle w:val="FrameContents"/>
                              <w:spacing w:lineRule="auto" w:line="240" w:before="0" w:after="0"/>
                              <w:jc w:val="left"/>
                              <w:rPr>
                                <w:color w:val="00000A"/>
                              </w:rPr>
                            </w:pPr>
                            <w:bookmarkStart w:id="2911" w:name="__UnoMark__18948_118561941"/>
                            <w:bookmarkEnd w:id="2911"/>
                            <w:r>
                              <w:rPr>
                                <w:color w:val="00000A"/>
                                <w:sz w:val="18"/>
                                <w:szCs w:val="18"/>
                                <w:lang w:val="en-US"/>
                              </w:rPr>
                              <w:t>PCA_LDS, Apriori_LDS, GA_LDS, RST_LDS, LPA_LDS</w:t>
                            </w:r>
                          </w:p>
                        </w:tc>
                        <w:tc>
                          <w:tcPr>
                            <w:tcW w:w="708"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912" w:name="__UnoMark__18950_118561941"/>
                            <w:bookmarkStart w:id="2913" w:name="__UnoMark__18949_118561941"/>
                            <w:bookmarkEnd w:id="2912"/>
                            <w:bookmarkEnd w:id="2913"/>
                            <w:r>
                              <w:rPr>
                                <w:color w:val="00000A"/>
                                <w:sz w:val="18"/>
                                <w:szCs w:val="18"/>
                                <w:lang w:val="en-US"/>
                              </w:rPr>
                              <w:t>0.767</w:t>
                            </w:r>
                          </w:p>
                        </w:tc>
                        <w:tc>
                          <w:tcPr>
                            <w:tcW w:w="156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914" w:name="__UnoMark__18952_118561941"/>
                            <w:bookmarkStart w:id="2915" w:name="__UnoMark__18951_118561941"/>
                            <w:bookmarkEnd w:id="2914"/>
                            <w:bookmarkEnd w:id="2915"/>
                            <w:r>
                              <w:rPr>
                                <w:color w:val="00000A"/>
                                <w:sz w:val="18"/>
                                <w:szCs w:val="18"/>
                                <w:lang w:val="en-US"/>
                              </w:rPr>
                              <w:t>No hay diferencias significativas</w:t>
                            </w:r>
                          </w:p>
                        </w:tc>
                      </w:tr>
                      <w:tr>
                        <w:trPr>
                          <w:trHeight w:val="790" w:hRule="atLeast"/>
                          <w:cantSplit w:val="true"/>
                        </w:trPr>
                        <w:tc>
                          <w:tcPr>
                            <w:tcW w:w="198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2916" w:name="__UnoMark__18953_118561941"/>
                            <w:bookmarkEnd w:id="2916"/>
                            <w:r>
                              <w:rPr>
                                <w:i/>
                                <w:color w:val="00000A"/>
                                <w:sz w:val="18"/>
                                <w:szCs w:val="18"/>
                              </w:rPr>
                              <w:t xml:space="preserve">Wilcoxon test </w:t>
                            </w:r>
                          </w:p>
                          <w:p>
                            <w:pPr>
                              <w:pStyle w:val="FrameContents"/>
                              <w:spacing w:lineRule="auto" w:line="240" w:before="0" w:after="0"/>
                              <w:jc w:val="left"/>
                              <w:rPr>
                                <w:color w:val="00000A"/>
                              </w:rPr>
                            </w:pPr>
                            <w:r>
                              <w:rPr>
                                <w:color w:val="00000A"/>
                                <w:sz w:val="18"/>
                                <w:szCs w:val="18"/>
                              </w:rPr>
                              <w:t xml:space="preserve">PCA_LDS (grupo A) – </w:t>
                            </w:r>
                          </w:p>
                          <w:p>
                            <w:pPr>
                              <w:pStyle w:val="FrameContents"/>
                              <w:spacing w:lineRule="auto" w:line="240" w:before="0" w:after="0"/>
                              <w:jc w:val="left"/>
                              <w:rPr>
                                <w:color w:val="00000A"/>
                              </w:rPr>
                            </w:pPr>
                            <w:bookmarkStart w:id="2917" w:name="__UnoMark__18954_118561941"/>
                            <w:bookmarkEnd w:id="2917"/>
                            <w:r>
                              <w:rPr>
                                <w:color w:val="00000A"/>
                                <w:sz w:val="18"/>
                                <w:szCs w:val="18"/>
                              </w:rPr>
                              <w:t>ACO_LDS (grupo B)</w:t>
                            </w:r>
                          </w:p>
                        </w:tc>
                        <w:tc>
                          <w:tcPr>
                            <w:tcW w:w="708"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color w:val="00000A"/>
                              </w:rPr>
                            </w:pPr>
                            <w:bookmarkStart w:id="2918" w:name="__UnoMark__18956_118561941"/>
                            <w:bookmarkStart w:id="2919" w:name="__UnoMark__18955_118561941"/>
                            <w:bookmarkEnd w:id="2918"/>
                            <w:bookmarkEnd w:id="2919"/>
                            <w:r>
                              <w:rPr>
                                <w:color w:val="00000A"/>
                                <w:sz w:val="18"/>
                                <w:szCs w:val="18"/>
                                <w:lang w:val="en-US"/>
                              </w:rPr>
                              <w:t>0.002</w:t>
                            </w:r>
                          </w:p>
                        </w:tc>
                        <w:tc>
                          <w:tcPr>
                            <w:tcW w:w="1561"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2920" w:name="__UnoMark__18957_118561941"/>
                            <w:bookmarkEnd w:id="2920"/>
                            <w:r>
                              <w:rPr>
                                <w:color w:val="00000A"/>
                                <w:sz w:val="18"/>
                                <w:szCs w:val="18"/>
                                <w:lang w:val="en-US"/>
                              </w:rPr>
                              <w:t>Hay diferencias significativas</w:t>
                            </w:r>
                          </w:p>
                        </w:tc>
                      </w:tr>
                    </w:tbl>
                    <w:p>
                      <w:pPr>
                        <w:pStyle w:val="FrameContents"/>
                        <w:spacing w:before="80" w:after="60"/>
                        <w:rPr>
                          <w:color w:val="000000"/>
                        </w:rPr>
                      </w:pPr>
                      <w:r>
                        <w:rPr>
                          <w:color w:val="000000"/>
                        </w:rPr>
                      </w:r>
                    </w:p>
                  </w:txbxContent>
                </v:textbox>
              </v:rect>
            </w:pict>
          </mc:Fallback>
        </mc:AlternateContent>
      </w:r>
    </w:p>
    <w:p>
      <w:pPr>
        <w:pStyle w:val="Heading3"/>
        <w:numPr>
          <w:ilvl w:val="2"/>
          <w:numId w:val="80"/>
        </w:numPr>
        <w:rPr/>
      </w:pPr>
      <w:r>
        <w:rPr/>
        <w:t>Comparación de los algoritmos respecto al indicador Te</w:t>
      </w:r>
      <w:r>
        <w:rPr>
          <w:vertAlign w:val="subscript"/>
        </w:rPr>
        <w:t>5</w:t>
      </w:r>
    </w:p>
    <w:p>
      <w:pPr>
        <w:pStyle w:val="Normal"/>
        <w:rPr>
          <w:lang w:val="en-US"/>
        </w:rPr>
      </w:pPr>
      <w:r>
        <w:rPr>
          <w:lang w:val="en-US"/>
        </w:rPr>
        <w:t xml:space="preserve">Respecto a la media aritmética del indicador </w:t>
      </w:r>
      <w:r>
        <w:rPr>
          <w:i/>
          <w:lang w:val="en-US"/>
        </w:rPr>
        <w:t>Te</w:t>
      </w:r>
      <w:r>
        <w:rPr>
          <w:i/>
          <w:vertAlign w:val="subscript"/>
          <w:lang w:val="en-US"/>
        </w:rPr>
        <w:t>5</w:t>
      </w:r>
      <w:r>
        <w:rPr>
          <w:vertAlign w:val="subscript"/>
          <w:lang w:val="en-US"/>
        </w:rPr>
        <w:t>,</w:t>
      </w:r>
      <w:r>
        <w:rPr>
          <w:lang w:val="en-US"/>
        </w:rPr>
        <w:t xml:space="preserve"> los algoritmos quedan ubicados en el siguiente orden: </w:t>
      </w:r>
      <w:r>
        <w:rPr>
          <w:rFonts w:cs="Courier New" w:ascii="Courier New" w:hAnsi="Courier New"/>
        </w:rPr>
        <w:t>GA_LDS</w:t>
      </w:r>
      <w:r>
        <w:rPr>
          <w:lang w:val="en-US"/>
        </w:rPr>
        <w:t xml:space="preserve">, </w:t>
      </w:r>
      <w:r>
        <w:rPr>
          <w:rFonts w:cs="Courier New" w:ascii="Courier New" w:hAnsi="Courier New"/>
        </w:rPr>
        <w:t>ACO_LDS</w:t>
      </w:r>
      <w:r>
        <w:rPr>
          <w:lang w:val="en-US"/>
        </w:rPr>
        <w:t xml:space="preserve">, </w:t>
      </w:r>
      <w:r>
        <w:rPr>
          <w:rFonts w:cs="Courier New" w:ascii="Courier New" w:hAnsi="Courier New"/>
        </w:rPr>
        <w:t>RST_LDS</w:t>
      </w:r>
      <w:r>
        <w:rPr>
          <w:lang w:val="en-US"/>
        </w:rPr>
        <w:t xml:space="preserve">, </w:t>
      </w:r>
      <w:r>
        <w:rPr>
          <w:rFonts w:cs="Courier New" w:ascii="Courier New" w:hAnsi="Courier New"/>
        </w:rPr>
        <w:t>LPA_LDS</w:t>
      </w:r>
      <w:r>
        <w:rPr>
          <w:lang w:val="en-US"/>
        </w:rPr>
        <w:t xml:space="preserve">, </w:t>
      </w:r>
      <w:r>
        <w:rPr>
          <w:rFonts w:cs="Courier New" w:ascii="Courier New" w:hAnsi="Courier New"/>
        </w:rPr>
        <w:t xml:space="preserve">PCA_LDS </w:t>
      </w:r>
      <w:r>
        <w:rPr>
          <w:lang w:val="en-US"/>
        </w:rPr>
        <w:t xml:space="preserve">y </w:t>
      </w:r>
      <w:r>
        <w:rPr>
          <w:rFonts w:cs="Courier New" w:ascii="Courier New" w:hAnsi="Courier New"/>
        </w:rPr>
        <w:t>Apriori_LDS</w:t>
      </w:r>
      <w:r>
        <w:rPr>
          <w:lang w:val="en-US"/>
        </w:rPr>
        <w:t>.</w:t>
      </w:r>
    </w:p>
    <w:p>
      <w:pPr>
        <w:pStyle w:val="Normal"/>
        <w:rPr/>
      </w:pPr>
      <w:r>
        <mc:AlternateContent>
          <mc:Choice Requires="wps">
            <w:drawing>
              <wp:anchor behindDoc="0" distT="45720" distB="45720" distL="114300" distR="114300" simplePos="0" locked="0" layoutInCell="1" allowOverlap="1" relativeHeight="4" wp14:anchorId="0A4794DB">
                <wp:simplePos x="0" y="0"/>
                <wp:positionH relativeFrom="margin">
                  <wp:posOffset>1551305</wp:posOffset>
                </wp:positionH>
                <wp:positionV relativeFrom="paragraph">
                  <wp:posOffset>635</wp:posOffset>
                </wp:positionV>
                <wp:extent cx="4039870" cy="2656840"/>
                <wp:effectExtent l="0" t="0" r="1270" b="0"/>
                <wp:wrapSquare wrapText="bothSides"/>
                <wp:docPr id="92" name="Cuadro de texto 2"/>
                <a:graphic xmlns:a="http://schemas.openxmlformats.org/drawingml/2006/main">
                  <a:graphicData uri="http://schemas.microsoft.com/office/word/2010/wordprocessingShape">
                    <wps:wsp>
                      <wps:cNvSpPr/>
                      <wps:spPr>
                        <a:xfrm>
                          <a:off x="0" y="0"/>
                          <a:ext cx="4039200" cy="2656080"/>
                        </a:xfrm>
                        <a:prstGeom prst="rect">
                          <a:avLst/>
                        </a:prstGeom>
                        <a:solidFill>
                          <a:srgbClr val="ffffff"/>
                        </a:solidFill>
                        <a:ln w="9360">
                          <a:noFill/>
                        </a:ln>
                      </wps:spPr>
                      <wps:style>
                        <a:lnRef idx="0"/>
                        <a:fillRef idx="0"/>
                        <a:effectRef idx="0"/>
                        <a:fontRef idx="minor"/>
                      </wps:style>
                      <wps:txbx>
                        <w:txbxContent>
                          <w:p>
                            <w:pPr>
                              <w:pStyle w:val="FrameContents"/>
                              <w:spacing w:before="80" w:after="60"/>
                              <w:rPr/>
                            </w:pPr>
                            <w:bookmarkStart w:id="2921" w:name="_Ref65869801"/>
                            <w:bookmarkStart w:id="2922" w:name="_Ref68932820"/>
                            <w:bookmarkEnd w:id="2921"/>
                            <w:bookmarkEnd w:id="2922"/>
                            <w:r>
                              <w:rPr/>
                              <w:drawing>
                                <wp:inline distT="0" distB="0" distL="0" distR="0">
                                  <wp:extent cx="3543300" cy="2641600"/>
                                  <wp:effectExtent l="0" t="0" r="0" b="0"/>
                                  <wp:docPr id="94" name="Chart 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Chart 83" descr=""/>
                                          <pic:cNvPicPr>
                                            <a:picLocks noChangeAspect="1" noChangeArrowheads="1"/>
                                          </pic:cNvPicPr>
                                        </pic:nvPicPr>
                                        <pic:blipFill>
                                          <a:blip r:embed="rId24"/>
                                          <a:stretch>
                                            <a:fillRect/>
                                          </a:stretch>
                                        </pic:blipFill>
                                        <pic:spPr bwMode="auto">
                                          <a:xfrm>
                                            <a:off x="0" y="0"/>
                                            <a:ext cx="3543300" cy="2641600"/>
                                          </a:xfrm>
                                          <a:prstGeom prst="rect">
                                            <a:avLst/>
                                          </a:prstGeom>
                                        </pic:spPr>
                                      </pic:pic>
                                    </a:graphicData>
                                  </a:graphic>
                                </wp:inline>
                              </w:drawing>
                            </w:r>
                          </w:p>
                        </w:txbxContent>
                      </wps:txbx>
                      <wps:bodyPr lIns="90000" rIns="90000" tIns="45000" bIns="45000">
                        <a:noAutofit/>
                      </wps:bodyPr>
                    </wps:wsp>
                  </a:graphicData>
                </a:graphic>
              </wp:anchor>
            </w:drawing>
          </mc:Choice>
          <mc:Fallback>
            <w:pict>
              <v:rect id="shape_0" ID="Cuadro de texto 2" fillcolor="white" stroked="f" style="position:absolute;margin-left:122.15pt;margin-top:0.05pt;width:318pt;height:209.1pt;mso-position-horizontal-relative:margin" wp14:anchorId="0A4794DB">
                <w10:wrap type="none"/>
                <v:fill o:detectmouseclick="t" type="solid" color2="black"/>
                <v:stroke color="#3465a4" weight="9360" joinstyle="round" endcap="flat"/>
                <v:textbox>
                  <w:txbxContent>
                    <w:p>
                      <w:pPr>
                        <w:pStyle w:val="FrameContents"/>
                        <w:spacing w:before="80" w:after="60"/>
                        <w:rPr/>
                      </w:pPr>
                      <w:bookmarkStart w:id="2923" w:name="_Ref65869801"/>
                      <w:bookmarkStart w:id="2924" w:name="_Ref68932820"/>
                      <w:bookmarkEnd w:id="2923"/>
                      <w:bookmarkEnd w:id="2924"/>
                      <w:r>
                        <w:rPr/>
                        <w:drawing>
                          <wp:inline distT="0" distB="0" distL="0" distR="0">
                            <wp:extent cx="3543300" cy="2641600"/>
                            <wp:effectExtent l="0" t="0" r="0" b="0"/>
                            <wp:docPr id="95" name="Chart 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Chart 83" descr=""/>
                                    <pic:cNvPicPr>
                                      <a:picLocks noChangeAspect="1" noChangeArrowheads="1"/>
                                    </pic:cNvPicPr>
                                  </pic:nvPicPr>
                                  <pic:blipFill>
                                    <a:blip r:embed="rId24"/>
                                    <a:stretch>
                                      <a:fillRect/>
                                    </a:stretch>
                                  </pic:blipFill>
                                  <pic:spPr bwMode="auto">
                                    <a:xfrm>
                                      <a:off x="0" y="0"/>
                                      <a:ext cx="3543300" cy="2641600"/>
                                    </a:xfrm>
                                    <a:prstGeom prst="rect">
                                      <a:avLst/>
                                    </a:prstGeom>
                                  </pic:spPr>
                                </pic:pic>
                              </a:graphicData>
                            </a:graphic>
                          </wp:inline>
                        </w:drawing>
                      </w:r>
                    </w:p>
                  </w:txbxContent>
                </v:textbox>
              </v:rect>
            </w:pict>
          </mc:Fallback>
        </mc:AlternateContent>
        <mc:AlternateContent>
          <mc:Choice Requires="wps">
            <w:drawing>
              <wp:anchor behindDoc="0" distT="0" distB="0" distL="114300" distR="114300" simplePos="0" locked="0" layoutInCell="1" allowOverlap="1" relativeHeight="17" wp14:anchorId="035EC2A5">
                <wp:simplePos x="0" y="0"/>
                <wp:positionH relativeFrom="column">
                  <wp:posOffset>1703705</wp:posOffset>
                </wp:positionH>
                <wp:positionV relativeFrom="paragraph">
                  <wp:posOffset>2767965</wp:posOffset>
                </wp:positionV>
                <wp:extent cx="3817620" cy="196215"/>
                <wp:effectExtent l="0" t="0" r="0" b="6985"/>
                <wp:wrapSquare wrapText="bothSides"/>
                <wp:docPr id="96" name="Text Box 96"/>
                <a:graphic xmlns:a="http://schemas.openxmlformats.org/drawingml/2006/main">
                  <a:graphicData uri="http://schemas.microsoft.com/office/word/2010/wordprocessingShape">
                    <wps:wsp>
                      <wps:cNvSpPr/>
                      <wps:spPr>
                        <a:xfrm>
                          <a:off x="0" y="0"/>
                          <a:ext cx="3817080" cy="195480"/>
                        </a:xfrm>
                        <a:prstGeom prst="rect">
                          <a:avLst/>
                        </a:prstGeom>
                        <a:solidFill>
                          <a:srgbClr val="ffffff"/>
                        </a:solidFill>
                        <a:ln>
                          <a:noFill/>
                        </a:ln>
                      </wps:spPr>
                      <wps:style>
                        <a:lnRef idx="0"/>
                        <a:fillRef idx="0"/>
                        <a:effectRef idx="0"/>
                        <a:fontRef idx="minor"/>
                      </wps:style>
                      <wps:txbx>
                        <w:txbxContent>
                          <w:p>
                            <w:pPr>
                              <w:pStyle w:val="FrameContents"/>
                              <w:spacing w:before="80" w:after="60"/>
                              <w:jc w:val="center"/>
                              <w:rPr/>
                            </w:pPr>
                            <w:bookmarkStart w:id="2925" w:name="_Toc84599026"/>
                            <w:bookmarkStart w:id="2926" w:name="_Ref84598529"/>
                            <w:r>
                              <w:rPr>
                                <w:color w:val="00000A"/>
                                <w:sz w:val="20"/>
                              </w:rPr>
                              <w:t xml:space="preserve">Figura </w:t>
                            </w:r>
                            <w:r>
                              <w:rPr>
                                <w:color w:val="00000A"/>
                                <w:sz w:val="20"/>
                              </w:rPr>
                              <w:fldChar w:fldCharType="begin"/>
                            </w:r>
                            <w:r>
                              <w:instrText> SEQ Figura \* ARABIC </w:instrText>
                            </w:r>
                            <w:r>
                              <w:fldChar w:fldCharType="separate"/>
                            </w:r>
                            <w:r>
                              <w:t>19</w:t>
                            </w:r>
                            <w:r>
                              <w:fldChar w:fldCharType="end"/>
                            </w:r>
                            <w:bookmarkEnd w:id="2926"/>
                            <w:r>
                              <w:rPr>
                                <w:color w:val="00000A"/>
                                <w:sz w:val="20"/>
                              </w:rPr>
                              <w:t xml:space="preserve">: Media aritmética del indicador </w:t>
                            </w:r>
                            <w:r>
                              <w:rPr>
                                <w:i/>
                                <w:color w:val="00000A"/>
                                <w:sz w:val="20"/>
                              </w:rPr>
                              <w:t>Te</w:t>
                            </w:r>
                            <w:r>
                              <w:rPr>
                                <w:i/>
                                <w:color w:val="00000A"/>
                                <w:sz w:val="20"/>
                                <w:vertAlign w:val="subscript"/>
                              </w:rPr>
                              <w:t>5</w:t>
                            </w:r>
                            <w:bookmarkEnd w:id="2925"/>
                            <w:r>
                              <w:rPr>
                                <w:color w:val="00000A"/>
                                <w:sz w:val="20"/>
                              </w:rPr>
                              <w:t>.</w:t>
                            </w:r>
                          </w:p>
                        </w:txbxContent>
                      </wps:txbx>
                      <wps:bodyPr lIns="0" rIns="0" tIns="0" bIns="0">
                        <a:prstTxWarp prst="textNoShape"/>
                        <a:spAutoFit/>
                      </wps:bodyPr>
                    </wps:wsp>
                  </a:graphicData>
                </a:graphic>
              </wp:anchor>
            </w:drawing>
          </mc:Choice>
          <mc:Fallback>
            <w:pict>
              <v:rect id="shape_0" ID="Text Box 96" fillcolor="white" stroked="f" style="position:absolute;margin-left:134.15pt;margin-top:217.95pt;width:300.5pt;height:15.35pt" wp14:anchorId="035EC2A5">
                <w10:wrap type="square"/>
                <v:fill o:detectmouseclick="t" type="solid" color2="black"/>
                <v:stroke color="#3465a4" joinstyle="round" endcap="flat"/>
                <v:textbox>
                  <w:txbxContent>
                    <w:p>
                      <w:pPr>
                        <w:pStyle w:val="FrameContents"/>
                        <w:spacing w:before="80" w:after="60"/>
                        <w:jc w:val="center"/>
                        <w:rPr/>
                      </w:pPr>
                      <w:bookmarkStart w:id="2927" w:name="_Toc84599026"/>
                      <w:bookmarkStart w:id="2928" w:name="_Ref84598529"/>
                      <w:r>
                        <w:rPr>
                          <w:color w:val="00000A"/>
                          <w:sz w:val="20"/>
                        </w:rPr>
                        <w:t xml:space="preserve">Figura </w:t>
                      </w:r>
                      <w:r>
                        <w:rPr>
                          <w:color w:val="00000A"/>
                          <w:sz w:val="20"/>
                        </w:rPr>
                        <w:fldChar w:fldCharType="begin"/>
                      </w:r>
                      <w:r>
                        <w:instrText> SEQ Figura \* ARABIC </w:instrText>
                      </w:r>
                      <w:r>
                        <w:fldChar w:fldCharType="separate"/>
                      </w:r>
                      <w:r>
                        <w:t>19</w:t>
                      </w:r>
                      <w:r>
                        <w:fldChar w:fldCharType="end"/>
                      </w:r>
                      <w:bookmarkEnd w:id="2928"/>
                      <w:r>
                        <w:rPr>
                          <w:color w:val="00000A"/>
                          <w:sz w:val="20"/>
                        </w:rPr>
                        <w:t xml:space="preserve">: Media aritmética del indicador </w:t>
                      </w:r>
                      <w:r>
                        <w:rPr>
                          <w:i/>
                          <w:color w:val="00000A"/>
                          <w:sz w:val="20"/>
                        </w:rPr>
                        <w:t>Te</w:t>
                      </w:r>
                      <w:r>
                        <w:rPr>
                          <w:i/>
                          <w:color w:val="00000A"/>
                          <w:sz w:val="20"/>
                          <w:vertAlign w:val="subscript"/>
                        </w:rPr>
                        <w:t>5</w:t>
                      </w:r>
                      <w:bookmarkEnd w:id="2927"/>
                      <w:r>
                        <w:rPr>
                          <w:color w:val="00000A"/>
                          <w:sz w:val="20"/>
                        </w:rPr>
                        <w:t>.</w:t>
                      </w:r>
                    </w:p>
                  </w:txbxContent>
                </v:textbox>
              </v:rect>
            </w:pict>
          </mc:Fallback>
        </mc:AlternateContent>
      </w:r>
      <w:r>
        <w:rPr>
          <w:lang w:val="en-US"/>
        </w:rPr>
        <w:t xml:space="preserve">En el análisis se identifica que los resultados no cumplen con una distribución normal, ver </w:t>
      </w:r>
      <w:r>
        <w:rPr>
          <w:lang w:val="en-US"/>
        </w:rPr>
        <w:fldChar w:fldCharType="begin"/>
      </w:r>
      <w:r>
        <w:instrText> REF _Ref65869775 \h </w:instrText>
      </w:r>
      <w:r>
        <w:fldChar w:fldCharType="separate"/>
      </w:r>
      <w:r>
        <w:t>Tabla 17</w:t>
      </w:r>
      <w:r>
        <w:fldChar w:fldCharType="end"/>
      </w:r>
      <w:r>
        <w:rPr>
          <w:lang w:val="en-US"/>
        </w:rPr>
        <w:t xml:space="preserve">. En la comparación de los algoritmos, se aplicaron pruebas no paramétricas y se demuestra que no existen diferencias significativas entre los algoritmos </w:t>
      </w:r>
      <w:r>
        <w:rPr>
          <w:rFonts w:cs="Courier New" w:ascii="Courier New" w:hAnsi="Courier New"/>
        </w:rPr>
        <w:t>GA_LDS</w:t>
      </w:r>
      <w:r>
        <w:rPr>
          <w:lang w:val="en-US"/>
        </w:rPr>
        <w:t xml:space="preserve">, </w:t>
      </w:r>
      <w:r>
        <w:rPr>
          <w:rFonts w:cs="Courier New" w:ascii="Courier New" w:hAnsi="Courier New"/>
        </w:rPr>
        <w:t>ACO_LDS</w:t>
      </w:r>
      <w:r>
        <w:rPr>
          <w:lang w:val="en-US"/>
        </w:rPr>
        <w:t xml:space="preserve">, </w:t>
      </w:r>
      <w:r>
        <w:rPr>
          <w:rFonts w:cs="Courier New" w:ascii="Courier New" w:hAnsi="Courier New"/>
        </w:rPr>
        <w:t>RST_LDS</w:t>
      </w:r>
      <w:r>
        <w:rPr>
          <w:lang w:val="en-US"/>
        </w:rPr>
        <w:t xml:space="preserve"> y </w:t>
      </w:r>
      <w:r>
        <w:rPr>
          <w:rFonts w:cs="Courier New" w:ascii="Courier New" w:hAnsi="Courier New"/>
        </w:rPr>
        <w:t>LPA_LDS</w:t>
      </w:r>
      <w:r>
        <w:rPr>
          <w:lang w:val="en-US"/>
        </w:rPr>
        <w:t xml:space="preserve"> ubicados en el “grupo A” y reportando resultados significativamente mejores. Mientras los algoritmos </w:t>
      </w:r>
      <w:r>
        <w:rPr>
          <w:rFonts w:cs="Courier New" w:ascii="Courier New" w:hAnsi="Courier New"/>
        </w:rPr>
        <w:t>PCA_LDS</w:t>
      </w:r>
      <w:r>
        <w:rPr>
          <w:lang w:val="en-US"/>
        </w:rPr>
        <w:t xml:space="preserve"> y </w:t>
      </w:r>
      <w:r>
        <w:rPr>
          <w:rFonts w:cs="Courier New" w:ascii="Courier New" w:hAnsi="Courier New"/>
        </w:rPr>
        <w:t>Apriori_LDS</w:t>
      </w:r>
      <w:r>
        <w:rPr>
          <w:lang w:val="en-US"/>
        </w:rPr>
        <w:t xml:space="preserve"> están ubicados en el</w:t>
      </w:r>
      <w:r>
        <w:rPr>
          <w:rFonts w:cs="Courier New" w:ascii="Courier New" w:hAnsi="Courier New"/>
          <w:sz w:val="18"/>
          <w:szCs w:val="18"/>
        </w:rPr>
        <w:t xml:space="preserve"> </w:t>
      </w:r>
      <w:r>
        <w:rPr>
          <w:lang w:val="en-US"/>
        </w:rPr>
        <w:t>“grupo B” sin diferencias significativas entre ellos, reportando peores resultados.</w:t>
      </w:r>
    </w:p>
    <w:p>
      <w:pPr>
        <w:pStyle w:val="Normal"/>
        <w:rPr/>
      </w:pPr>
      <w:r>
        <w:rPr>
          <w:lang w:val="en-US"/>
        </w:rPr>
        <w:t xml:space="preserve">La </w:t>
      </w:r>
      <w:r>
        <w:rPr>
          <w:lang w:val="en-US"/>
        </w:rPr>
        <w:fldChar w:fldCharType="begin"/>
      </w:r>
      <w:r>
        <w:instrText> REF _Ref84598529 \h </w:instrText>
      </w:r>
      <w:r>
        <w:fldChar w:fldCharType="separate"/>
      </w:r>
      <w:r>
        <w:t>Figura 19</w:t>
      </w:r>
      <w:r>
        <w:fldChar w:fldCharType="end"/>
      </w:r>
      <w:r>
        <w:rPr>
          <w:lang w:val="en-US"/>
        </w:rPr>
        <w:t xml:space="preserve"> evidencia los resultados de las pruebas estadísticas.</w:t>
      </w:r>
    </w:p>
    <w:p>
      <w:pPr>
        <w:pStyle w:val="TablaFigura"/>
        <w:numPr>
          <w:ilvl w:val="0"/>
          <w:numId w:val="2"/>
        </w:numPr>
        <w:ind w:left="431" w:hanging="431"/>
        <w:rPr/>
      </w:pPr>
      <w:bookmarkStart w:id="2929" w:name="_Toc84598987"/>
      <w:bookmarkStart w:id="2930" w:name="_Ref65869775"/>
      <w:r>
        <w:rPr/>
        <w:t xml:space="preserve">Tabla </w:t>
      </w:r>
      <w:r>
        <w:rPr/>
        <w:fldChar w:fldCharType="begin"/>
      </w:r>
      <w:r>
        <w:instrText> SEQ Tabla \* ARABIC </w:instrText>
      </w:r>
      <w:r>
        <w:fldChar w:fldCharType="separate"/>
      </w:r>
      <w:r>
        <w:t>17</w:t>
      </w:r>
      <w:r>
        <w:fldChar w:fldCharType="end"/>
      </w:r>
      <w:bookmarkEnd w:id="2930"/>
      <w:r>
        <w:rPr/>
        <w:t xml:space="preserve">: Comparación de los algoritmos respecto a la media aritmética del </w:t>
      </w:r>
      <w:r>
        <w:rPr>
          <w:i/>
        </w:rPr>
        <w:t>Te</w:t>
      </w:r>
      <w:r>
        <w:rPr>
          <w:i/>
          <w:vertAlign w:val="subscript"/>
        </w:rPr>
        <w:t>5</w:t>
      </w:r>
      <w:bookmarkEnd w:id="2929"/>
      <w:r>
        <w:rPr/>
        <w:t>.</w:t>
      </w:r>
    </w:p>
    <w:p>
      <w:pPr>
        <w:pStyle w:val="Normal"/>
        <w:rPr>
          <w:i/>
          <w:i/>
          <w:lang w:val="en-US"/>
        </w:rPr>
      </w:pPr>
      <w:r>
        <w:rPr>
          <w:i/>
          <w:lang w:val="en-US"/>
        </w:rPr>
        <mc:AlternateContent>
          <mc:Choice Requires="wps">
            <w:drawing>
              <wp:anchor behindDoc="0" distT="0" distB="0" distL="114300" distR="114300" simplePos="0" locked="0" layoutInCell="1" allowOverlap="1" relativeHeight="51">
                <wp:simplePos x="0" y="0"/>
                <wp:positionH relativeFrom="margin">
                  <wp:align>center</wp:align>
                </wp:positionH>
                <wp:positionV relativeFrom="paragraph">
                  <wp:posOffset>35560</wp:posOffset>
                </wp:positionV>
                <wp:extent cx="2114550" cy="1685925"/>
                <wp:effectExtent l="0" t="0" r="0" b="0"/>
                <wp:wrapSquare wrapText="bothSides"/>
                <wp:docPr id="98" name="Frame34"/>
                <a:graphic xmlns:a="http://schemas.openxmlformats.org/drawingml/2006/main">
                  <a:graphicData uri="http://schemas.microsoft.com/office/word/2010/wordprocessingShape">
                    <wps:wsp>
                      <wps:cNvSpPr/>
                      <wps:spPr>
                        <a:xfrm>
                          <a:off x="0" y="0"/>
                          <a:ext cx="2113920" cy="1685160"/>
                        </a:xfrm>
                        <a:prstGeom prst="rect">
                          <a:avLst/>
                        </a:prstGeom>
                        <a:noFill/>
                        <a:ln>
                          <a:noFill/>
                        </a:ln>
                      </wps:spPr>
                      <wps:style>
                        <a:lnRef idx="0"/>
                        <a:fillRef idx="0"/>
                        <a:effectRef idx="0"/>
                        <a:fontRef idx="minor"/>
                      </wps:style>
                      <wps:txbx>
                        <w:txbxContent>
                          <w:tbl>
                            <w:tblPr>
                              <w:tblW w:w="3327" w:type="dxa"/>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1344"/>
                              <w:gridCol w:w="1166"/>
                              <w:gridCol w:w="817"/>
                            </w:tblGrid>
                            <w:tr>
                              <w:trPr>
                                <w:trHeight w:val="491" w:hRule="atLeast"/>
                                <w:cantSplit w:val="true"/>
                              </w:trPr>
                              <w:tc>
                                <w:tcPr>
                                  <w:tcW w:w="1344"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jc w:val="center"/>
                                    <w:rPr/>
                                  </w:pPr>
                                  <w:bookmarkStart w:id="2931" w:name="__UnoMark__19156_118561941"/>
                                  <w:bookmarkEnd w:id="2931"/>
                                  <w:r>
                                    <w:rPr>
                                      <w:color w:val="00000A"/>
                                      <w:sz w:val="18"/>
                                      <w:szCs w:val="18"/>
                                    </w:rPr>
                                    <w:t>Algoritmos</w:t>
                                  </w:r>
                                </w:p>
                              </w:tc>
                              <w:tc>
                                <w:tcPr>
                                  <w:tcW w:w="1166"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2932" w:name="__UnoMark__19157_118561941"/>
                                  <w:bookmarkEnd w:id="2932"/>
                                  <w:r>
                                    <w:rPr>
                                      <w:color w:val="00000A"/>
                                      <w:sz w:val="18"/>
                                      <w:szCs w:val="18"/>
                                    </w:rPr>
                                    <w:t>Kolmogorov-Smirnov</w:t>
                                  </w:r>
                                  <w:r>
                                    <w:rPr>
                                      <w:color w:val="00000A"/>
                                      <w:sz w:val="18"/>
                                      <w:szCs w:val="18"/>
                                      <w:vertAlign w:val="superscript"/>
                                    </w:rPr>
                                    <w:t>a</w:t>
                                  </w:r>
                                  <w:bookmarkStart w:id="2933" w:name="__UnoMark__19158_118561941"/>
                                  <w:bookmarkEnd w:id="2933"/>
                                  <w:r>
                                    <w:rPr>
                                      <w:color w:val="00000A"/>
                                      <w:sz w:val="18"/>
                                      <w:szCs w:val="18"/>
                                    </w:rPr>
                                    <w:t xml:space="preserve"> Sig.</w:t>
                                  </w:r>
                                </w:p>
                              </w:tc>
                              <w:tc>
                                <w:tcPr>
                                  <w:tcW w:w="817"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2934" w:name="__UnoMark__19160_118561941"/>
                                  <w:bookmarkStart w:id="2935" w:name="__UnoMark__19159_118561941"/>
                                  <w:bookmarkEnd w:id="2934"/>
                                  <w:bookmarkEnd w:id="2935"/>
                                  <w:r>
                                    <w:rPr>
                                      <w:color w:val="00000A"/>
                                      <w:sz w:val="18"/>
                                      <w:szCs w:val="18"/>
                                    </w:rPr>
                                    <w:t>Shapiro-Wilk Sig.</w:t>
                                  </w:r>
                                </w:p>
                              </w:tc>
                            </w:tr>
                            <w:tr>
                              <w:trPr>
                                <w:trHeight w:val="169" w:hRule="atLeast"/>
                                <w:cantSplit w:val="true"/>
                              </w:trPr>
                              <w:tc>
                                <w:tcPr>
                                  <w:tcW w:w="1344"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936" w:name="__UnoMark__19162_118561941"/>
                                  <w:bookmarkStart w:id="2937" w:name="__UnoMark__19161_118561941"/>
                                  <w:bookmarkEnd w:id="2936"/>
                                  <w:bookmarkEnd w:id="2937"/>
                                  <w:r>
                                    <w:rPr>
                                      <w:color w:val="00000A"/>
                                      <w:sz w:val="18"/>
                                      <w:szCs w:val="18"/>
                                    </w:rPr>
                                    <w:t>RST_LDS</w:t>
                                  </w:r>
                                </w:p>
                              </w:tc>
                              <w:tc>
                                <w:tcPr>
                                  <w:tcW w:w="1166"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938" w:name="__UnoMark__19164_118561941"/>
                                  <w:bookmarkStart w:id="2939" w:name="__UnoMark__19163_118561941"/>
                                  <w:bookmarkEnd w:id="2938"/>
                                  <w:bookmarkEnd w:id="2939"/>
                                  <w:r>
                                    <w:rPr>
                                      <w:color w:val="00000A"/>
                                      <w:sz w:val="18"/>
                                      <w:szCs w:val="18"/>
                                    </w:rPr>
                                    <w:t>.</w:t>
                                  </w:r>
                                </w:p>
                              </w:tc>
                              <w:tc>
                                <w:tcPr>
                                  <w:tcW w:w="817"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940" w:name="__UnoMark__19166_118561941"/>
                                  <w:bookmarkStart w:id="2941" w:name="__UnoMark__19165_118561941"/>
                                  <w:bookmarkEnd w:id="2940"/>
                                  <w:bookmarkEnd w:id="2941"/>
                                  <w:r>
                                    <w:rPr>
                                      <w:color w:val="00000A"/>
                                      <w:sz w:val="18"/>
                                      <w:szCs w:val="18"/>
                                    </w:rPr>
                                    <w:t>.</w:t>
                                  </w:r>
                                </w:p>
                              </w:tc>
                            </w:tr>
                            <w:tr>
                              <w:trPr>
                                <w:trHeight w:val="160" w:hRule="atLeast"/>
                                <w:cantSplit w:val="true"/>
                              </w:trPr>
                              <w:tc>
                                <w:tcPr>
                                  <w:tcW w:w="1344"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942" w:name="__UnoMark__19168_118561941"/>
                                  <w:bookmarkStart w:id="2943" w:name="__UnoMark__19167_118561941"/>
                                  <w:bookmarkEnd w:id="2942"/>
                                  <w:bookmarkEnd w:id="2943"/>
                                  <w:r>
                                    <w:rPr>
                                      <w:color w:val="00000A"/>
                                      <w:sz w:val="18"/>
                                      <w:szCs w:val="18"/>
                                    </w:rPr>
                                    <w:t>LPA_LDS</w:t>
                                  </w:r>
                                </w:p>
                              </w:tc>
                              <w:tc>
                                <w:tcPr>
                                  <w:tcW w:w="1166"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944" w:name="__UnoMark__19170_118561941"/>
                                  <w:bookmarkStart w:id="2945" w:name="__UnoMark__19169_118561941"/>
                                  <w:bookmarkEnd w:id="2944"/>
                                  <w:bookmarkEnd w:id="2945"/>
                                  <w:r>
                                    <w:rPr>
                                      <w:color w:val="00000A"/>
                                      <w:sz w:val="18"/>
                                      <w:szCs w:val="18"/>
                                    </w:rPr>
                                    <w:t>.000</w:t>
                                  </w:r>
                                </w:p>
                              </w:tc>
                              <w:tc>
                                <w:tcPr>
                                  <w:tcW w:w="817"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946" w:name="__UnoMark__19172_118561941"/>
                                  <w:bookmarkStart w:id="2947" w:name="__UnoMark__19171_118561941"/>
                                  <w:bookmarkEnd w:id="2946"/>
                                  <w:bookmarkEnd w:id="2947"/>
                                  <w:r>
                                    <w:rPr>
                                      <w:color w:val="00000A"/>
                                      <w:sz w:val="18"/>
                                      <w:szCs w:val="18"/>
                                    </w:rPr>
                                    <w:t>.000</w:t>
                                  </w:r>
                                </w:p>
                              </w:tc>
                            </w:tr>
                            <w:tr>
                              <w:trPr>
                                <w:trHeight w:val="160" w:hRule="atLeast"/>
                                <w:cantSplit w:val="true"/>
                              </w:trPr>
                              <w:tc>
                                <w:tcPr>
                                  <w:tcW w:w="1344"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948" w:name="__UnoMark__19174_118561941"/>
                                  <w:bookmarkStart w:id="2949" w:name="__UnoMark__19173_118561941"/>
                                  <w:bookmarkEnd w:id="2948"/>
                                  <w:bookmarkEnd w:id="2949"/>
                                  <w:r>
                                    <w:rPr>
                                      <w:color w:val="00000A"/>
                                      <w:sz w:val="18"/>
                                      <w:szCs w:val="18"/>
                                    </w:rPr>
                                    <w:t>Apriori_LDS</w:t>
                                  </w:r>
                                </w:p>
                              </w:tc>
                              <w:tc>
                                <w:tcPr>
                                  <w:tcW w:w="1166"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950" w:name="__UnoMark__19176_118561941"/>
                                  <w:bookmarkStart w:id="2951" w:name="__UnoMark__19175_118561941"/>
                                  <w:bookmarkEnd w:id="2950"/>
                                  <w:bookmarkEnd w:id="2951"/>
                                  <w:r>
                                    <w:rPr>
                                      <w:color w:val="00000A"/>
                                      <w:sz w:val="18"/>
                                      <w:szCs w:val="18"/>
                                    </w:rPr>
                                    <w:t>.005</w:t>
                                  </w:r>
                                </w:p>
                              </w:tc>
                              <w:tc>
                                <w:tcPr>
                                  <w:tcW w:w="817"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952" w:name="__UnoMark__19178_118561941"/>
                                  <w:bookmarkStart w:id="2953" w:name="__UnoMark__19177_118561941"/>
                                  <w:bookmarkEnd w:id="2952"/>
                                  <w:bookmarkEnd w:id="2953"/>
                                  <w:r>
                                    <w:rPr>
                                      <w:color w:val="00000A"/>
                                      <w:sz w:val="18"/>
                                      <w:szCs w:val="18"/>
                                    </w:rPr>
                                    <w:t>.000</w:t>
                                  </w:r>
                                </w:p>
                              </w:tc>
                            </w:tr>
                            <w:tr>
                              <w:trPr>
                                <w:trHeight w:val="169" w:hRule="atLeast"/>
                                <w:cantSplit w:val="true"/>
                              </w:trPr>
                              <w:tc>
                                <w:tcPr>
                                  <w:tcW w:w="1344"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954" w:name="__UnoMark__19180_118561941"/>
                                  <w:bookmarkStart w:id="2955" w:name="__UnoMark__19179_118561941"/>
                                  <w:bookmarkEnd w:id="2954"/>
                                  <w:bookmarkEnd w:id="2955"/>
                                  <w:r>
                                    <w:rPr>
                                      <w:color w:val="00000A"/>
                                      <w:sz w:val="18"/>
                                      <w:szCs w:val="18"/>
                                    </w:rPr>
                                    <w:t>ACO_LDS</w:t>
                                  </w:r>
                                </w:p>
                              </w:tc>
                              <w:tc>
                                <w:tcPr>
                                  <w:tcW w:w="1166"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956" w:name="__UnoMark__19182_118561941"/>
                                  <w:bookmarkStart w:id="2957" w:name="__UnoMark__19181_118561941"/>
                                  <w:bookmarkEnd w:id="2956"/>
                                  <w:bookmarkEnd w:id="2957"/>
                                  <w:r>
                                    <w:rPr>
                                      <w:color w:val="00000A"/>
                                      <w:sz w:val="18"/>
                                      <w:szCs w:val="18"/>
                                    </w:rPr>
                                    <w:t>.</w:t>
                                  </w:r>
                                </w:p>
                              </w:tc>
                              <w:tc>
                                <w:tcPr>
                                  <w:tcW w:w="817"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958" w:name="__UnoMark__19184_118561941"/>
                                  <w:bookmarkStart w:id="2959" w:name="__UnoMark__19183_118561941"/>
                                  <w:bookmarkEnd w:id="2958"/>
                                  <w:bookmarkEnd w:id="2959"/>
                                  <w:r>
                                    <w:rPr>
                                      <w:color w:val="00000A"/>
                                      <w:sz w:val="18"/>
                                      <w:szCs w:val="18"/>
                                    </w:rPr>
                                    <w:t>.</w:t>
                                  </w:r>
                                </w:p>
                              </w:tc>
                            </w:tr>
                            <w:tr>
                              <w:trPr>
                                <w:trHeight w:val="160" w:hRule="atLeast"/>
                                <w:cantSplit w:val="true"/>
                              </w:trPr>
                              <w:tc>
                                <w:tcPr>
                                  <w:tcW w:w="1344"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960" w:name="__UnoMark__19186_118561941"/>
                                  <w:bookmarkStart w:id="2961" w:name="__UnoMark__19185_118561941"/>
                                  <w:bookmarkEnd w:id="2960"/>
                                  <w:bookmarkEnd w:id="2961"/>
                                  <w:r>
                                    <w:rPr>
                                      <w:color w:val="00000A"/>
                                      <w:sz w:val="18"/>
                                      <w:szCs w:val="18"/>
                                    </w:rPr>
                                    <w:t>GA_LDS</w:t>
                                  </w:r>
                                </w:p>
                              </w:tc>
                              <w:tc>
                                <w:tcPr>
                                  <w:tcW w:w="1166"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962" w:name="__UnoMark__19188_118561941"/>
                                  <w:bookmarkStart w:id="2963" w:name="__UnoMark__19187_118561941"/>
                                  <w:bookmarkEnd w:id="2962"/>
                                  <w:bookmarkEnd w:id="2963"/>
                                  <w:r>
                                    <w:rPr>
                                      <w:color w:val="00000A"/>
                                      <w:sz w:val="18"/>
                                      <w:szCs w:val="18"/>
                                    </w:rPr>
                                    <w:t>.</w:t>
                                  </w:r>
                                </w:p>
                              </w:tc>
                              <w:tc>
                                <w:tcPr>
                                  <w:tcW w:w="817"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964" w:name="__UnoMark__19190_118561941"/>
                                  <w:bookmarkStart w:id="2965" w:name="__UnoMark__19189_118561941"/>
                                  <w:bookmarkEnd w:id="2964"/>
                                  <w:bookmarkEnd w:id="2965"/>
                                  <w:r>
                                    <w:rPr>
                                      <w:color w:val="00000A"/>
                                      <w:sz w:val="18"/>
                                      <w:szCs w:val="18"/>
                                    </w:rPr>
                                    <w:t>.</w:t>
                                  </w:r>
                                </w:p>
                              </w:tc>
                            </w:tr>
                            <w:tr>
                              <w:trPr>
                                <w:trHeight w:val="169" w:hRule="atLeast"/>
                                <w:cantSplit w:val="true"/>
                              </w:trPr>
                              <w:tc>
                                <w:tcPr>
                                  <w:tcW w:w="1344"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966" w:name="__UnoMark__19192_118561941"/>
                                  <w:bookmarkStart w:id="2967" w:name="__UnoMark__19191_118561941"/>
                                  <w:bookmarkEnd w:id="2966"/>
                                  <w:bookmarkEnd w:id="2967"/>
                                  <w:r>
                                    <w:rPr>
                                      <w:color w:val="00000A"/>
                                      <w:sz w:val="18"/>
                                      <w:szCs w:val="18"/>
                                    </w:rPr>
                                    <w:t>PCA_LDS</w:t>
                                  </w:r>
                                </w:p>
                              </w:tc>
                              <w:tc>
                                <w:tcPr>
                                  <w:tcW w:w="1166"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968" w:name="__UnoMark__19194_118561941"/>
                                  <w:bookmarkStart w:id="2969" w:name="__UnoMark__19193_118561941"/>
                                  <w:bookmarkEnd w:id="2968"/>
                                  <w:bookmarkEnd w:id="2969"/>
                                  <w:r>
                                    <w:rPr>
                                      <w:color w:val="00000A"/>
                                      <w:sz w:val="18"/>
                                      <w:szCs w:val="18"/>
                                    </w:rPr>
                                    <w:t>.005</w:t>
                                  </w:r>
                                </w:p>
                              </w:tc>
                              <w:tc>
                                <w:tcPr>
                                  <w:tcW w:w="817"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970" w:name="__UnoMark__19195_118561941"/>
                                  <w:bookmarkEnd w:id="2970"/>
                                  <w:r>
                                    <w:rPr>
                                      <w:color w:val="00000A"/>
                                      <w:sz w:val="18"/>
                                      <w:szCs w:val="18"/>
                                    </w:rPr>
                                    <w:t>.000</w:t>
                                  </w:r>
                                </w:p>
                              </w:tc>
                            </w:tr>
                          </w:tbl>
                          <w:p>
                            <w:pPr>
                              <w:pStyle w:val="FrameContents"/>
                              <w:spacing w:before="80" w:after="60"/>
                              <w:rPr>
                                <w:color w:val="000000"/>
                              </w:rPr>
                            </w:pPr>
                            <w:r>
                              <w:rPr>
                                <w:color w:val="000000"/>
                              </w:rPr>
                            </w:r>
                          </w:p>
                        </w:txbxContent>
                      </wps:txbx>
                      <wps:bodyPr lIns="0" rIns="0" tIns="0" bIns="0">
                        <a:spAutoFit/>
                      </wps:bodyPr>
                    </wps:wsp>
                  </a:graphicData>
                </a:graphic>
              </wp:anchor>
            </w:drawing>
          </mc:Choice>
          <mc:Fallback>
            <w:pict>
              <v:rect id="shape_0" ID="Frame34" stroked="f" style="position:absolute;margin-left:141.2pt;margin-top:2.8pt;width:166.4pt;height:132.65pt;mso-position-horizontal:center;mso-position-horizontal-relative:margin">
                <w10:wrap type="none"/>
                <v:fill o:detectmouseclick="t" on="false"/>
                <v:stroke color="#3465a4" joinstyle="round" endcap="flat"/>
                <v:textbox>
                  <w:txbxContent>
                    <w:tbl>
                      <w:tblPr>
                        <w:tblW w:w="3327" w:type="dxa"/>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1344"/>
                        <w:gridCol w:w="1166"/>
                        <w:gridCol w:w="817"/>
                      </w:tblGrid>
                      <w:tr>
                        <w:trPr>
                          <w:trHeight w:val="491" w:hRule="atLeast"/>
                          <w:cantSplit w:val="true"/>
                        </w:trPr>
                        <w:tc>
                          <w:tcPr>
                            <w:tcW w:w="1344"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jc w:val="center"/>
                              <w:rPr/>
                            </w:pPr>
                            <w:bookmarkStart w:id="2971" w:name="__UnoMark__19156_118561941"/>
                            <w:bookmarkEnd w:id="2971"/>
                            <w:r>
                              <w:rPr>
                                <w:color w:val="00000A"/>
                                <w:sz w:val="18"/>
                                <w:szCs w:val="18"/>
                              </w:rPr>
                              <w:t>Algoritmos</w:t>
                            </w:r>
                          </w:p>
                        </w:tc>
                        <w:tc>
                          <w:tcPr>
                            <w:tcW w:w="1166"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2972" w:name="__UnoMark__19157_118561941"/>
                            <w:bookmarkEnd w:id="2972"/>
                            <w:r>
                              <w:rPr>
                                <w:color w:val="00000A"/>
                                <w:sz w:val="18"/>
                                <w:szCs w:val="18"/>
                              </w:rPr>
                              <w:t>Kolmogorov-Smirnov</w:t>
                            </w:r>
                            <w:r>
                              <w:rPr>
                                <w:color w:val="00000A"/>
                                <w:sz w:val="18"/>
                                <w:szCs w:val="18"/>
                                <w:vertAlign w:val="superscript"/>
                              </w:rPr>
                              <w:t>a</w:t>
                            </w:r>
                            <w:bookmarkStart w:id="2973" w:name="__UnoMark__19158_118561941"/>
                            <w:bookmarkEnd w:id="2973"/>
                            <w:r>
                              <w:rPr>
                                <w:color w:val="00000A"/>
                                <w:sz w:val="18"/>
                                <w:szCs w:val="18"/>
                              </w:rPr>
                              <w:t xml:space="preserve"> Sig.</w:t>
                            </w:r>
                          </w:p>
                        </w:tc>
                        <w:tc>
                          <w:tcPr>
                            <w:tcW w:w="817"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2974" w:name="__UnoMark__19160_118561941"/>
                            <w:bookmarkStart w:id="2975" w:name="__UnoMark__19159_118561941"/>
                            <w:bookmarkEnd w:id="2974"/>
                            <w:bookmarkEnd w:id="2975"/>
                            <w:r>
                              <w:rPr>
                                <w:color w:val="00000A"/>
                                <w:sz w:val="18"/>
                                <w:szCs w:val="18"/>
                              </w:rPr>
                              <w:t>Shapiro-Wilk Sig.</w:t>
                            </w:r>
                          </w:p>
                        </w:tc>
                      </w:tr>
                      <w:tr>
                        <w:trPr>
                          <w:trHeight w:val="169" w:hRule="atLeast"/>
                          <w:cantSplit w:val="true"/>
                        </w:trPr>
                        <w:tc>
                          <w:tcPr>
                            <w:tcW w:w="1344"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976" w:name="__UnoMark__19162_118561941"/>
                            <w:bookmarkStart w:id="2977" w:name="__UnoMark__19161_118561941"/>
                            <w:bookmarkEnd w:id="2976"/>
                            <w:bookmarkEnd w:id="2977"/>
                            <w:r>
                              <w:rPr>
                                <w:color w:val="00000A"/>
                                <w:sz w:val="18"/>
                                <w:szCs w:val="18"/>
                              </w:rPr>
                              <w:t>RST_LDS</w:t>
                            </w:r>
                          </w:p>
                        </w:tc>
                        <w:tc>
                          <w:tcPr>
                            <w:tcW w:w="1166"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978" w:name="__UnoMark__19164_118561941"/>
                            <w:bookmarkStart w:id="2979" w:name="__UnoMark__19163_118561941"/>
                            <w:bookmarkEnd w:id="2978"/>
                            <w:bookmarkEnd w:id="2979"/>
                            <w:r>
                              <w:rPr>
                                <w:color w:val="00000A"/>
                                <w:sz w:val="18"/>
                                <w:szCs w:val="18"/>
                              </w:rPr>
                              <w:t>.</w:t>
                            </w:r>
                          </w:p>
                        </w:tc>
                        <w:tc>
                          <w:tcPr>
                            <w:tcW w:w="817"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980" w:name="__UnoMark__19166_118561941"/>
                            <w:bookmarkStart w:id="2981" w:name="__UnoMark__19165_118561941"/>
                            <w:bookmarkEnd w:id="2980"/>
                            <w:bookmarkEnd w:id="2981"/>
                            <w:r>
                              <w:rPr>
                                <w:color w:val="00000A"/>
                                <w:sz w:val="18"/>
                                <w:szCs w:val="18"/>
                              </w:rPr>
                              <w:t>.</w:t>
                            </w:r>
                          </w:p>
                        </w:tc>
                      </w:tr>
                      <w:tr>
                        <w:trPr>
                          <w:trHeight w:val="160" w:hRule="atLeast"/>
                          <w:cantSplit w:val="true"/>
                        </w:trPr>
                        <w:tc>
                          <w:tcPr>
                            <w:tcW w:w="1344"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982" w:name="__UnoMark__19168_118561941"/>
                            <w:bookmarkStart w:id="2983" w:name="__UnoMark__19167_118561941"/>
                            <w:bookmarkEnd w:id="2982"/>
                            <w:bookmarkEnd w:id="2983"/>
                            <w:r>
                              <w:rPr>
                                <w:color w:val="00000A"/>
                                <w:sz w:val="18"/>
                                <w:szCs w:val="18"/>
                              </w:rPr>
                              <w:t>LPA_LDS</w:t>
                            </w:r>
                          </w:p>
                        </w:tc>
                        <w:tc>
                          <w:tcPr>
                            <w:tcW w:w="1166"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984" w:name="__UnoMark__19170_118561941"/>
                            <w:bookmarkStart w:id="2985" w:name="__UnoMark__19169_118561941"/>
                            <w:bookmarkEnd w:id="2984"/>
                            <w:bookmarkEnd w:id="2985"/>
                            <w:r>
                              <w:rPr>
                                <w:color w:val="00000A"/>
                                <w:sz w:val="18"/>
                                <w:szCs w:val="18"/>
                              </w:rPr>
                              <w:t>.000</w:t>
                            </w:r>
                          </w:p>
                        </w:tc>
                        <w:tc>
                          <w:tcPr>
                            <w:tcW w:w="817"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986" w:name="__UnoMark__19172_118561941"/>
                            <w:bookmarkStart w:id="2987" w:name="__UnoMark__19171_118561941"/>
                            <w:bookmarkEnd w:id="2986"/>
                            <w:bookmarkEnd w:id="2987"/>
                            <w:r>
                              <w:rPr>
                                <w:color w:val="00000A"/>
                                <w:sz w:val="18"/>
                                <w:szCs w:val="18"/>
                              </w:rPr>
                              <w:t>.000</w:t>
                            </w:r>
                          </w:p>
                        </w:tc>
                      </w:tr>
                      <w:tr>
                        <w:trPr>
                          <w:trHeight w:val="160" w:hRule="atLeast"/>
                          <w:cantSplit w:val="true"/>
                        </w:trPr>
                        <w:tc>
                          <w:tcPr>
                            <w:tcW w:w="1344"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988" w:name="__UnoMark__19174_118561941"/>
                            <w:bookmarkStart w:id="2989" w:name="__UnoMark__19173_118561941"/>
                            <w:bookmarkEnd w:id="2988"/>
                            <w:bookmarkEnd w:id="2989"/>
                            <w:r>
                              <w:rPr>
                                <w:color w:val="00000A"/>
                                <w:sz w:val="18"/>
                                <w:szCs w:val="18"/>
                              </w:rPr>
                              <w:t>Apriori_LDS</w:t>
                            </w:r>
                          </w:p>
                        </w:tc>
                        <w:tc>
                          <w:tcPr>
                            <w:tcW w:w="1166"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990" w:name="__UnoMark__19176_118561941"/>
                            <w:bookmarkStart w:id="2991" w:name="__UnoMark__19175_118561941"/>
                            <w:bookmarkEnd w:id="2990"/>
                            <w:bookmarkEnd w:id="2991"/>
                            <w:r>
                              <w:rPr>
                                <w:color w:val="00000A"/>
                                <w:sz w:val="18"/>
                                <w:szCs w:val="18"/>
                              </w:rPr>
                              <w:t>.005</w:t>
                            </w:r>
                          </w:p>
                        </w:tc>
                        <w:tc>
                          <w:tcPr>
                            <w:tcW w:w="817"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992" w:name="__UnoMark__19178_118561941"/>
                            <w:bookmarkStart w:id="2993" w:name="__UnoMark__19177_118561941"/>
                            <w:bookmarkEnd w:id="2992"/>
                            <w:bookmarkEnd w:id="2993"/>
                            <w:r>
                              <w:rPr>
                                <w:color w:val="00000A"/>
                                <w:sz w:val="18"/>
                                <w:szCs w:val="18"/>
                              </w:rPr>
                              <w:t>.000</w:t>
                            </w:r>
                          </w:p>
                        </w:tc>
                      </w:tr>
                      <w:tr>
                        <w:trPr>
                          <w:trHeight w:val="169" w:hRule="atLeast"/>
                          <w:cantSplit w:val="true"/>
                        </w:trPr>
                        <w:tc>
                          <w:tcPr>
                            <w:tcW w:w="1344"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2994" w:name="__UnoMark__19180_118561941"/>
                            <w:bookmarkStart w:id="2995" w:name="__UnoMark__19179_118561941"/>
                            <w:bookmarkEnd w:id="2994"/>
                            <w:bookmarkEnd w:id="2995"/>
                            <w:r>
                              <w:rPr>
                                <w:color w:val="00000A"/>
                                <w:sz w:val="18"/>
                                <w:szCs w:val="18"/>
                              </w:rPr>
                              <w:t>ACO_LDS</w:t>
                            </w:r>
                          </w:p>
                        </w:tc>
                        <w:tc>
                          <w:tcPr>
                            <w:tcW w:w="1166"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996" w:name="__UnoMark__19182_118561941"/>
                            <w:bookmarkStart w:id="2997" w:name="__UnoMark__19181_118561941"/>
                            <w:bookmarkEnd w:id="2996"/>
                            <w:bookmarkEnd w:id="2997"/>
                            <w:r>
                              <w:rPr>
                                <w:color w:val="00000A"/>
                                <w:sz w:val="18"/>
                                <w:szCs w:val="18"/>
                              </w:rPr>
                              <w:t>.</w:t>
                            </w:r>
                          </w:p>
                        </w:tc>
                        <w:tc>
                          <w:tcPr>
                            <w:tcW w:w="817"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2998" w:name="__UnoMark__19184_118561941"/>
                            <w:bookmarkStart w:id="2999" w:name="__UnoMark__19183_118561941"/>
                            <w:bookmarkEnd w:id="2998"/>
                            <w:bookmarkEnd w:id="2999"/>
                            <w:r>
                              <w:rPr>
                                <w:color w:val="00000A"/>
                                <w:sz w:val="18"/>
                                <w:szCs w:val="18"/>
                              </w:rPr>
                              <w:t>.</w:t>
                            </w:r>
                          </w:p>
                        </w:tc>
                      </w:tr>
                      <w:tr>
                        <w:trPr>
                          <w:trHeight w:val="160" w:hRule="atLeast"/>
                          <w:cantSplit w:val="true"/>
                        </w:trPr>
                        <w:tc>
                          <w:tcPr>
                            <w:tcW w:w="1344"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3000" w:name="__UnoMark__19186_118561941"/>
                            <w:bookmarkStart w:id="3001" w:name="__UnoMark__19185_118561941"/>
                            <w:bookmarkEnd w:id="3000"/>
                            <w:bookmarkEnd w:id="3001"/>
                            <w:r>
                              <w:rPr>
                                <w:color w:val="00000A"/>
                                <w:sz w:val="18"/>
                                <w:szCs w:val="18"/>
                              </w:rPr>
                              <w:t>GA_LDS</w:t>
                            </w:r>
                          </w:p>
                        </w:tc>
                        <w:tc>
                          <w:tcPr>
                            <w:tcW w:w="1166"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3002" w:name="__UnoMark__19188_118561941"/>
                            <w:bookmarkStart w:id="3003" w:name="__UnoMark__19187_118561941"/>
                            <w:bookmarkEnd w:id="3002"/>
                            <w:bookmarkEnd w:id="3003"/>
                            <w:r>
                              <w:rPr>
                                <w:color w:val="00000A"/>
                                <w:sz w:val="18"/>
                                <w:szCs w:val="18"/>
                              </w:rPr>
                              <w:t>.</w:t>
                            </w:r>
                          </w:p>
                        </w:tc>
                        <w:tc>
                          <w:tcPr>
                            <w:tcW w:w="817"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3004" w:name="__UnoMark__19190_118561941"/>
                            <w:bookmarkStart w:id="3005" w:name="__UnoMark__19189_118561941"/>
                            <w:bookmarkEnd w:id="3004"/>
                            <w:bookmarkEnd w:id="3005"/>
                            <w:r>
                              <w:rPr>
                                <w:color w:val="00000A"/>
                                <w:sz w:val="18"/>
                                <w:szCs w:val="18"/>
                              </w:rPr>
                              <w:t>.</w:t>
                            </w:r>
                          </w:p>
                        </w:tc>
                      </w:tr>
                      <w:tr>
                        <w:trPr>
                          <w:trHeight w:val="169" w:hRule="atLeast"/>
                          <w:cantSplit w:val="true"/>
                        </w:trPr>
                        <w:tc>
                          <w:tcPr>
                            <w:tcW w:w="1344" w:type="dxa"/>
                            <w:tcBorders>
                              <w:top w:val="single" w:sz="2" w:space="0" w:color="00000A"/>
                              <w:bottom w:val="single" w:sz="2" w:space="0" w:color="00000A"/>
                              <w:insideH w:val="single" w:sz="2" w:space="0" w:color="00000A"/>
                            </w:tcBorders>
                            <w:shd w:color="auto" w:fill="auto" w:val="clear"/>
                          </w:tcPr>
                          <w:p>
                            <w:pPr>
                              <w:pStyle w:val="FrameContents"/>
                              <w:spacing w:lineRule="auto" w:line="240" w:before="0" w:after="60"/>
                              <w:ind w:left="60" w:right="60" w:hanging="0"/>
                              <w:jc w:val="center"/>
                              <w:rPr/>
                            </w:pPr>
                            <w:bookmarkStart w:id="3006" w:name="__UnoMark__19192_118561941"/>
                            <w:bookmarkStart w:id="3007" w:name="__UnoMark__19191_118561941"/>
                            <w:bookmarkEnd w:id="3006"/>
                            <w:bookmarkEnd w:id="3007"/>
                            <w:r>
                              <w:rPr>
                                <w:color w:val="00000A"/>
                                <w:sz w:val="18"/>
                                <w:szCs w:val="18"/>
                              </w:rPr>
                              <w:t>PCA_LDS</w:t>
                            </w:r>
                          </w:p>
                        </w:tc>
                        <w:tc>
                          <w:tcPr>
                            <w:tcW w:w="1166"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3008" w:name="__UnoMark__19194_118561941"/>
                            <w:bookmarkStart w:id="3009" w:name="__UnoMark__19193_118561941"/>
                            <w:bookmarkEnd w:id="3008"/>
                            <w:bookmarkEnd w:id="3009"/>
                            <w:r>
                              <w:rPr>
                                <w:color w:val="00000A"/>
                                <w:sz w:val="18"/>
                                <w:szCs w:val="18"/>
                              </w:rPr>
                              <w:t>.005</w:t>
                            </w:r>
                          </w:p>
                        </w:tc>
                        <w:tc>
                          <w:tcPr>
                            <w:tcW w:w="817" w:type="dxa"/>
                            <w:tcBorders>
                              <w:top w:val="single" w:sz="2" w:space="0" w:color="00000A"/>
                              <w:bottom w:val="single" w:sz="2" w:space="0" w:color="00000A"/>
                              <w:insideH w:val="single" w:sz="2" w:space="0" w:color="00000A"/>
                            </w:tcBorders>
                            <w:shd w:color="auto" w:fill="FFFFFF" w:val="clear"/>
                          </w:tcPr>
                          <w:p>
                            <w:pPr>
                              <w:pStyle w:val="FrameContents"/>
                              <w:spacing w:lineRule="auto" w:line="240" w:before="0" w:after="60"/>
                              <w:ind w:left="60" w:right="60" w:hanging="0"/>
                              <w:jc w:val="center"/>
                              <w:rPr/>
                            </w:pPr>
                            <w:bookmarkStart w:id="3010" w:name="__UnoMark__19195_118561941"/>
                            <w:bookmarkEnd w:id="3010"/>
                            <w:r>
                              <w:rPr>
                                <w:color w:val="00000A"/>
                                <w:sz w:val="18"/>
                                <w:szCs w:val="18"/>
                              </w:rPr>
                              <w:t>.000</w:t>
                            </w:r>
                          </w:p>
                        </w:tc>
                      </w:tr>
                    </w:tbl>
                    <w:p>
                      <w:pPr>
                        <w:pStyle w:val="FrameContents"/>
                        <w:spacing w:before="80" w:after="60"/>
                        <w:rPr>
                          <w:color w:val="000000"/>
                        </w:rPr>
                      </w:pPr>
                      <w:r>
                        <w:rPr>
                          <w:color w:val="000000"/>
                        </w:rPr>
                      </w:r>
                    </w:p>
                  </w:txbxContent>
                </v:textbox>
              </v:rect>
            </w:pict>
          </mc:Fallback>
        </mc:AlternateContent>
      </w:r>
    </w:p>
    <w:p>
      <w:pPr>
        <w:pStyle w:val="Caption1"/>
        <w:keepNext/>
        <w:rPr/>
      </w:pPr>
      <w:r>
        <w:rPr/>
      </w:r>
    </w:p>
    <w:p>
      <w:pPr>
        <w:pStyle w:val="Normal"/>
        <w:rPr>
          <w:lang w:val="en-US"/>
        </w:rPr>
      </w:pPr>
      <w:r>
        <w:rPr>
          <w:lang w:val="en-US"/>
        </w:rPr>
        <mc:AlternateContent>
          <mc:Choice Requires="wps">
            <w:drawing>
              <wp:anchor behindDoc="0" distT="0" distB="0" distL="114300" distR="114300" simplePos="0" locked="0" layoutInCell="1" allowOverlap="1" relativeHeight="52">
                <wp:simplePos x="0" y="0"/>
                <wp:positionH relativeFrom="margin">
                  <wp:align>center</wp:align>
                </wp:positionH>
                <wp:positionV relativeFrom="paragraph">
                  <wp:posOffset>-83185</wp:posOffset>
                </wp:positionV>
                <wp:extent cx="4959985" cy="1917065"/>
                <wp:effectExtent l="0" t="0" r="0" b="0"/>
                <wp:wrapSquare wrapText="bothSides"/>
                <wp:docPr id="100" name="Frame35"/>
                <a:graphic xmlns:a="http://schemas.openxmlformats.org/drawingml/2006/main">
                  <a:graphicData uri="http://schemas.microsoft.com/office/word/2010/wordprocessingShape">
                    <wps:wsp>
                      <wps:cNvSpPr/>
                      <wps:spPr>
                        <a:xfrm>
                          <a:off x="0" y="0"/>
                          <a:ext cx="4959360" cy="1916280"/>
                        </a:xfrm>
                        <a:prstGeom prst="rect">
                          <a:avLst/>
                        </a:prstGeom>
                        <a:noFill/>
                        <a:ln>
                          <a:noFill/>
                        </a:ln>
                      </wps:spPr>
                      <wps:style>
                        <a:lnRef idx="0"/>
                        <a:fillRef idx="0"/>
                        <a:effectRef idx="0"/>
                        <a:fontRef idx="minor"/>
                      </wps:style>
                      <wps:txbx>
                        <w:txbxContent>
                          <w:tbl>
                            <w:tblPr>
                              <w:tblW w:w="5000" w:type="pct"/>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3777"/>
                              <w:gridCol w:w="1260"/>
                              <w:gridCol w:w="2775"/>
                            </w:tblGrid>
                            <w:tr>
                              <w:trPr>
                                <w:trHeight w:val="169" w:hRule="atLeast"/>
                                <w:cantSplit w:val="true"/>
                              </w:trPr>
                              <w:tc>
                                <w:tcPr>
                                  <w:tcW w:w="377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3011" w:name="__UnoMark__19263_118561941"/>
                                  <w:bookmarkEnd w:id="3011"/>
                                  <w:r>
                                    <w:rPr>
                                      <w:color w:val="00000A"/>
                                      <w:sz w:val="18"/>
                                      <w:szCs w:val="18"/>
                                    </w:rPr>
                                    <w:t>Algoritmos</w:t>
                                  </w:r>
                                </w:p>
                              </w:tc>
                              <w:tc>
                                <w:tcPr>
                                  <w:tcW w:w="126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012" w:name="__UnoMark__19265_118561941"/>
                                  <w:bookmarkStart w:id="3013" w:name="__UnoMark__19264_118561941"/>
                                  <w:bookmarkEnd w:id="3012"/>
                                  <w:bookmarkEnd w:id="3013"/>
                                  <w:r>
                                    <w:rPr>
                                      <w:color w:val="00000A"/>
                                      <w:sz w:val="18"/>
                                      <w:szCs w:val="18"/>
                                    </w:rPr>
                                    <w:t>p-value</w:t>
                                  </w:r>
                                </w:p>
                              </w:tc>
                              <w:tc>
                                <w:tcPr>
                                  <w:tcW w:w="2775"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014" w:name="__UnoMark__19267_118561941"/>
                                  <w:bookmarkStart w:id="3015" w:name="__UnoMark__19266_118561941"/>
                                  <w:bookmarkEnd w:id="3014"/>
                                  <w:bookmarkEnd w:id="3015"/>
                                  <w:r>
                                    <w:rPr>
                                      <w:color w:val="00000A"/>
                                      <w:sz w:val="18"/>
                                      <w:szCs w:val="18"/>
                                    </w:rPr>
                                    <w:t>Resultados</w:t>
                                  </w:r>
                                </w:p>
                              </w:tc>
                            </w:tr>
                            <w:tr>
                              <w:trPr>
                                <w:trHeight w:val="629" w:hRule="atLeast"/>
                                <w:cantSplit w:val="true"/>
                              </w:trPr>
                              <w:tc>
                                <w:tcPr>
                                  <w:tcW w:w="377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3016" w:name="__UnoMark__19268_118561941"/>
                                  <w:bookmarkEnd w:id="3016"/>
                                  <w:r>
                                    <w:rPr>
                                      <w:i/>
                                      <w:color w:val="00000A"/>
                                      <w:sz w:val="18"/>
                                      <w:szCs w:val="18"/>
                                      <w:lang w:val="en-US"/>
                                    </w:rPr>
                                    <w:t>Friedman test</w:t>
                                  </w:r>
                                  <w:r>
                                    <w:rPr>
                                      <w:color w:val="00000A"/>
                                      <w:sz w:val="18"/>
                                      <w:szCs w:val="18"/>
                                      <w:lang w:val="en-US"/>
                                    </w:rPr>
                                    <w:t xml:space="preserve"> (grupo A)</w:t>
                                  </w:r>
                                </w:p>
                                <w:p>
                                  <w:pPr>
                                    <w:pStyle w:val="FrameContents"/>
                                    <w:spacing w:lineRule="auto" w:line="240" w:before="0" w:after="0"/>
                                    <w:jc w:val="left"/>
                                    <w:rPr>
                                      <w:color w:val="00000A"/>
                                    </w:rPr>
                                  </w:pPr>
                                  <w:bookmarkStart w:id="3017" w:name="__UnoMark__19269_118561941"/>
                                  <w:bookmarkEnd w:id="3017"/>
                                  <w:r>
                                    <w:rPr>
                                      <w:color w:val="00000A"/>
                                      <w:sz w:val="18"/>
                                      <w:szCs w:val="18"/>
                                      <w:lang w:val="en-US"/>
                                    </w:rPr>
                                    <w:t>GA_LDS, ACO_LDS, RST_LDS</w:t>
                                  </w:r>
                                </w:p>
                              </w:tc>
                              <w:tc>
                                <w:tcPr>
                                  <w:tcW w:w="126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018" w:name="__UnoMark__19271_118561941"/>
                                  <w:bookmarkStart w:id="3019" w:name="__UnoMark__19270_118561941"/>
                                  <w:bookmarkEnd w:id="3018"/>
                                  <w:bookmarkEnd w:id="3019"/>
                                  <w:r>
                                    <w:rPr>
                                      <w:color w:val="00000A"/>
                                      <w:sz w:val="18"/>
                                      <w:szCs w:val="18"/>
                                    </w:rPr>
                                    <w:t>1.000</w:t>
                                  </w:r>
                                </w:p>
                              </w:tc>
                              <w:tc>
                                <w:tcPr>
                                  <w:tcW w:w="2775"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020" w:name="__UnoMark__19273_118561941"/>
                                  <w:bookmarkStart w:id="3021" w:name="__UnoMark__19272_118561941"/>
                                  <w:bookmarkEnd w:id="3020"/>
                                  <w:bookmarkEnd w:id="3021"/>
                                  <w:r>
                                    <w:rPr>
                                      <w:color w:val="00000A"/>
                                      <w:sz w:val="18"/>
                                      <w:szCs w:val="18"/>
                                    </w:rPr>
                                    <w:t>No hay diferencias significativas</w:t>
                                  </w:r>
                                </w:p>
                              </w:tc>
                            </w:tr>
                            <w:tr>
                              <w:trPr>
                                <w:trHeight w:val="567" w:hRule="atLeast"/>
                                <w:cantSplit w:val="true"/>
                              </w:trPr>
                              <w:tc>
                                <w:tcPr>
                                  <w:tcW w:w="377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3022" w:name="__UnoMark__19274_118561941"/>
                                  <w:bookmarkEnd w:id="3022"/>
                                  <w:r>
                                    <w:rPr>
                                      <w:i/>
                                      <w:color w:val="00000A"/>
                                      <w:sz w:val="18"/>
                                      <w:szCs w:val="18"/>
                                    </w:rPr>
                                    <w:t>Wilcoxon test</w:t>
                                  </w:r>
                                  <w:r>
                                    <w:rPr>
                                      <w:color w:val="00000A"/>
                                      <w:sz w:val="18"/>
                                      <w:szCs w:val="18"/>
                                    </w:rPr>
                                    <w:t xml:space="preserve"> (grupo A)</w:t>
                                  </w:r>
                                </w:p>
                                <w:p>
                                  <w:pPr>
                                    <w:pStyle w:val="FrameContents"/>
                                    <w:spacing w:lineRule="auto" w:line="240" w:before="0" w:after="0"/>
                                    <w:jc w:val="left"/>
                                    <w:rPr>
                                      <w:color w:val="00000A"/>
                                    </w:rPr>
                                  </w:pPr>
                                  <w:bookmarkStart w:id="3023" w:name="__UnoMark__19275_118561941"/>
                                  <w:bookmarkEnd w:id="3023"/>
                                  <w:r>
                                    <w:rPr>
                                      <w:color w:val="00000A"/>
                                      <w:sz w:val="18"/>
                                      <w:szCs w:val="18"/>
                                    </w:rPr>
                                    <w:t>GA_LDS – LPA_LDS</w:t>
                                  </w:r>
                                </w:p>
                              </w:tc>
                              <w:tc>
                                <w:tcPr>
                                  <w:tcW w:w="126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024" w:name="__UnoMark__19277_118561941"/>
                                  <w:bookmarkStart w:id="3025" w:name="__UnoMark__19276_118561941"/>
                                  <w:bookmarkEnd w:id="3024"/>
                                  <w:bookmarkEnd w:id="3025"/>
                                  <w:r>
                                    <w:rPr>
                                      <w:color w:val="00000A"/>
                                      <w:sz w:val="18"/>
                                      <w:szCs w:val="18"/>
                                    </w:rPr>
                                    <w:t>0.317</w:t>
                                  </w:r>
                                </w:p>
                              </w:tc>
                              <w:tc>
                                <w:tcPr>
                                  <w:tcW w:w="2775"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026" w:name="__UnoMark__19279_118561941"/>
                                  <w:bookmarkStart w:id="3027" w:name="__UnoMark__19278_118561941"/>
                                  <w:bookmarkEnd w:id="3026"/>
                                  <w:bookmarkEnd w:id="3027"/>
                                  <w:r>
                                    <w:rPr>
                                      <w:color w:val="00000A"/>
                                      <w:sz w:val="18"/>
                                      <w:szCs w:val="18"/>
                                    </w:rPr>
                                    <w:t>No hay diferencias significativas</w:t>
                                  </w:r>
                                </w:p>
                              </w:tc>
                            </w:tr>
                            <w:tr>
                              <w:trPr>
                                <w:trHeight w:val="703" w:hRule="atLeast"/>
                                <w:cantSplit w:val="true"/>
                              </w:trPr>
                              <w:tc>
                                <w:tcPr>
                                  <w:tcW w:w="377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3028" w:name="__UnoMark__19280_118561941"/>
                                  <w:bookmarkEnd w:id="3028"/>
                                  <w:r>
                                    <w:rPr>
                                      <w:i/>
                                      <w:color w:val="00000A"/>
                                      <w:sz w:val="18"/>
                                      <w:szCs w:val="18"/>
                                      <w:lang w:val="en-US"/>
                                    </w:rPr>
                                    <w:t xml:space="preserve">Wilcoxon test </w:t>
                                  </w:r>
                                </w:p>
                                <w:p>
                                  <w:pPr>
                                    <w:pStyle w:val="FrameContents"/>
                                    <w:spacing w:lineRule="auto" w:line="240" w:before="0" w:after="0"/>
                                    <w:jc w:val="left"/>
                                    <w:rPr>
                                      <w:color w:val="00000A"/>
                                    </w:rPr>
                                  </w:pPr>
                                  <w:r>
                                    <w:rPr>
                                      <w:color w:val="00000A"/>
                                      <w:sz w:val="18"/>
                                      <w:szCs w:val="18"/>
                                      <w:lang w:val="en-US"/>
                                    </w:rPr>
                                    <w:t xml:space="preserve">GA_LDS (grupo A) – </w:t>
                                  </w:r>
                                </w:p>
                                <w:p>
                                  <w:pPr>
                                    <w:pStyle w:val="FrameContents"/>
                                    <w:spacing w:lineRule="auto" w:line="240" w:before="0" w:after="0"/>
                                    <w:jc w:val="left"/>
                                    <w:rPr>
                                      <w:color w:val="00000A"/>
                                    </w:rPr>
                                  </w:pPr>
                                  <w:bookmarkStart w:id="3029" w:name="__UnoMark__19281_118561941"/>
                                  <w:bookmarkEnd w:id="3029"/>
                                  <w:r>
                                    <w:rPr>
                                      <w:color w:val="00000A"/>
                                      <w:sz w:val="18"/>
                                      <w:szCs w:val="18"/>
                                    </w:rPr>
                                    <w:t>PCA_LDS (grupo B)</w:t>
                                  </w:r>
                                </w:p>
                              </w:tc>
                              <w:tc>
                                <w:tcPr>
                                  <w:tcW w:w="1260"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color w:val="00000A"/>
                                    </w:rPr>
                                  </w:pPr>
                                  <w:bookmarkStart w:id="3030" w:name="__UnoMark__19283_118561941"/>
                                  <w:bookmarkStart w:id="3031" w:name="__UnoMark__19282_118561941"/>
                                  <w:bookmarkEnd w:id="3030"/>
                                  <w:bookmarkEnd w:id="3031"/>
                                  <w:r>
                                    <w:rPr>
                                      <w:color w:val="00000A"/>
                                      <w:sz w:val="18"/>
                                      <w:szCs w:val="18"/>
                                    </w:rPr>
                                    <w:t>0.018</w:t>
                                  </w:r>
                                </w:p>
                              </w:tc>
                              <w:tc>
                                <w:tcPr>
                                  <w:tcW w:w="2775"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032" w:name="__UnoMark__19285_118561941"/>
                                  <w:bookmarkStart w:id="3033" w:name="__UnoMark__19284_118561941"/>
                                  <w:bookmarkEnd w:id="3032"/>
                                  <w:bookmarkEnd w:id="3033"/>
                                  <w:r>
                                    <w:rPr>
                                      <w:color w:val="00000A"/>
                                      <w:sz w:val="18"/>
                                      <w:szCs w:val="18"/>
                                    </w:rPr>
                                    <w:t>Hay diferencias significativas</w:t>
                                  </w:r>
                                </w:p>
                              </w:tc>
                            </w:tr>
                            <w:tr>
                              <w:trPr>
                                <w:trHeight w:val="571" w:hRule="atLeast"/>
                                <w:cantSplit w:val="true"/>
                              </w:trPr>
                              <w:tc>
                                <w:tcPr>
                                  <w:tcW w:w="377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3034" w:name="__UnoMark__19286_118561941"/>
                                  <w:bookmarkEnd w:id="3034"/>
                                  <w:r>
                                    <w:rPr>
                                      <w:i/>
                                      <w:color w:val="00000A"/>
                                      <w:sz w:val="18"/>
                                      <w:szCs w:val="18"/>
                                      <w:lang w:val="en-US"/>
                                    </w:rPr>
                                    <w:t>Wilcoxon test</w:t>
                                  </w:r>
                                  <w:r>
                                    <w:rPr>
                                      <w:color w:val="00000A"/>
                                      <w:sz w:val="18"/>
                                      <w:szCs w:val="18"/>
                                      <w:lang w:val="en-US"/>
                                    </w:rPr>
                                    <w:t xml:space="preserve"> (grupo B)</w:t>
                                  </w:r>
                                </w:p>
                                <w:p>
                                  <w:pPr>
                                    <w:pStyle w:val="FrameContents"/>
                                    <w:spacing w:lineRule="auto" w:line="240" w:before="0" w:after="0"/>
                                    <w:jc w:val="left"/>
                                    <w:rPr>
                                      <w:color w:val="00000A"/>
                                    </w:rPr>
                                  </w:pPr>
                                  <w:bookmarkStart w:id="3035" w:name="__UnoMark__19287_118561941"/>
                                  <w:bookmarkEnd w:id="3035"/>
                                  <w:r>
                                    <w:rPr>
                                      <w:color w:val="00000A"/>
                                      <w:sz w:val="18"/>
                                      <w:szCs w:val="18"/>
                                      <w:lang w:val="en-US"/>
                                    </w:rPr>
                                    <w:t>PCA_LDS – Apriori_LDS</w:t>
                                  </w:r>
                                </w:p>
                              </w:tc>
                              <w:tc>
                                <w:tcPr>
                                  <w:tcW w:w="126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036" w:name="__UnoMark__19289_118561941"/>
                                  <w:bookmarkStart w:id="3037" w:name="__UnoMark__19288_118561941"/>
                                  <w:bookmarkEnd w:id="3036"/>
                                  <w:bookmarkEnd w:id="3037"/>
                                  <w:r>
                                    <w:rPr>
                                      <w:color w:val="00000A"/>
                                      <w:sz w:val="18"/>
                                      <w:szCs w:val="18"/>
                                    </w:rPr>
                                    <w:t>1.000</w:t>
                                  </w:r>
                                </w:p>
                              </w:tc>
                              <w:tc>
                                <w:tcPr>
                                  <w:tcW w:w="2775"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038" w:name="__UnoMark__19290_118561941"/>
                                  <w:bookmarkEnd w:id="3038"/>
                                  <w:r>
                                    <w:rPr>
                                      <w:color w:val="00000A"/>
                                      <w:sz w:val="18"/>
                                      <w:szCs w:val="18"/>
                                    </w:rPr>
                                    <w:t>No hay diferencias significativas</w:t>
                                  </w:r>
                                </w:p>
                              </w:tc>
                            </w:tr>
                          </w:tbl>
                          <w:p>
                            <w:pPr>
                              <w:pStyle w:val="FrameContents"/>
                              <w:spacing w:before="80" w:after="60"/>
                              <w:rPr>
                                <w:color w:val="000000"/>
                              </w:rPr>
                            </w:pPr>
                            <w:r>
                              <w:rPr>
                                <w:color w:val="000000"/>
                              </w:rPr>
                            </w:r>
                          </w:p>
                        </w:txbxContent>
                      </wps:txbx>
                      <wps:bodyPr lIns="0" rIns="0" tIns="0" bIns="0">
                        <a:spAutoFit/>
                      </wps:bodyPr>
                    </wps:wsp>
                  </a:graphicData>
                </a:graphic>
                <wp14:sizeRelH relativeFrom="margin">
                  <wp14:pctWidth>87000</wp14:pctWidth>
                </wp14:sizeRelH>
              </wp:anchor>
            </w:drawing>
          </mc:Choice>
          <mc:Fallback>
            <w:pict>
              <v:rect id="shape_0" ID="Frame35" stroked="f" style="position:absolute;margin-left:29.2pt;margin-top:-6.55pt;width:390.45pt;height:150.85pt;mso-position-horizontal:center;mso-position-horizontal-relative:margin">
                <w10:wrap type="none"/>
                <v:fill o:detectmouseclick="t" on="false"/>
                <v:stroke color="#3465a4" joinstyle="round" endcap="flat"/>
                <v:textbox>
                  <w:txbxContent>
                    <w:tbl>
                      <w:tblPr>
                        <w:tblW w:w="5000" w:type="pct"/>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3777"/>
                        <w:gridCol w:w="1260"/>
                        <w:gridCol w:w="2775"/>
                      </w:tblGrid>
                      <w:tr>
                        <w:trPr>
                          <w:trHeight w:val="169" w:hRule="atLeast"/>
                          <w:cantSplit w:val="true"/>
                        </w:trPr>
                        <w:tc>
                          <w:tcPr>
                            <w:tcW w:w="377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3039" w:name="__UnoMark__19263_118561941"/>
                            <w:bookmarkEnd w:id="3039"/>
                            <w:r>
                              <w:rPr>
                                <w:color w:val="00000A"/>
                                <w:sz w:val="18"/>
                                <w:szCs w:val="18"/>
                              </w:rPr>
                              <w:t>Algoritmos</w:t>
                            </w:r>
                          </w:p>
                        </w:tc>
                        <w:tc>
                          <w:tcPr>
                            <w:tcW w:w="126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040" w:name="__UnoMark__19265_118561941"/>
                            <w:bookmarkStart w:id="3041" w:name="__UnoMark__19264_118561941"/>
                            <w:bookmarkEnd w:id="3040"/>
                            <w:bookmarkEnd w:id="3041"/>
                            <w:r>
                              <w:rPr>
                                <w:color w:val="00000A"/>
                                <w:sz w:val="18"/>
                                <w:szCs w:val="18"/>
                              </w:rPr>
                              <w:t>p-value</w:t>
                            </w:r>
                          </w:p>
                        </w:tc>
                        <w:tc>
                          <w:tcPr>
                            <w:tcW w:w="2775"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042" w:name="__UnoMark__19267_118561941"/>
                            <w:bookmarkStart w:id="3043" w:name="__UnoMark__19266_118561941"/>
                            <w:bookmarkEnd w:id="3042"/>
                            <w:bookmarkEnd w:id="3043"/>
                            <w:r>
                              <w:rPr>
                                <w:color w:val="00000A"/>
                                <w:sz w:val="18"/>
                                <w:szCs w:val="18"/>
                              </w:rPr>
                              <w:t>Resultados</w:t>
                            </w:r>
                          </w:p>
                        </w:tc>
                      </w:tr>
                      <w:tr>
                        <w:trPr>
                          <w:trHeight w:val="629" w:hRule="atLeast"/>
                          <w:cantSplit w:val="true"/>
                        </w:trPr>
                        <w:tc>
                          <w:tcPr>
                            <w:tcW w:w="377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3044" w:name="__UnoMark__19268_118561941"/>
                            <w:bookmarkEnd w:id="3044"/>
                            <w:r>
                              <w:rPr>
                                <w:i/>
                                <w:color w:val="00000A"/>
                                <w:sz w:val="18"/>
                                <w:szCs w:val="18"/>
                                <w:lang w:val="en-US"/>
                              </w:rPr>
                              <w:t>Friedman test</w:t>
                            </w:r>
                            <w:r>
                              <w:rPr>
                                <w:color w:val="00000A"/>
                                <w:sz w:val="18"/>
                                <w:szCs w:val="18"/>
                                <w:lang w:val="en-US"/>
                              </w:rPr>
                              <w:t xml:space="preserve"> (grupo A)</w:t>
                            </w:r>
                          </w:p>
                          <w:p>
                            <w:pPr>
                              <w:pStyle w:val="FrameContents"/>
                              <w:spacing w:lineRule="auto" w:line="240" w:before="0" w:after="0"/>
                              <w:jc w:val="left"/>
                              <w:rPr>
                                <w:color w:val="00000A"/>
                              </w:rPr>
                            </w:pPr>
                            <w:bookmarkStart w:id="3045" w:name="__UnoMark__19269_118561941"/>
                            <w:bookmarkEnd w:id="3045"/>
                            <w:r>
                              <w:rPr>
                                <w:color w:val="00000A"/>
                                <w:sz w:val="18"/>
                                <w:szCs w:val="18"/>
                                <w:lang w:val="en-US"/>
                              </w:rPr>
                              <w:t>GA_LDS, ACO_LDS, RST_LDS</w:t>
                            </w:r>
                          </w:p>
                        </w:tc>
                        <w:tc>
                          <w:tcPr>
                            <w:tcW w:w="126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046" w:name="__UnoMark__19271_118561941"/>
                            <w:bookmarkStart w:id="3047" w:name="__UnoMark__19270_118561941"/>
                            <w:bookmarkEnd w:id="3046"/>
                            <w:bookmarkEnd w:id="3047"/>
                            <w:r>
                              <w:rPr>
                                <w:color w:val="00000A"/>
                                <w:sz w:val="18"/>
                                <w:szCs w:val="18"/>
                              </w:rPr>
                              <w:t>1.000</w:t>
                            </w:r>
                          </w:p>
                        </w:tc>
                        <w:tc>
                          <w:tcPr>
                            <w:tcW w:w="2775"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048" w:name="__UnoMark__19273_118561941"/>
                            <w:bookmarkStart w:id="3049" w:name="__UnoMark__19272_118561941"/>
                            <w:bookmarkEnd w:id="3048"/>
                            <w:bookmarkEnd w:id="3049"/>
                            <w:r>
                              <w:rPr>
                                <w:color w:val="00000A"/>
                                <w:sz w:val="18"/>
                                <w:szCs w:val="18"/>
                              </w:rPr>
                              <w:t>No hay diferencias significativas</w:t>
                            </w:r>
                          </w:p>
                        </w:tc>
                      </w:tr>
                      <w:tr>
                        <w:trPr>
                          <w:trHeight w:val="567" w:hRule="atLeast"/>
                          <w:cantSplit w:val="true"/>
                        </w:trPr>
                        <w:tc>
                          <w:tcPr>
                            <w:tcW w:w="377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3050" w:name="__UnoMark__19274_118561941"/>
                            <w:bookmarkEnd w:id="3050"/>
                            <w:r>
                              <w:rPr>
                                <w:i/>
                                <w:color w:val="00000A"/>
                                <w:sz w:val="18"/>
                                <w:szCs w:val="18"/>
                              </w:rPr>
                              <w:t>Wilcoxon test</w:t>
                            </w:r>
                            <w:r>
                              <w:rPr>
                                <w:color w:val="00000A"/>
                                <w:sz w:val="18"/>
                                <w:szCs w:val="18"/>
                              </w:rPr>
                              <w:t xml:space="preserve"> (grupo A)</w:t>
                            </w:r>
                          </w:p>
                          <w:p>
                            <w:pPr>
                              <w:pStyle w:val="FrameContents"/>
                              <w:spacing w:lineRule="auto" w:line="240" w:before="0" w:after="0"/>
                              <w:jc w:val="left"/>
                              <w:rPr>
                                <w:color w:val="00000A"/>
                              </w:rPr>
                            </w:pPr>
                            <w:bookmarkStart w:id="3051" w:name="__UnoMark__19275_118561941"/>
                            <w:bookmarkEnd w:id="3051"/>
                            <w:r>
                              <w:rPr>
                                <w:color w:val="00000A"/>
                                <w:sz w:val="18"/>
                                <w:szCs w:val="18"/>
                              </w:rPr>
                              <w:t>GA_LDS – LPA_LDS</w:t>
                            </w:r>
                          </w:p>
                        </w:tc>
                        <w:tc>
                          <w:tcPr>
                            <w:tcW w:w="126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052" w:name="__UnoMark__19277_118561941"/>
                            <w:bookmarkStart w:id="3053" w:name="__UnoMark__19276_118561941"/>
                            <w:bookmarkEnd w:id="3052"/>
                            <w:bookmarkEnd w:id="3053"/>
                            <w:r>
                              <w:rPr>
                                <w:color w:val="00000A"/>
                                <w:sz w:val="18"/>
                                <w:szCs w:val="18"/>
                              </w:rPr>
                              <w:t>0.317</w:t>
                            </w:r>
                          </w:p>
                        </w:tc>
                        <w:tc>
                          <w:tcPr>
                            <w:tcW w:w="2775"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054" w:name="__UnoMark__19279_118561941"/>
                            <w:bookmarkStart w:id="3055" w:name="__UnoMark__19278_118561941"/>
                            <w:bookmarkEnd w:id="3054"/>
                            <w:bookmarkEnd w:id="3055"/>
                            <w:r>
                              <w:rPr>
                                <w:color w:val="00000A"/>
                                <w:sz w:val="18"/>
                                <w:szCs w:val="18"/>
                              </w:rPr>
                              <w:t>No hay diferencias significativas</w:t>
                            </w:r>
                          </w:p>
                        </w:tc>
                      </w:tr>
                      <w:tr>
                        <w:trPr>
                          <w:trHeight w:val="703" w:hRule="atLeast"/>
                          <w:cantSplit w:val="true"/>
                        </w:trPr>
                        <w:tc>
                          <w:tcPr>
                            <w:tcW w:w="377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3056" w:name="__UnoMark__19280_118561941"/>
                            <w:bookmarkEnd w:id="3056"/>
                            <w:r>
                              <w:rPr>
                                <w:i/>
                                <w:color w:val="00000A"/>
                                <w:sz w:val="18"/>
                                <w:szCs w:val="18"/>
                                <w:lang w:val="en-US"/>
                              </w:rPr>
                              <w:t xml:space="preserve">Wilcoxon test </w:t>
                            </w:r>
                          </w:p>
                          <w:p>
                            <w:pPr>
                              <w:pStyle w:val="FrameContents"/>
                              <w:spacing w:lineRule="auto" w:line="240" w:before="0" w:after="0"/>
                              <w:jc w:val="left"/>
                              <w:rPr>
                                <w:color w:val="00000A"/>
                              </w:rPr>
                            </w:pPr>
                            <w:r>
                              <w:rPr>
                                <w:color w:val="00000A"/>
                                <w:sz w:val="18"/>
                                <w:szCs w:val="18"/>
                                <w:lang w:val="en-US"/>
                              </w:rPr>
                              <w:t xml:space="preserve">GA_LDS (grupo A) – </w:t>
                            </w:r>
                          </w:p>
                          <w:p>
                            <w:pPr>
                              <w:pStyle w:val="FrameContents"/>
                              <w:spacing w:lineRule="auto" w:line="240" w:before="0" w:after="0"/>
                              <w:jc w:val="left"/>
                              <w:rPr>
                                <w:color w:val="00000A"/>
                              </w:rPr>
                            </w:pPr>
                            <w:bookmarkStart w:id="3057" w:name="__UnoMark__19281_118561941"/>
                            <w:bookmarkEnd w:id="3057"/>
                            <w:r>
                              <w:rPr>
                                <w:color w:val="00000A"/>
                                <w:sz w:val="18"/>
                                <w:szCs w:val="18"/>
                              </w:rPr>
                              <w:t>PCA_LDS (grupo B)</w:t>
                            </w:r>
                          </w:p>
                        </w:tc>
                        <w:tc>
                          <w:tcPr>
                            <w:tcW w:w="1260"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color w:val="00000A"/>
                              </w:rPr>
                            </w:pPr>
                            <w:bookmarkStart w:id="3058" w:name="__UnoMark__19283_118561941"/>
                            <w:bookmarkStart w:id="3059" w:name="__UnoMark__19282_118561941"/>
                            <w:bookmarkEnd w:id="3058"/>
                            <w:bookmarkEnd w:id="3059"/>
                            <w:r>
                              <w:rPr>
                                <w:color w:val="00000A"/>
                                <w:sz w:val="18"/>
                                <w:szCs w:val="18"/>
                              </w:rPr>
                              <w:t>0.018</w:t>
                            </w:r>
                          </w:p>
                        </w:tc>
                        <w:tc>
                          <w:tcPr>
                            <w:tcW w:w="2775"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060" w:name="__UnoMark__19285_118561941"/>
                            <w:bookmarkStart w:id="3061" w:name="__UnoMark__19284_118561941"/>
                            <w:bookmarkEnd w:id="3060"/>
                            <w:bookmarkEnd w:id="3061"/>
                            <w:r>
                              <w:rPr>
                                <w:color w:val="00000A"/>
                                <w:sz w:val="18"/>
                                <w:szCs w:val="18"/>
                              </w:rPr>
                              <w:t>Hay diferencias significativas</w:t>
                            </w:r>
                          </w:p>
                        </w:tc>
                      </w:tr>
                      <w:tr>
                        <w:trPr>
                          <w:trHeight w:val="571" w:hRule="atLeast"/>
                          <w:cantSplit w:val="true"/>
                        </w:trPr>
                        <w:tc>
                          <w:tcPr>
                            <w:tcW w:w="377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3062" w:name="__UnoMark__19286_118561941"/>
                            <w:bookmarkEnd w:id="3062"/>
                            <w:r>
                              <w:rPr>
                                <w:i/>
                                <w:color w:val="00000A"/>
                                <w:sz w:val="18"/>
                                <w:szCs w:val="18"/>
                                <w:lang w:val="en-US"/>
                              </w:rPr>
                              <w:t>Wilcoxon test</w:t>
                            </w:r>
                            <w:r>
                              <w:rPr>
                                <w:color w:val="00000A"/>
                                <w:sz w:val="18"/>
                                <w:szCs w:val="18"/>
                                <w:lang w:val="en-US"/>
                              </w:rPr>
                              <w:t xml:space="preserve"> (grupo B)</w:t>
                            </w:r>
                          </w:p>
                          <w:p>
                            <w:pPr>
                              <w:pStyle w:val="FrameContents"/>
                              <w:spacing w:lineRule="auto" w:line="240" w:before="0" w:after="0"/>
                              <w:jc w:val="left"/>
                              <w:rPr>
                                <w:color w:val="00000A"/>
                              </w:rPr>
                            </w:pPr>
                            <w:bookmarkStart w:id="3063" w:name="__UnoMark__19287_118561941"/>
                            <w:bookmarkEnd w:id="3063"/>
                            <w:r>
                              <w:rPr>
                                <w:color w:val="00000A"/>
                                <w:sz w:val="18"/>
                                <w:szCs w:val="18"/>
                                <w:lang w:val="en-US"/>
                              </w:rPr>
                              <w:t>PCA_LDS – Apriori_LDS</w:t>
                            </w:r>
                          </w:p>
                        </w:tc>
                        <w:tc>
                          <w:tcPr>
                            <w:tcW w:w="126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064" w:name="__UnoMark__19289_118561941"/>
                            <w:bookmarkStart w:id="3065" w:name="__UnoMark__19288_118561941"/>
                            <w:bookmarkEnd w:id="3064"/>
                            <w:bookmarkEnd w:id="3065"/>
                            <w:r>
                              <w:rPr>
                                <w:color w:val="00000A"/>
                                <w:sz w:val="18"/>
                                <w:szCs w:val="18"/>
                              </w:rPr>
                              <w:t>1.000</w:t>
                            </w:r>
                          </w:p>
                        </w:tc>
                        <w:tc>
                          <w:tcPr>
                            <w:tcW w:w="2775"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066" w:name="__UnoMark__19290_118561941"/>
                            <w:bookmarkEnd w:id="3066"/>
                            <w:r>
                              <w:rPr>
                                <w:color w:val="00000A"/>
                                <w:sz w:val="18"/>
                                <w:szCs w:val="18"/>
                              </w:rPr>
                              <w:t>No hay diferencias significativas</w:t>
                            </w:r>
                          </w:p>
                        </w:tc>
                      </w:tr>
                    </w:tbl>
                    <w:p>
                      <w:pPr>
                        <w:pStyle w:val="FrameContents"/>
                        <w:spacing w:before="80" w:after="60"/>
                        <w:rPr>
                          <w:color w:val="000000"/>
                        </w:rPr>
                      </w:pPr>
                      <w:r>
                        <w:rPr>
                          <w:color w:val="000000"/>
                        </w:rPr>
                      </w:r>
                    </w:p>
                  </w:txbxContent>
                </v:textbox>
              </v:rect>
            </w:pict>
          </mc:Fallback>
        </mc:AlternateContent>
      </w:r>
    </w:p>
    <w:p>
      <w:pPr>
        <w:pStyle w:val="Heading3"/>
        <w:numPr>
          <w:ilvl w:val="2"/>
          <w:numId w:val="80"/>
        </w:numPr>
        <w:rPr/>
      </w:pPr>
      <w:r>
        <w:rPr/>
        <w:t>Comparación de los algoritmos respecto al indicador “Cubrimiento de diferentes situaciones en la base de datos”.</w:t>
      </w:r>
    </w:p>
    <w:p>
      <w:pPr>
        <w:pStyle w:val="Normal"/>
        <w:rPr>
          <w:lang w:val="en-US"/>
        </w:rPr>
      </w:pPr>
      <w:r>
        <w:rPr>
          <w:lang w:val="en-US"/>
        </w:rPr>
        <w:t>En diferentes problemas reales es importante poder identificar la frecuencia de aparición de determinados fenómenos o situaciones en las bases de datos. En esta investigación, se introduce el indicador “</w:t>
      </w:r>
      <w:r>
        <w:rPr/>
        <w:t>Cubrimiento de diferentes situaciones en la base de datos</w:t>
      </w:r>
      <w:r>
        <w:rPr>
          <w:lang w:val="en-US"/>
        </w:rPr>
        <w:t>” que mide la capacidad de los algoritmos para generar resúmenes lingüísticos que cubran diferentes fenómenos en los datos. Este indicador constituye una medida de versatilidad de los algoritmos para su aplicación en diferentes contextos.</w:t>
      </w:r>
    </w:p>
    <w:p>
      <w:pPr>
        <w:pStyle w:val="Normal"/>
        <w:rPr>
          <w:lang w:val="en-US"/>
        </w:rPr>
      </w:pPr>
      <w:r>
        <w:rPr/>
        <w:t>Para el cálculo de este indicador se analiza la frecuencia relativa de aparición de</w:t>
      </w:r>
      <w:r>
        <w:rPr>
          <w:lang w:val="en-US"/>
        </w:rPr>
        <w:t xml:space="preserve"> las siguientes situaciones:</w:t>
      </w:r>
    </w:p>
    <w:p>
      <w:pPr>
        <w:pStyle w:val="ListParagraph"/>
        <w:numPr>
          <w:ilvl w:val="0"/>
          <w:numId w:val="26"/>
        </w:numPr>
        <w:rPr>
          <w:lang w:val="en-US"/>
        </w:rPr>
      </w:pPr>
      <w:r>
        <w:rPr>
          <w:lang w:val="en-US"/>
        </w:rPr>
        <w:t>Muy pocos registros en la base de datos.</w:t>
      </w:r>
    </w:p>
    <w:p>
      <w:pPr>
        <w:pStyle w:val="ListParagraph"/>
        <w:numPr>
          <w:ilvl w:val="0"/>
          <w:numId w:val="26"/>
        </w:numPr>
        <w:rPr>
          <w:lang w:val="en-US"/>
        </w:rPr>
      </w:pPr>
      <w:r>
        <w:rPr>
          <w:lang w:val="en-US"/>
        </w:rPr>
        <w:t>Pocos registros en la base de datos.</w:t>
      </w:r>
    </w:p>
    <w:p>
      <w:pPr>
        <w:pStyle w:val="ListParagraph"/>
        <w:numPr>
          <w:ilvl w:val="0"/>
          <w:numId w:val="26"/>
        </w:numPr>
        <w:rPr>
          <w:lang w:val="en-US"/>
        </w:rPr>
      </w:pPr>
      <w:r>
        <w:rPr>
          <w:lang w:val="en-US"/>
        </w:rPr>
        <w:t>Algunos registros en la base de datos.</w:t>
      </w:r>
    </w:p>
    <w:p>
      <w:pPr>
        <w:pStyle w:val="ListParagraph"/>
        <w:numPr>
          <w:ilvl w:val="0"/>
          <w:numId w:val="26"/>
        </w:numPr>
        <w:rPr>
          <w:lang w:val="en-US"/>
        </w:rPr>
      </w:pPr>
      <w:r>
        <w:rPr>
          <w:lang w:val="en-US"/>
        </w:rPr>
        <w:t>Aproximadamente la mitad de los registros en la base de datos.</w:t>
      </w:r>
    </w:p>
    <w:p>
      <w:pPr>
        <w:pStyle w:val="ListParagraph"/>
        <w:numPr>
          <w:ilvl w:val="0"/>
          <w:numId w:val="26"/>
        </w:numPr>
        <w:rPr>
          <w:lang w:val="en-US"/>
        </w:rPr>
      </w:pPr>
      <w:r>
        <w:rPr>
          <w:lang w:val="en-US"/>
        </w:rPr>
        <w:t>Muchos de los registros en la base de datos.</w:t>
      </w:r>
    </w:p>
    <w:p>
      <w:pPr>
        <w:pStyle w:val="ListParagraph"/>
        <w:numPr>
          <w:ilvl w:val="0"/>
          <w:numId w:val="26"/>
        </w:numPr>
        <w:rPr>
          <w:lang w:val="en-US"/>
        </w:rPr>
      </w:pPr>
      <w:r>
        <w:rPr>
          <w:lang w:val="en-US"/>
        </w:rPr>
        <w:t>La mayoría de los registros en la base de datos.</w:t>
      </w:r>
    </w:p>
    <w:p>
      <w:pPr>
        <w:pStyle w:val="Normal"/>
        <w:rPr>
          <w:lang w:val="en-US"/>
        </w:rPr>
      </w:pPr>
      <w:r>
        <w:rPr/>
        <w:t xml:space="preserve">Luego, por cada base de datos se calcula la dispersión de las frecuencias relativas calculadas empleando la desviación estándar. </w:t>
      </w:r>
      <w:r>
        <w:rPr>
          <w:lang w:val="en-US"/>
        </w:rPr>
        <w:t>Lo deseado en este caso es que haya un balance en la cantidad de resúmenes generados, cubriendo cada una de las diferentes situaciones descritas. Los algoritmos con mejores resultados serán los que tengan menor dispersión.</w:t>
      </w:r>
    </w:p>
    <w:p>
      <w:pPr>
        <w:pStyle w:val="TablaFigura"/>
        <w:numPr>
          <w:ilvl w:val="0"/>
          <w:numId w:val="2"/>
        </w:numPr>
        <w:ind w:left="431" w:hanging="431"/>
        <w:rPr/>
      </w:pPr>
      <w:bookmarkStart w:id="3067" w:name="_Toc84598988"/>
      <w:bookmarkStart w:id="3068" w:name="_Ref65871980"/>
      <w:r>
        <w:rPr/>
        <w:t xml:space="preserve">Tabla </w:t>
      </w:r>
      <w:r>
        <w:rPr/>
        <w:fldChar w:fldCharType="begin"/>
      </w:r>
      <w:r>
        <w:instrText> SEQ Tabla \* ARABIC </w:instrText>
      </w:r>
      <w:r>
        <w:fldChar w:fldCharType="separate"/>
      </w:r>
      <w:r>
        <w:t>18</w:t>
      </w:r>
      <w:r>
        <w:fldChar w:fldCharType="end"/>
      </w:r>
      <w:bookmarkEnd w:id="3067"/>
      <w:bookmarkEnd w:id="3068"/>
      <w:r>
        <w:rPr/>
        <w:t>: Comparación de los algoritmos respecto a la dispersión.</w:t>
      </w:r>
    </w:p>
    <w:p>
      <w:pPr>
        <w:pStyle w:val="Normal"/>
        <w:spacing w:lineRule="auto" w:line="240" w:before="0" w:after="0"/>
        <w:rPr>
          <w:i/>
          <w:i/>
          <w:lang w:val="en-US"/>
        </w:rPr>
      </w:pPr>
      <w:r>
        <w:rPr>
          <w:i/>
          <w:lang w:val="en-US"/>
        </w:rPr>
        <mc:AlternateContent>
          <mc:Choice Requires="wps">
            <w:drawing>
              <wp:anchor behindDoc="0" distT="0" distB="0" distL="114300" distR="114300" simplePos="0" locked="0" layoutInCell="1" allowOverlap="1" relativeHeight="53">
                <wp:simplePos x="0" y="0"/>
                <wp:positionH relativeFrom="margin">
                  <wp:align>center</wp:align>
                </wp:positionH>
                <wp:positionV relativeFrom="paragraph">
                  <wp:posOffset>35560</wp:posOffset>
                </wp:positionV>
                <wp:extent cx="2105660" cy="3154045"/>
                <wp:effectExtent l="0" t="0" r="0" b="0"/>
                <wp:wrapSquare wrapText="bothSides"/>
                <wp:docPr id="102" name="Frame36"/>
                <a:graphic xmlns:a="http://schemas.openxmlformats.org/drawingml/2006/main">
                  <a:graphicData uri="http://schemas.microsoft.com/office/word/2010/wordprocessingShape">
                    <wps:wsp>
                      <wps:cNvSpPr/>
                      <wps:spPr>
                        <a:xfrm>
                          <a:off x="0" y="0"/>
                          <a:ext cx="2104920" cy="3153240"/>
                        </a:xfrm>
                        <a:prstGeom prst="rect">
                          <a:avLst/>
                        </a:prstGeom>
                        <a:noFill/>
                        <a:ln>
                          <a:noFill/>
                        </a:ln>
                      </wps:spPr>
                      <wps:style>
                        <a:lnRef idx="0"/>
                        <a:fillRef idx="0"/>
                        <a:effectRef idx="0"/>
                        <a:fontRef idx="minor"/>
                      </wps:style>
                      <wps:txbx>
                        <w:txbxContent>
                          <w:tbl>
                            <w:tblPr>
                              <w:tblW w:w="3313" w:type="dxa"/>
                              <w:jc w:val="center"/>
                              <w:tblInd w:w="0" w:type="dxa"/>
                              <w:tblBorders/>
                              <w:tblCellMar>
                                <w:top w:w="0" w:type="dxa"/>
                                <w:left w:w="0" w:type="dxa"/>
                                <w:bottom w:w="0" w:type="dxa"/>
                                <w:right w:w="0" w:type="dxa"/>
                              </w:tblCellMar>
                              <w:tblLook w:val="0000" w:noVBand="0" w:noHBand="0" w:lastColumn="0" w:firstColumn="0" w:lastRow="0" w:firstRow="0"/>
                            </w:tblPr>
                            <w:tblGrid>
                              <w:gridCol w:w="998"/>
                              <w:gridCol w:w="546"/>
                              <w:gridCol w:w="596"/>
                              <w:gridCol w:w="500"/>
                              <w:gridCol w:w="673"/>
                            </w:tblGrid>
                            <w:tr>
                              <w:trPr>
                                <w:trHeight w:val="3023" w:hRule="atLeast"/>
                              </w:trPr>
                              <w:tc>
                                <w:tcPr>
                                  <w:tcW w:w="998" w:type="dxa"/>
                                  <w:tcBorders/>
                                  <w:shd w:color="auto" w:fill="auto" w:val="clear"/>
                                  <w:vAlign w:val="center"/>
                                </w:tcPr>
                                <w:p>
                                  <w:pPr>
                                    <w:pStyle w:val="FrameContents"/>
                                    <w:spacing w:lineRule="auto" w:line="240" w:before="0" w:after="60"/>
                                    <w:jc w:val="center"/>
                                    <w:rPr/>
                                  </w:pPr>
                                  <w:bookmarkStart w:id="3069" w:name="__UnoMark__19442_118561941"/>
                                  <w:bookmarkEnd w:id="3069"/>
                                  <w:r>
                                    <w:rPr>
                                      <w:color w:val="00000A"/>
                                      <w:sz w:val="18"/>
                                      <w:szCs w:val="18"/>
                                    </w:rPr>
                                    <w:t>Algoritmos</w:t>
                                  </w:r>
                                </w:p>
                              </w:tc>
                              <w:tc>
                                <w:tcPr>
                                  <w:tcW w:w="1142" w:type="dxa"/>
                                  <w:gridSpan w:val="2"/>
                                  <w:tcBorders/>
                                  <w:shd w:color="auto" w:fill="auto" w:val="clear"/>
                                </w:tcPr>
                                <w:p>
                                  <w:pPr>
                                    <w:pStyle w:val="FrameContents"/>
                                    <w:spacing w:lineRule="auto" w:line="240" w:before="0" w:after="60"/>
                                    <w:ind w:left="60" w:right="60" w:hanging="0"/>
                                    <w:jc w:val="center"/>
                                    <w:rPr/>
                                  </w:pPr>
                                  <w:bookmarkStart w:id="3070" w:name="__UnoMark__19443_118561941"/>
                                  <w:bookmarkEnd w:id="3070"/>
                                  <w:r>
                                    <w:rPr>
                                      <w:color w:val="00000A"/>
                                      <w:sz w:val="18"/>
                                      <w:szCs w:val="18"/>
                                    </w:rPr>
                                    <w:t>Kolmogorov-Smirnov</w:t>
                                  </w:r>
                                  <w:r>
                                    <w:rPr>
                                      <w:color w:val="00000A"/>
                                      <w:sz w:val="18"/>
                                      <w:szCs w:val="18"/>
                                      <w:vertAlign w:val="superscript"/>
                                    </w:rPr>
                                    <w:t>a</w:t>
                                  </w:r>
                                  <w:bookmarkStart w:id="3071" w:name="__UnoMark__19444_118561941"/>
                                  <w:bookmarkEnd w:id="3071"/>
                                  <w:r>
                                    <w:rPr>
                                      <w:color w:val="00000A"/>
                                      <w:sz w:val="18"/>
                                      <w:szCs w:val="18"/>
                                    </w:rPr>
                                    <w:t xml:space="preserve"> Sig.</w:t>
                                  </w:r>
                                </w:p>
                              </w:tc>
                              <w:tc>
                                <w:tcPr>
                                  <w:tcW w:w="1173" w:type="dxa"/>
                                  <w:gridSpan w:val="2"/>
                                  <w:tcBorders/>
                                  <w:shd w:color="auto" w:fill="auto" w:val="clear"/>
                                </w:tcPr>
                                <w:p>
                                  <w:pPr>
                                    <w:pStyle w:val="FrameContents"/>
                                    <w:spacing w:lineRule="auto" w:line="240" w:before="0" w:after="60"/>
                                    <w:ind w:left="60" w:right="60" w:hanging="0"/>
                                    <w:jc w:val="center"/>
                                    <w:rPr/>
                                  </w:pPr>
                                  <w:bookmarkStart w:id="3072" w:name="__UnoMark__19446_118561941"/>
                                  <w:bookmarkStart w:id="3073" w:name="__UnoMark__19445_118561941"/>
                                  <w:bookmarkEnd w:id="3072"/>
                                  <w:bookmarkEnd w:id="3073"/>
                                  <w:r>
                                    <w:rPr>
                                      <w:color w:val="00000A"/>
                                      <w:sz w:val="18"/>
                                      <w:szCs w:val="18"/>
                                    </w:rPr>
                                    <w:t>Shapiro-Wilk Sig.</w:t>
                                  </w:r>
                                </w:p>
                              </w:tc>
                            </w:tr>
                            <w:tr>
                              <w:trPr>
                                <w:cantSplit w:val="true"/>
                              </w:trPr>
                              <w:tc>
                                <w:tcPr>
                                  <w:tcW w:w="1544" w:type="dxa"/>
                                  <w:gridSpan w:val="2"/>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3074" w:name="__UnoMark__19448_118561941"/>
                                  <w:bookmarkStart w:id="3075" w:name="__UnoMark__19447_118561941"/>
                                  <w:bookmarkEnd w:id="3074"/>
                                  <w:bookmarkEnd w:id="3075"/>
                                  <w:r>
                                    <w:rPr>
                                      <w:color w:val="00000A"/>
                                      <w:sz w:val="18"/>
                                      <w:szCs w:val="18"/>
                                    </w:rPr>
                                    <w:t>RST_LDS</w:t>
                                  </w:r>
                                </w:p>
                              </w:tc>
                              <w:tc>
                                <w:tcPr>
                                  <w:tcW w:w="1096" w:type="dxa"/>
                                  <w:gridSpan w:val="2"/>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3076" w:name="__UnoMark__19450_118561941"/>
                                  <w:bookmarkStart w:id="3077" w:name="__UnoMark__19449_118561941"/>
                                  <w:bookmarkEnd w:id="3076"/>
                                  <w:bookmarkEnd w:id="3077"/>
                                  <w:r>
                                    <w:rPr>
                                      <w:color w:val="00000A"/>
                                      <w:sz w:val="18"/>
                                      <w:szCs w:val="18"/>
                                    </w:rPr>
                                    <w:t>.012</w:t>
                                  </w:r>
                                </w:p>
                              </w:tc>
                              <w:tc>
                                <w:tcPr>
                                  <w:tcW w:w="673"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3078" w:name="__UnoMark__19452_118561941"/>
                                  <w:bookmarkStart w:id="3079" w:name="__UnoMark__19451_118561941"/>
                                  <w:bookmarkEnd w:id="3078"/>
                                  <w:bookmarkEnd w:id="3079"/>
                                  <w:r>
                                    <w:rPr>
                                      <w:color w:val="00000A"/>
                                      <w:sz w:val="18"/>
                                      <w:szCs w:val="18"/>
                                    </w:rPr>
                                    <w:t>.014</w:t>
                                  </w:r>
                                </w:p>
                              </w:tc>
                            </w:tr>
                            <w:tr>
                              <w:trPr>
                                <w:cantSplit w:val="true"/>
                              </w:trPr>
                              <w:tc>
                                <w:tcPr>
                                  <w:tcW w:w="1544" w:type="dxa"/>
                                  <w:gridSpan w:val="2"/>
                                  <w:tcBorders>
                                    <w:top w:val="single" w:sz="2" w:space="0" w:color="00000A"/>
                                  </w:tcBorders>
                                  <w:shd w:color="auto" w:fill="auto" w:val="clear"/>
                                </w:tcPr>
                                <w:p>
                                  <w:pPr>
                                    <w:pStyle w:val="FrameContents"/>
                                    <w:spacing w:lineRule="auto" w:line="240" w:before="0" w:after="60"/>
                                    <w:ind w:left="60" w:right="60" w:hanging="0"/>
                                    <w:jc w:val="center"/>
                                    <w:rPr/>
                                  </w:pPr>
                                  <w:bookmarkStart w:id="3080" w:name="__UnoMark__19454_118561941"/>
                                  <w:bookmarkStart w:id="3081" w:name="__UnoMark__19453_118561941"/>
                                  <w:bookmarkEnd w:id="3080"/>
                                  <w:bookmarkEnd w:id="3081"/>
                                  <w:r>
                                    <w:rPr>
                                      <w:color w:val="00000A"/>
                                      <w:sz w:val="18"/>
                                      <w:szCs w:val="18"/>
                                    </w:rPr>
                                    <w:t>LPA_LDS</w:t>
                                  </w:r>
                                </w:p>
                              </w:tc>
                              <w:tc>
                                <w:tcPr>
                                  <w:tcW w:w="1096" w:type="dxa"/>
                                  <w:gridSpan w:val="2"/>
                                  <w:tcBorders>
                                    <w:top w:val="single" w:sz="2" w:space="0" w:color="00000A"/>
                                  </w:tcBorders>
                                  <w:shd w:color="auto" w:fill="FFFFFF" w:val="clear"/>
                                </w:tcPr>
                                <w:p>
                                  <w:pPr>
                                    <w:pStyle w:val="FrameContents"/>
                                    <w:spacing w:lineRule="auto" w:line="240" w:before="0" w:after="60"/>
                                    <w:ind w:left="60" w:right="60" w:hanging="0"/>
                                    <w:jc w:val="center"/>
                                    <w:rPr/>
                                  </w:pPr>
                                  <w:bookmarkStart w:id="3082" w:name="__UnoMark__19456_118561941"/>
                                  <w:bookmarkStart w:id="3083" w:name="__UnoMark__19455_118561941"/>
                                  <w:bookmarkEnd w:id="3082"/>
                                  <w:bookmarkEnd w:id="3083"/>
                                  <w:r>
                                    <w:rPr>
                                      <w:color w:val="00000A"/>
                                      <w:sz w:val="18"/>
                                      <w:szCs w:val="18"/>
                                    </w:rPr>
                                    <w:t>.049</w:t>
                                  </w:r>
                                </w:p>
                              </w:tc>
                              <w:tc>
                                <w:tcPr>
                                  <w:tcW w:w="673" w:type="dxa"/>
                                  <w:tcBorders>
                                    <w:top w:val="single" w:sz="2" w:space="0" w:color="00000A"/>
                                  </w:tcBorders>
                                  <w:shd w:color="auto" w:fill="FFFFFF" w:val="clear"/>
                                </w:tcPr>
                                <w:p>
                                  <w:pPr>
                                    <w:pStyle w:val="FrameContents"/>
                                    <w:spacing w:lineRule="auto" w:line="240" w:before="0" w:after="60"/>
                                    <w:ind w:left="60" w:right="60" w:hanging="0"/>
                                    <w:jc w:val="center"/>
                                    <w:rPr/>
                                  </w:pPr>
                                  <w:bookmarkStart w:id="3084" w:name="__UnoMark__19458_118561941"/>
                                  <w:bookmarkStart w:id="3085" w:name="__UnoMark__19457_118561941"/>
                                  <w:bookmarkEnd w:id="3084"/>
                                  <w:bookmarkEnd w:id="3085"/>
                                  <w:r>
                                    <w:rPr>
                                      <w:color w:val="00000A"/>
                                      <w:sz w:val="18"/>
                                      <w:szCs w:val="18"/>
                                    </w:rPr>
                                    <w:t>.347</w:t>
                                  </w:r>
                                </w:p>
                              </w:tc>
                            </w:tr>
                            <w:tr>
                              <w:trPr>
                                <w:cantSplit w:val="true"/>
                              </w:trPr>
                              <w:tc>
                                <w:tcPr>
                                  <w:tcW w:w="1544" w:type="dxa"/>
                                  <w:gridSpan w:val="2"/>
                                  <w:tcBorders/>
                                  <w:shd w:color="auto" w:fill="auto" w:val="clear"/>
                                </w:tcPr>
                                <w:p>
                                  <w:pPr>
                                    <w:pStyle w:val="FrameContents"/>
                                    <w:spacing w:lineRule="auto" w:line="240" w:before="0" w:after="60"/>
                                    <w:ind w:left="60" w:right="60" w:hanging="0"/>
                                    <w:jc w:val="center"/>
                                    <w:rPr/>
                                  </w:pPr>
                                  <w:bookmarkStart w:id="3086" w:name="__UnoMark__19460_118561941"/>
                                  <w:bookmarkStart w:id="3087" w:name="__UnoMark__19459_118561941"/>
                                  <w:bookmarkEnd w:id="3086"/>
                                  <w:bookmarkEnd w:id="3087"/>
                                  <w:r>
                                    <w:rPr>
                                      <w:color w:val="00000A"/>
                                      <w:sz w:val="18"/>
                                      <w:szCs w:val="18"/>
                                    </w:rPr>
                                    <w:t>Apriori_LDS</w:t>
                                  </w:r>
                                </w:p>
                              </w:tc>
                              <w:tc>
                                <w:tcPr>
                                  <w:tcW w:w="1096" w:type="dxa"/>
                                  <w:gridSpan w:val="2"/>
                                  <w:tcBorders/>
                                  <w:shd w:color="auto" w:fill="FFFFFF" w:val="clear"/>
                                </w:tcPr>
                                <w:p>
                                  <w:pPr>
                                    <w:pStyle w:val="FrameContents"/>
                                    <w:spacing w:lineRule="auto" w:line="240" w:before="0" w:after="60"/>
                                    <w:ind w:left="60" w:right="60" w:hanging="0"/>
                                    <w:jc w:val="center"/>
                                    <w:rPr/>
                                  </w:pPr>
                                  <w:bookmarkStart w:id="3088" w:name="__UnoMark__19461_118561941"/>
                                  <w:bookmarkEnd w:id="3088"/>
                                  <w:r>
                                    <w:rPr>
                                      <w:color w:val="00000A"/>
                                      <w:sz w:val="18"/>
                                      <w:szCs w:val="18"/>
                                    </w:rPr>
                                    <w:t>.200</w:t>
                                  </w:r>
                                  <w:bookmarkStart w:id="3089" w:name="__UnoMark__19462_118561941"/>
                                  <w:bookmarkEnd w:id="3089"/>
                                  <w:r>
                                    <w:rPr>
                                      <w:color w:val="00000A"/>
                                      <w:sz w:val="18"/>
                                      <w:szCs w:val="18"/>
                                      <w:vertAlign w:val="superscript"/>
                                    </w:rPr>
                                    <w:t>*</w:t>
                                  </w:r>
                                </w:p>
                              </w:tc>
                              <w:tc>
                                <w:tcPr>
                                  <w:tcW w:w="673" w:type="dxa"/>
                                  <w:tcBorders/>
                                  <w:shd w:color="auto" w:fill="FFFFFF" w:val="clear"/>
                                </w:tcPr>
                                <w:p>
                                  <w:pPr>
                                    <w:pStyle w:val="FrameContents"/>
                                    <w:spacing w:lineRule="auto" w:line="240" w:before="0" w:after="60"/>
                                    <w:ind w:left="60" w:right="60" w:hanging="0"/>
                                    <w:jc w:val="center"/>
                                    <w:rPr/>
                                  </w:pPr>
                                  <w:bookmarkStart w:id="3090" w:name="__UnoMark__19464_118561941"/>
                                  <w:bookmarkStart w:id="3091" w:name="__UnoMark__19463_118561941"/>
                                  <w:bookmarkEnd w:id="3090"/>
                                  <w:bookmarkEnd w:id="3091"/>
                                  <w:r>
                                    <w:rPr>
                                      <w:color w:val="00000A"/>
                                      <w:sz w:val="18"/>
                                      <w:szCs w:val="18"/>
                                    </w:rPr>
                                    <w:t>.977</w:t>
                                  </w:r>
                                </w:p>
                              </w:tc>
                            </w:tr>
                            <w:tr>
                              <w:trPr>
                                <w:cantSplit w:val="true"/>
                              </w:trPr>
                              <w:tc>
                                <w:tcPr>
                                  <w:tcW w:w="1544" w:type="dxa"/>
                                  <w:gridSpan w:val="2"/>
                                  <w:tcBorders/>
                                  <w:shd w:color="auto" w:fill="auto" w:val="clear"/>
                                </w:tcPr>
                                <w:p>
                                  <w:pPr>
                                    <w:pStyle w:val="FrameContents"/>
                                    <w:spacing w:lineRule="auto" w:line="240" w:before="0" w:after="60"/>
                                    <w:ind w:left="60" w:right="60" w:hanging="0"/>
                                    <w:jc w:val="center"/>
                                    <w:rPr/>
                                  </w:pPr>
                                  <w:bookmarkStart w:id="3092" w:name="__UnoMark__19466_118561941"/>
                                  <w:bookmarkStart w:id="3093" w:name="__UnoMark__19465_118561941"/>
                                  <w:bookmarkEnd w:id="3092"/>
                                  <w:bookmarkEnd w:id="3093"/>
                                  <w:r>
                                    <w:rPr>
                                      <w:color w:val="00000A"/>
                                      <w:sz w:val="18"/>
                                      <w:szCs w:val="18"/>
                                    </w:rPr>
                                    <w:t>ACO_LDS</w:t>
                                  </w:r>
                                </w:p>
                              </w:tc>
                              <w:tc>
                                <w:tcPr>
                                  <w:tcW w:w="1096" w:type="dxa"/>
                                  <w:gridSpan w:val="2"/>
                                  <w:tcBorders/>
                                  <w:shd w:color="auto" w:fill="FFFFFF" w:val="clear"/>
                                </w:tcPr>
                                <w:p>
                                  <w:pPr>
                                    <w:pStyle w:val="FrameContents"/>
                                    <w:spacing w:lineRule="auto" w:line="240" w:before="0" w:after="60"/>
                                    <w:ind w:left="60" w:right="60" w:hanging="0"/>
                                    <w:jc w:val="center"/>
                                    <w:rPr/>
                                  </w:pPr>
                                  <w:bookmarkStart w:id="3094" w:name="__UnoMark__19468_118561941"/>
                                  <w:bookmarkStart w:id="3095" w:name="__UnoMark__19467_118561941"/>
                                  <w:bookmarkEnd w:id="3094"/>
                                  <w:bookmarkEnd w:id="3095"/>
                                  <w:r>
                                    <w:rPr>
                                      <w:color w:val="00000A"/>
                                      <w:sz w:val="18"/>
                                      <w:szCs w:val="18"/>
                                    </w:rPr>
                                    <w:t>.000</w:t>
                                  </w:r>
                                </w:p>
                              </w:tc>
                              <w:tc>
                                <w:tcPr>
                                  <w:tcW w:w="673" w:type="dxa"/>
                                  <w:tcBorders/>
                                  <w:shd w:color="auto" w:fill="FFFFFF" w:val="clear"/>
                                </w:tcPr>
                                <w:p>
                                  <w:pPr>
                                    <w:pStyle w:val="FrameContents"/>
                                    <w:spacing w:lineRule="auto" w:line="240" w:before="0" w:after="60"/>
                                    <w:ind w:left="60" w:right="60" w:hanging="0"/>
                                    <w:jc w:val="center"/>
                                    <w:rPr/>
                                  </w:pPr>
                                  <w:bookmarkStart w:id="3096" w:name="__UnoMark__19470_118561941"/>
                                  <w:bookmarkStart w:id="3097" w:name="__UnoMark__19469_118561941"/>
                                  <w:bookmarkEnd w:id="3096"/>
                                  <w:bookmarkEnd w:id="3097"/>
                                  <w:r>
                                    <w:rPr>
                                      <w:color w:val="00000A"/>
                                      <w:sz w:val="18"/>
                                      <w:szCs w:val="18"/>
                                    </w:rPr>
                                    <w:t>.000</w:t>
                                  </w:r>
                                </w:p>
                              </w:tc>
                            </w:tr>
                            <w:tr>
                              <w:trPr>
                                <w:cantSplit w:val="true"/>
                              </w:trPr>
                              <w:tc>
                                <w:tcPr>
                                  <w:tcW w:w="1544" w:type="dxa"/>
                                  <w:gridSpan w:val="2"/>
                                  <w:tcBorders/>
                                  <w:shd w:color="auto" w:fill="auto" w:val="clear"/>
                                </w:tcPr>
                                <w:p>
                                  <w:pPr>
                                    <w:pStyle w:val="FrameContents"/>
                                    <w:spacing w:lineRule="auto" w:line="240" w:before="0" w:after="60"/>
                                    <w:ind w:left="60" w:right="60" w:hanging="0"/>
                                    <w:jc w:val="center"/>
                                    <w:rPr/>
                                  </w:pPr>
                                  <w:bookmarkStart w:id="3098" w:name="__UnoMark__19472_118561941"/>
                                  <w:bookmarkStart w:id="3099" w:name="__UnoMark__19471_118561941"/>
                                  <w:bookmarkEnd w:id="3098"/>
                                  <w:bookmarkEnd w:id="3099"/>
                                  <w:r>
                                    <w:rPr>
                                      <w:color w:val="00000A"/>
                                      <w:sz w:val="18"/>
                                      <w:szCs w:val="18"/>
                                    </w:rPr>
                                    <w:t>GA_LDS</w:t>
                                  </w:r>
                                </w:p>
                              </w:tc>
                              <w:tc>
                                <w:tcPr>
                                  <w:tcW w:w="1096" w:type="dxa"/>
                                  <w:gridSpan w:val="2"/>
                                  <w:tcBorders/>
                                  <w:shd w:color="auto" w:fill="FFFFFF" w:val="clear"/>
                                </w:tcPr>
                                <w:p>
                                  <w:pPr>
                                    <w:pStyle w:val="FrameContents"/>
                                    <w:spacing w:lineRule="auto" w:line="240" w:before="0" w:after="60"/>
                                    <w:ind w:left="60" w:right="60" w:hanging="0"/>
                                    <w:jc w:val="center"/>
                                    <w:rPr/>
                                  </w:pPr>
                                  <w:bookmarkStart w:id="3100" w:name="__UnoMark__19474_118561941"/>
                                  <w:bookmarkStart w:id="3101" w:name="__UnoMark__19473_118561941"/>
                                  <w:bookmarkEnd w:id="3100"/>
                                  <w:bookmarkEnd w:id="3101"/>
                                  <w:r>
                                    <w:rPr>
                                      <w:color w:val="00000A"/>
                                      <w:sz w:val="18"/>
                                      <w:szCs w:val="18"/>
                                    </w:rPr>
                                    <w:t>.001</w:t>
                                  </w:r>
                                </w:p>
                              </w:tc>
                              <w:tc>
                                <w:tcPr>
                                  <w:tcW w:w="673" w:type="dxa"/>
                                  <w:tcBorders/>
                                  <w:shd w:color="auto" w:fill="FFFFFF" w:val="clear"/>
                                </w:tcPr>
                                <w:p>
                                  <w:pPr>
                                    <w:pStyle w:val="FrameContents"/>
                                    <w:spacing w:lineRule="auto" w:line="240" w:before="0" w:after="60"/>
                                    <w:ind w:left="60" w:right="60" w:hanging="0"/>
                                    <w:jc w:val="center"/>
                                    <w:rPr/>
                                  </w:pPr>
                                  <w:bookmarkStart w:id="3102" w:name="__UnoMark__19476_118561941"/>
                                  <w:bookmarkStart w:id="3103" w:name="__UnoMark__19475_118561941"/>
                                  <w:bookmarkEnd w:id="3102"/>
                                  <w:bookmarkEnd w:id="3103"/>
                                  <w:r>
                                    <w:rPr>
                                      <w:color w:val="00000A"/>
                                      <w:sz w:val="18"/>
                                      <w:szCs w:val="18"/>
                                    </w:rPr>
                                    <w:t>.001</w:t>
                                  </w:r>
                                </w:p>
                              </w:tc>
                            </w:tr>
                            <w:tr>
                              <w:trPr>
                                <w:cantSplit w:val="true"/>
                              </w:trPr>
                              <w:tc>
                                <w:tcPr>
                                  <w:tcW w:w="1544" w:type="dxa"/>
                                  <w:gridSpan w:val="2"/>
                                  <w:tcBorders/>
                                  <w:shd w:color="auto" w:fill="auto" w:val="clear"/>
                                </w:tcPr>
                                <w:p>
                                  <w:pPr>
                                    <w:pStyle w:val="FrameContents"/>
                                    <w:spacing w:lineRule="auto" w:line="240" w:before="0" w:after="60"/>
                                    <w:ind w:left="60" w:right="60" w:hanging="0"/>
                                    <w:jc w:val="center"/>
                                    <w:rPr/>
                                  </w:pPr>
                                  <w:bookmarkStart w:id="3104" w:name="__UnoMark__19478_118561941"/>
                                  <w:bookmarkStart w:id="3105" w:name="__UnoMark__19477_118561941"/>
                                  <w:bookmarkEnd w:id="3104"/>
                                  <w:bookmarkEnd w:id="3105"/>
                                  <w:r>
                                    <w:rPr>
                                      <w:color w:val="00000A"/>
                                      <w:sz w:val="18"/>
                                      <w:szCs w:val="18"/>
                                    </w:rPr>
                                    <w:t>PCA_LDS</w:t>
                                  </w:r>
                                </w:p>
                              </w:tc>
                              <w:tc>
                                <w:tcPr>
                                  <w:tcW w:w="1096" w:type="dxa"/>
                                  <w:gridSpan w:val="2"/>
                                  <w:tcBorders/>
                                  <w:shd w:color="auto" w:fill="FFFFFF" w:val="clear"/>
                                </w:tcPr>
                                <w:p>
                                  <w:pPr>
                                    <w:pStyle w:val="FrameContents"/>
                                    <w:spacing w:lineRule="auto" w:line="240" w:before="0" w:after="60"/>
                                    <w:ind w:left="60" w:right="60" w:hanging="0"/>
                                    <w:jc w:val="center"/>
                                    <w:rPr/>
                                  </w:pPr>
                                  <w:bookmarkStart w:id="3106" w:name="__UnoMark__19479_118561941"/>
                                  <w:bookmarkEnd w:id="3106"/>
                                  <w:r>
                                    <w:rPr>
                                      <w:color w:val="00000A"/>
                                      <w:sz w:val="18"/>
                                      <w:szCs w:val="18"/>
                                    </w:rPr>
                                    <w:t>.200</w:t>
                                  </w:r>
                                  <w:bookmarkStart w:id="3107" w:name="__UnoMark__19480_118561941"/>
                                  <w:bookmarkEnd w:id="3107"/>
                                  <w:r>
                                    <w:rPr>
                                      <w:color w:val="00000A"/>
                                      <w:sz w:val="18"/>
                                      <w:szCs w:val="18"/>
                                      <w:vertAlign w:val="superscript"/>
                                    </w:rPr>
                                    <w:t>*</w:t>
                                  </w:r>
                                </w:p>
                              </w:tc>
                              <w:tc>
                                <w:tcPr>
                                  <w:tcW w:w="673" w:type="dxa"/>
                                  <w:tcBorders/>
                                  <w:shd w:color="auto" w:fill="FFFFFF" w:val="clear"/>
                                </w:tcPr>
                                <w:p>
                                  <w:pPr>
                                    <w:pStyle w:val="FrameContents"/>
                                    <w:spacing w:lineRule="auto" w:line="240" w:before="0" w:after="60"/>
                                    <w:ind w:left="60" w:right="60" w:hanging="0"/>
                                    <w:jc w:val="center"/>
                                    <w:rPr/>
                                  </w:pPr>
                                  <w:bookmarkStart w:id="3108" w:name="__UnoMark__19481_118561941"/>
                                  <w:bookmarkEnd w:id="3108"/>
                                  <w:r>
                                    <w:rPr>
                                      <w:color w:val="00000A"/>
                                      <w:sz w:val="18"/>
                                      <w:szCs w:val="18"/>
                                    </w:rPr>
                                    <w:t>.522</w:t>
                                  </w:r>
                                </w:p>
                              </w:tc>
                            </w:tr>
                          </w:tbl>
                          <w:p>
                            <w:pPr>
                              <w:pStyle w:val="FrameContents"/>
                              <w:spacing w:before="80" w:after="60"/>
                              <w:rPr>
                                <w:color w:val="000000"/>
                              </w:rPr>
                            </w:pPr>
                            <w:r>
                              <w:rPr>
                                <w:color w:val="000000"/>
                              </w:rPr>
                            </w:r>
                          </w:p>
                        </w:txbxContent>
                      </wps:txbx>
                      <wps:bodyPr lIns="0" rIns="0" tIns="0" bIns="0">
                        <a:spAutoFit/>
                      </wps:bodyPr>
                    </wps:wsp>
                  </a:graphicData>
                </a:graphic>
              </wp:anchor>
            </w:drawing>
          </mc:Choice>
          <mc:Fallback>
            <w:pict>
              <v:rect id="shape_0" ID="Frame36" stroked="f" style="position:absolute;margin-left:141.55pt;margin-top:2.8pt;width:165.7pt;height:248.25pt;mso-position-horizontal:center;mso-position-horizontal-relative:margin">
                <w10:wrap type="none"/>
                <v:fill o:detectmouseclick="t" on="false"/>
                <v:stroke color="#3465a4" joinstyle="round" endcap="flat"/>
                <v:textbox>
                  <w:txbxContent>
                    <w:tbl>
                      <w:tblPr>
                        <w:tblW w:w="3313" w:type="dxa"/>
                        <w:jc w:val="center"/>
                        <w:tblInd w:w="0" w:type="dxa"/>
                        <w:tblBorders/>
                        <w:tblCellMar>
                          <w:top w:w="0" w:type="dxa"/>
                          <w:left w:w="0" w:type="dxa"/>
                          <w:bottom w:w="0" w:type="dxa"/>
                          <w:right w:w="0" w:type="dxa"/>
                        </w:tblCellMar>
                        <w:tblLook w:val="0000" w:noVBand="0" w:noHBand="0" w:lastColumn="0" w:firstColumn="0" w:lastRow="0" w:firstRow="0"/>
                      </w:tblPr>
                      <w:tblGrid>
                        <w:gridCol w:w="998"/>
                        <w:gridCol w:w="546"/>
                        <w:gridCol w:w="596"/>
                        <w:gridCol w:w="500"/>
                        <w:gridCol w:w="673"/>
                      </w:tblGrid>
                      <w:tr>
                        <w:trPr>
                          <w:trHeight w:val="3023" w:hRule="atLeast"/>
                        </w:trPr>
                        <w:tc>
                          <w:tcPr>
                            <w:tcW w:w="998" w:type="dxa"/>
                            <w:tcBorders/>
                            <w:shd w:color="auto" w:fill="auto" w:val="clear"/>
                            <w:vAlign w:val="center"/>
                          </w:tcPr>
                          <w:p>
                            <w:pPr>
                              <w:pStyle w:val="FrameContents"/>
                              <w:spacing w:lineRule="auto" w:line="240" w:before="0" w:after="60"/>
                              <w:jc w:val="center"/>
                              <w:rPr/>
                            </w:pPr>
                            <w:bookmarkStart w:id="3109" w:name="__UnoMark__19442_118561941"/>
                            <w:bookmarkEnd w:id="3109"/>
                            <w:r>
                              <w:rPr>
                                <w:color w:val="00000A"/>
                                <w:sz w:val="18"/>
                                <w:szCs w:val="18"/>
                              </w:rPr>
                              <w:t>Algoritmos</w:t>
                            </w:r>
                          </w:p>
                        </w:tc>
                        <w:tc>
                          <w:tcPr>
                            <w:tcW w:w="1142" w:type="dxa"/>
                            <w:gridSpan w:val="2"/>
                            <w:tcBorders/>
                            <w:shd w:color="auto" w:fill="auto" w:val="clear"/>
                          </w:tcPr>
                          <w:p>
                            <w:pPr>
                              <w:pStyle w:val="FrameContents"/>
                              <w:spacing w:lineRule="auto" w:line="240" w:before="0" w:after="60"/>
                              <w:ind w:left="60" w:right="60" w:hanging="0"/>
                              <w:jc w:val="center"/>
                              <w:rPr/>
                            </w:pPr>
                            <w:bookmarkStart w:id="3110" w:name="__UnoMark__19443_118561941"/>
                            <w:bookmarkEnd w:id="3110"/>
                            <w:r>
                              <w:rPr>
                                <w:color w:val="00000A"/>
                                <w:sz w:val="18"/>
                                <w:szCs w:val="18"/>
                              </w:rPr>
                              <w:t>Kolmogorov-Smirnov</w:t>
                            </w:r>
                            <w:r>
                              <w:rPr>
                                <w:color w:val="00000A"/>
                                <w:sz w:val="18"/>
                                <w:szCs w:val="18"/>
                                <w:vertAlign w:val="superscript"/>
                              </w:rPr>
                              <w:t>a</w:t>
                            </w:r>
                            <w:bookmarkStart w:id="3111" w:name="__UnoMark__19444_118561941"/>
                            <w:bookmarkEnd w:id="3111"/>
                            <w:r>
                              <w:rPr>
                                <w:color w:val="00000A"/>
                                <w:sz w:val="18"/>
                                <w:szCs w:val="18"/>
                              </w:rPr>
                              <w:t xml:space="preserve"> Sig.</w:t>
                            </w:r>
                          </w:p>
                        </w:tc>
                        <w:tc>
                          <w:tcPr>
                            <w:tcW w:w="1173" w:type="dxa"/>
                            <w:gridSpan w:val="2"/>
                            <w:tcBorders/>
                            <w:shd w:color="auto" w:fill="auto" w:val="clear"/>
                          </w:tcPr>
                          <w:p>
                            <w:pPr>
                              <w:pStyle w:val="FrameContents"/>
                              <w:spacing w:lineRule="auto" w:line="240" w:before="0" w:after="60"/>
                              <w:ind w:left="60" w:right="60" w:hanging="0"/>
                              <w:jc w:val="center"/>
                              <w:rPr/>
                            </w:pPr>
                            <w:bookmarkStart w:id="3112" w:name="__UnoMark__19446_118561941"/>
                            <w:bookmarkStart w:id="3113" w:name="__UnoMark__19445_118561941"/>
                            <w:bookmarkEnd w:id="3112"/>
                            <w:bookmarkEnd w:id="3113"/>
                            <w:r>
                              <w:rPr>
                                <w:color w:val="00000A"/>
                                <w:sz w:val="18"/>
                                <w:szCs w:val="18"/>
                              </w:rPr>
                              <w:t>Shapiro-Wilk Sig.</w:t>
                            </w:r>
                          </w:p>
                        </w:tc>
                      </w:tr>
                      <w:tr>
                        <w:trPr>
                          <w:cantSplit w:val="true"/>
                        </w:trPr>
                        <w:tc>
                          <w:tcPr>
                            <w:tcW w:w="1544" w:type="dxa"/>
                            <w:gridSpan w:val="2"/>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3114" w:name="__UnoMark__19448_118561941"/>
                            <w:bookmarkStart w:id="3115" w:name="__UnoMark__19447_118561941"/>
                            <w:bookmarkEnd w:id="3114"/>
                            <w:bookmarkEnd w:id="3115"/>
                            <w:r>
                              <w:rPr>
                                <w:color w:val="00000A"/>
                                <w:sz w:val="18"/>
                                <w:szCs w:val="18"/>
                              </w:rPr>
                              <w:t>RST_LDS</w:t>
                            </w:r>
                          </w:p>
                        </w:tc>
                        <w:tc>
                          <w:tcPr>
                            <w:tcW w:w="1096" w:type="dxa"/>
                            <w:gridSpan w:val="2"/>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3116" w:name="__UnoMark__19450_118561941"/>
                            <w:bookmarkStart w:id="3117" w:name="__UnoMark__19449_118561941"/>
                            <w:bookmarkEnd w:id="3116"/>
                            <w:bookmarkEnd w:id="3117"/>
                            <w:r>
                              <w:rPr>
                                <w:color w:val="00000A"/>
                                <w:sz w:val="18"/>
                                <w:szCs w:val="18"/>
                              </w:rPr>
                              <w:t>.012</w:t>
                            </w:r>
                          </w:p>
                        </w:tc>
                        <w:tc>
                          <w:tcPr>
                            <w:tcW w:w="673"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3118" w:name="__UnoMark__19452_118561941"/>
                            <w:bookmarkStart w:id="3119" w:name="__UnoMark__19451_118561941"/>
                            <w:bookmarkEnd w:id="3118"/>
                            <w:bookmarkEnd w:id="3119"/>
                            <w:r>
                              <w:rPr>
                                <w:color w:val="00000A"/>
                                <w:sz w:val="18"/>
                                <w:szCs w:val="18"/>
                              </w:rPr>
                              <w:t>.014</w:t>
                            </w:r>
                          </w:p>
                        </w:tc>
                      </w:tr>
                      <w:tr>
                        <w:trPr>
                          <w:cantSplit w:val="true"/>
                        </w:trPr>
                        <w:tc>
                          <w:tcPr>
                            <w:tcW w:w="1544" w:type="dxa"/>
                            <w:gridSpan w:val="2"/>
                            <w:tcBorders>
                              <w:top w:val="single" w:sz="2" w:space="0" w:color="00000A"/>
                            </w:tcBorders>
                            <w:shd w:color="auto" w:fill="auto" w:val="clear"/>
                          </w:tcPr>
                          <w:p>
                            <w:pPr>
                              <w:pStyle w:val="FrameContents"/>
                              <w:spacing w:lineRule="auto" w:line="240" w:before="0" w:after="60"/>
                              <w:ind w:left="60" w:right="60" w:hanging="0"/>
                              <w:jc w:val="center"/>
                              <w:rPr/>
                            </w:pPr>
                            <w:bookmarkStart w:id="3120" w:name="__UnoMark__19454_118561941"/>
                            <w:bookmarkStart w:id="3121" w:name="__UnoMark__19453_118561941"/>
                            <w:bookmarkEnd w:id="3120"/>
                            <w:bookmarkEnd w:id="3121"/>
                            <w:r>
                              <w:rPr>
                                <w:color w:val="00000A"/>
                                <w:sz w:val="18"/>
                                <w:szCs w:val="18"/>
                              </w:rPr>
                              <w:t>LPA_LDS</w:t>
                            </w:r>
                          </w:p>
                        </w:tc>
                        <w:tc>
                          <w:tcPr>
                            <w:tcW w:w="1096" w:type="dxa"/>
                            <w:gridSpan w:val="2"/>
                            <w:tcBorders>
                              <w:top w:val="single" w:sz="2" w:space="0" w:color="00000A"/>
                            </w:tcBorders>
                            <w:shd w:color="auto" w:fill="FFFFFF" w:val="clear"/>
                          </w:tcPr>
                          <w:p>
                            <w:pPr>
                              <w:pStyle w:val="FrameContents"/>
                              <w:spacing w:lineRule="auto" w:line="240" w:before="0" w:after="60"/>
                              <w:ind w:left="60" w:right="60" w:hanging="0"/>
                              <w:jc w:val="center"/>
                              <w:rPr/>
                            </w:pPr>
                            <w:bookmarkStart w:id="3122" w:name="__UnoMark__19456_118561941"/>
                            <w:bookmarkStart w:id="3123" w:name="__UnoMark__19455_118561941"/>
                            <w:bookmarkEnd w:id="3122"/>
                            <w:bookmarkEnd w:id="3123"/>
                            <w:r>
                              <w:rPr>
                                <w:color w:val="00000A"/>
                                <w:sz w:val="18"/>
                                <w:szCs w:val="18"/>
                              </w:rPr>
                              <w:t>.049</w:t>
                            </w:r>
                          </w:p>
                        </w:tc>
                        <w:tc>
                          <w:tcPr>
                            <w:tcW w:w="673" w:type="dxa"/>
                            <w:tcBorders>
                              <w:top w:val="single" w:sz="2" w:space="0" w:color="00000A"/>
                            </w:tcBorders>
                            <w:shd w:color="auto" w:fill="FFFFFF" w:val="clear"/>
                          </w:tcPr>
                          <w:p>
                            <w:pPr>
                              <w:pStyle w:val="FrameContents"/>
                              <w:spacing w:lineRule="auto" w:line="240" w:before="0" w:after="60"/>
                              <w:ind w:left="60" w:right="60" w:hanging="0"/>
                              <w:jc w:val="center"/>
                              <w:rPr/>
                            </w:pPr>
                            <w:bookmarkStart w:id="3124" w:name="__UnoMark__19458_118561941"/>
                            <w:bookmarkStart w:id="3125" w:name="__UnoMark__19457_118561941"/>
                            <w:bookmarkEnd w:id="3124"/>
                            <w:bookmarkEnd w:id="3125"/>
                            <w:r>
                              <w:rPr>
                                <w:color w:val="00000A"/>
                                <w:sz w:val="18"/>
                                <w:szCs w:val="18"/>
                              </w:rPr>
                              <w:t>.347</w:t>
                            </w:r>
                          </w:p>
                        </w:tc>
                      </w:tr>
                      <w:tr>
                        <w:trPr>
                          <w:cantSplit w:val="true"/>
                        </w:trPr>
                        <w:tc>
                          <w:tcPr>
                            <w:tcW w:w="1544" w:type="dxa"/>
                            <w:gridSpan w:val="2"/>
                            <w:tcBorders/>
                            <w:shd w:color="auto" w:fill="auto" w:val="clear"/>
                          </w:tcPr>
                          <w:p>
                            <w:pPr>
                              <w:pStyle w:val="FrameContents"/>
                              <w:spacing w:lineRule="auto" w:line="240" w:before="0" w:after="60"/>
                              <w:ind w:left="60" w:right="60" w:hanging="0"/>
                              <w:jc w:val="center"/>
                              <w:rPr/>
                            </w:pPr>
                            <w:bookmarkStart w:id="3126" w:name="__UnoMark__19460_118561941"/>
                            <w:bookmarkStart w:id="3127" w:name="__UnoMark__19459_118561941"/>
                            <w:bookmarkEnd w:id="3126"/>
                            <w:bookmarkEnd w:id="3127"/>
                            <w:r>
                              <w:rPr>
                                <w:color w:val="00000A"/>
                                <w:sz w:val="18"/>
                                <w:szCs w:val="18"/>
                              </w:rPr>
                              <w:t>Apriori_LDS</w:t>
                            </w:r>
                          </w:p>
                        </w:tc>
                        <w:tc>
                          <w:tcPr>
                            <w:tcW w:w="1096" w:type="dxa"/>
                            <w:gridSpan w:val="2"/>
                            <w:tcBorders/>
                            <w:shd w:color="auto" w:fill="FFFFFF" w:val="clear"/>
                          </w:tcPr>
                          <w:p>
                            <w:pPr>
                              <w:pStyle w:val="FrameContents"/>
                              <w:spacing w:lineRule="auto" w:line="240" w:before="0" w:after="60"/>
                              <w:ind w:left="60" w:right="60" w:hanging="0"/>
                              <w:jc w:val="center"/>
                              <w:rPr/>
                            </w:pPr>
                            <w:bookmarkStart w:id="3128" w:name="__UnoMark__19461_118561941"/>
                            <w:bookmarkEnd w:id="3128"/>
                            <w:r>
                              <w:rPr>
                                <w:color w:val="00000A"/>
                                <w:sz w:val="18"/>
                                <w:szCs w:val="18"/>
                              </w:rPr>
                              <w:t>.200</w:t>
                            </w:r>
                            <w:bookmarkStart w:id="3129" w:name="__UnoMark__19462_118561941"/>
                            <w:bookmarkEnd w:id="3129"/>
                            <w:r>
                              <w:rPr>
                                <w:color w:val="00000A"/>
                                <w:sz w:val="18"/>
                                <w:szCs w:val="18"/>
                                <w:vertAlign w:val="superscript"/>
                              </w:rPr>
                              <w:t>*</w:t>
                            </w:r>
                          </w:p>
                        </w:tc>
                        <w:tc>
                          <w:tcPr>
                            <w:tcW w:w="673" w:type="dxa"/>
                            <w:tcBorders/>
                            <w:shd w:color="auto" w:fill="FFFFFF" w:val="clear"/>
                          </w:tcPr>
                          <w:p>
                            <w:pPr>
                              <w:pStyle w:val="FrameContents"/>
                              <w:spacing w:lineRule="auto" w:line="240" w:before="0" w:after="60"/>
                              <w:ind w:left="60" w:right="60" w:hanging="0"/>
                              <w:jc w:val="center"/>
                              <w:rPr/>
                            </w:pPr>
                            <w:bookmarkStart w:id="3130" w:name="__UnoMark__19464_118561941"/>
                            <w:bookmarkStart w:id="3131" w:name="__UnoMark__19463_118561941"/>
                            <w:bookmarkEnd w:id="3130"/>
                            <w:bookmarkEnd w:id="3131"/>
                            <w:r>
                              <w:rPr>
                                <w:color w:val="00000A"/>
                                <w:sz w:val="18"/>
                                <w:szCs w:val="18"/>
                              </w:rPr>
                              <w:t>.977</w:t>
                            </w:r>
                          </w:p>
                        </w:tc>
                      </w:tr>
                      <w:tr>
                        <w:trPr>
                          <w:cantSplit w:val="true"/>
                        </w:trPr>
                        <w:tc>
                          <w:tcPr>
                            <w:tcW w:w="1544" w:type="dxa"/>
                            <w:gridSpan w:val="2"/>
                            <w:tcBorders/>
                            <w:shd w:color="auto" w:fill="auto" w:val="clear"/>
                          </w:tcPr>
                          <w:p>
                            <w:pPr>
                              <w:pStyle w:val="FrameContents"/>
                              <w:spacing w:lineRule="auto" w:line="240" w:before="0" w:after="60"/>
                              <w:ind w:left="60" w:right="60" w:hanging="0"/>
                              <w:jc w:val="center"/>
                              <w:rPr/>
                            </w:pPr>
                            <w:bookmarkStart w:id="3132" w:name="__UnoMark__19466_118561941"/>
                            <w:bookmarkStart w:id="3133" w:name="__UnoMark__19465_118561941"/>
                            <w:bookmarkEnd w:id="3132"/>
                            <w:bookmarkEnd w:id="3133"/>
                            <w:r>
                              <w:rPr>
                                <w:color w:val="00000A"/>
                                <w:sz w:val="18"/>
                                <w:szCs w:val="18"/>
                              </w:rPr>
                              <w:t>ACO_LDS</w:t>
                            </w:r>
                          </w:p>
                        </w:tc>
                        <w:tc>
                          <w:tcPr>
                            <w:tcW w:w="1096" w:type="dxa"/>
                            <w:gridSpan w:val="2"/>
                            <w:tcBorders/>
                            <w:shd w:color="auto" w:fill="FFFFFF" w:val="clear"/>
                          </w:tcPr>
                          <w:p>
                            <w:pPr>
                              <w:pStyle w:val="FrameContents"/>
                              <w:spacing w:lineRule="auto" w:line="240" w:before="0" w:after="60"/>
                              <w:ind w:left="60" w:right="60" w:hanging="0"/>
                              <w:jc w:val="center"/>
                              <w:rPr/>
                            </w:pPr>
                            <w:bookmarkStart w:id="3134" w:name="__UnoMark__19468_118561941"/>
                            <w:bookmarkStart w:id="3135" w:name="__UnoMark__19467_118561941"/>
                            <w:bookmarkEnd w:id="3134"/>
                            <w:bookmarkEnd w:id="3135"/>
                            <w:r>
                              <w:rPr>
                                <w:color w:val="00000A"/>
                                <w:sz w:val="18"/>
                                <w:szCs w:val="18"/>
                              </w:rPr>
                              <w:t>.000</w:t>
                            </w:r>
                          </w:p>
                        </w:tc>
                        <w:tc>
                          <w:tcPr>
                            <w:tcW w:w="673" w:type="dxa"/>
                            <w:tcBorders/>
                            <w:shd w:color="auto" w:fill="FFFFFF" w:val="clear"/>
                          </w:tcPr>
                          <w:p>
                            <w:pPr>
                              <w:pStyle w:val="FrameContents"/>
                              <w:spacing w:lineRule="auto" w:line="240" w:before="0" w:after="60"/>
                              <w:ind w:left="60" w:right="60" w:hanging="0"/>
                              <w:jc w:val="center"/>
                              <w:rPr/>
                            </w:pPr>
                            <w:bookmarkStart w:id="3136" w:name="__UnoMark__19470_118561941"/>
                            <w:bookmarkStart w:id="3137" w:name="__UnoMark__19469_118561941"/>
                            <w:bookmarkEnd w:id="3136"/>
                            <w:bookmarkEnd w:id="3137"/>
                            <w:r>
                              <w:rPr>
                                <w:color w:val="00000A"/>
                                <w:sz w:val="18"/>
                                <w:szCs w:val="18"/>
                              </w:rPr>
                              <w:t>.000</w:t>
                            </w:r>
                          </w:p>
                        </w:tc>
                      </w:tr>
                      <w:tr>
                        <w:trPr>
                          <w:cantSplit w:val="true"/>
                        </w:trPr>
                        <w:tc>
                          <w:tcPr>
                            <w:tcW w:w="1544" w:type="dxa"/>
                            <w:gridSpan w:val="2"/>
                            <w:tcBorders/>
                            <w:shd w:color="auto" w:fill="auto" w:val="clear"/>
                          </w:tcPr>
                          <w:p>
                            <w:pPr>
                              <w:pStyle w:val="FrameContents"/>
                              <w:spacing w:lineRule="auto" w:line="240" w:before="0" w:after="60"/>
                              <w:ind w:left="60" w:right="60" w:hanging="0"/>
                              <w:jc w:val="center"/>
                              <w:rPr/>
                            </w:pPr>
                            <w:bookmarkStart w:id="3138" w:name="__UnoMark__19472_118561941"/>
                            <w:bookmarkStart w:id="3139" w:name="__UnoMark__19471_118561941"/>
                            <w:bookmarkEnd w:id="3138"/>
                            <w:bookmarkEnd w:id="3139"/>
                            <w:r>
                              <w:rPr>
                                <w:color w:val="00000A"/>
                                <w:sz w:val="18"/>
                                <w:szCs w:val="18"/>
                              </w:rPr>
                              <w:t>GA_LDS</w:t>
                            </w:r>
                          </w:p>
                        </w:tc>
                        <w:tc>
                          <w:tcPr>
                            <w:tcW w:w="1096" w:type="dxa"/>
                            <w:gridSpan w:val="2"/>
                            <w:tcBorders/>
                            <w:shd w:color="auto" w:fill="FFFFFF" w:val="clear"/>
                          </w:tcPr>
                          <w:p>
                            <w:pPr>
                              <w:pStyle w:val="FrameContents"/>
                              <w:spacing w:lineRule="auto" w:line="240" w:before="0" w:after="60"/>
                              <w:ind w:left="60" w:right="60" w:hanging="0"/>
                              <w:jc w:val="center"/>
                              <w:rPr/>
                            </w:pPr>
                            <w:bookmarkStart w:id="3140" w:name="__UnoMark__19474_118561941"/>
                            <w:bookmarkStart w:id="3141" w:name="__UnoMark__19473_118561941"/>
                            <w:bookmarkEnd w:id="3140"/>
                            <w:bookmarkEnd w:id="3141"/>
                            <w:r>
                              <w:rPr>
                                <w:color w:val="00000A"/>
                                <w:sz w:val="18"/>
                                <w:szCs w:val="18"/>
                              </w:rPr>
                              <w:t>.001</w:t>
                            </w:r>
                          </w:p>
                        </w:tc>
                        <w:tc>
                          <w:tcPr>
                            <w:tcW w:w="673" w:type="dxa"/>
                            <w:tcBorders/>
                            <w:shd w:color="auto" w:fill="FFFFFF" w:val="clear"/>
                          </w:tcPr>
                          <w:p>
                            <w:pPr>
                              <w:pStyle w:val="FrameContents"/>
                              <w:spacing w:lineRule="auto" w:line="240" w:before="0" w:after="60"/>
                              <w:ind w:left="60" w:right="60" w:hanging="0"/>
                              <w:jc w:val="center"/>
                              <w:rPr/>
                            </w:pPr>
                            <w:bookmarkStart w:id="3142" w:name="__UnoMark__19476_118561941"/>
                            <w:bookmarkStart w:id="3143" w:name="__UnoMark__19475_118561941"/>
                            <w:bookmarkEnd w:id="3142"/>
                            <w:bookmarkEnd w:id="3143"/>
                            <w:r>
                              <w:rPr>
                                <w:color w:val="00000A"/>
                                <w:sz w:val="18"/>
                                <w:szCs w:val="18"/>
                              </w:rPr>
                              <w:t>.001</w:t>
                            </w:r>
                          </w:p>
                        </w:tc>
                      </w:tr>
                      <w:tr>
                        <w:trPr>
                          <w:cantSplit w:val="true"/>
                        </w:trPr>
                        <w:tc>
                          <w:tcPr>
                            <w:tcW w:w="1544" w:type="dxa"/>
                            <w:gridSpan w:val="2"/>
                            <w:tcBorders/>
                            <w:shd w:color="auto" w:fill="auto" w:val="clear"/>
                          </w:tcPr>
                          <w:p>
                            <w:pPr>
                              <w:pStyle w:val="FrameContents"/>
                              <w:spacing w:lineRule="auto" w:line="240" w:before="0" w:after="60"/>
                              <w:ind w:left="60" w:right="60" w:hanging="0"/>
                              <w:jc w:val="center"/>
                              <w:rPr/>
                            </w:pPr>
                            <w:bookmarkStart w:id="3144" w:name="__UnoMark__19478_118561941"/>
                            <w:bookmarkStart w:id="3145" w:name="__UnoMark__19477_118561941"/>
                            <w:bookmarkEnd w:id="3144"/>
                            <w:bookmarkEnd w:id="3145"/>
                            <w:r>
                              <w:rPr>
                                <w:color w:val="00000A"/>
                                <w:sz w:val="18"/>
                                <w:szCs w:val="18"/>
                              </w:rPr>
                              <w:t>PCA_LDS</w:t>
                            </w:r>
                          </w:p>
                        </w:tc>
                        <w:tc>
                          <w:tcPr>
                            <w:tcW w:w="1096" w:type="dxa"/>
                            <w:gridSpan w:val="2"/>
                            <w:tcBorders/>
                            <w:shd w:color="auto" w:fill="FFFFFF" w:val="clear"/>
                          </w:tcPr>
                          <w:p>
                            <w:pPr>
                              <w:pStyle w:val="FrameContents"/>
                              <w:spacing w:lineRule="auto" w:line="240" w:before="0" w:after="60"/>
                              <w:ind w:left="60" w:right="60" w:hanging="0"/>
                              <w:jc w:val="center"/>
                              <w:rPr/>
                            </w:pPr>
                            <w:bookmarkStart w:id="3146" w:name="__UnoMark__19479_118561941"/>
                            <w:bookmarkEnd w:id="3146"/>
                            <w:r>
                              <w:rPr>
                                <w:color w:val="00000A"/>
                                <w:sz w:val="18"/>
                                <w:szCs w:val="18"/>
                              </w:rPr>
                              <w:t>.200</w:t>
                            </w:r>
                            <w:bookmarkStart w:id="3147" w:name="__UnoMark__19480_118561941"/>
                            <w:bookmarkEnd w:id="3147"/>
                            <w:r>
                              <w:rPr>
                                <w:color w:val="00000A"/>
                                <w:sz w:val="18"/>
                                <w:szCs w:val="18"/>
                                <w:vertAlign w:val="superscript"/>
                              </w:rPr>
                              <w:t>*</w:t>
                            </w:r>
                          </w:p>
                        </w:tc>
                        <w:tc>
                          <w:tcPr>
                            <w:tcW w:w="673" w:type="dxa"/>
                            <w:tcBorders/>
                            <w:shd w:color="auto" w:fill="FFFFFF" w:val="clear"/>
                          </w:tcPr>
                          <w:p>
                            <w:pPr>
                              <w:pStyle w:val="FrameContents"/>
                              <w:spacing w:lineRule="auto" w:line="240" w:before="0" w:after="60"/>
                              <w:ind w:left="60" w:right="60" w:hanging="0"/>
                              <w:jc w:val="center"/>
                              <w:rPr/>
                            </w:pPr>
                            <w:bookmarkStart w:id="3148" w:name="__UnoMark__19481_118561941"/>
                            <w:bookmarkEnd w:id="3148"/>
                            <w:r>
                              <w:rPr>
                                <w:color w:val="00000A"/>
                                <w:sz w:val="18"/>
                                <w:szCs w:val="18"/>
                              </w:rPr>
                              <w:t>.522</w:t>
                            </w:r>
                          </w:p>
                        </w:tc>
                      </w:tr>
                    </w:tbl>
                    <w:p>
                      <w:pPr>
                        <w:pStyle w:val="FrameContents"/>
                        <w:spacing w:before="80" w:after="60"/>
                        <w:rPr>
                          <w:color w:val="000000"/>
                        </w:rPr>
                      </w:pPr>
                      <w:r>
                        <w:rPr>
                          <w:color w:val="000000"/>
                        </w:rPr>
                      </w:r>
                    </w:p>
                  </w:txbxContent>
                </v:textbox>
              </v:rect>
            </w:pict>
          </mc:Fallback>
        </mc:AlternateContent>
      </w:r>
    </w:p>
    <w:p>
      <w:pPr>
        <w:pStyle w:val="Caption1"/>
        <w:keepNext/>
        <w:spacing w:lineRule="auto" w:line="240" w:before="80" w:after="0"/>
        <w:rPr/>
      </w:pPr>
      <w:r>
        <w:rPr/>
      </w:r>
    </w:p>
    <w:p>
      <w:pPr>
        <w:pStyle w:val="Normal"/>
        <w:spacing w:lineRule="auto" w:line="240" w:before="0" w:after="0"/>
        <w:rPr>
          <w:lang w:val="en-US"/>
        </w:rPr>
      </w:pPr>
      <w:r>
        <w:rPr>
          <w:lang w:val="en-US"/>
        </w:rPr>
        <mc:AlternateContent>
          <mc:Choice Requires="wps">
            <w:drawing>
              <wp:anchor behindDoc="0" distT="0" distB="0" distL="114300" distR="114300" simplePos="0" locked="0" layoutInCell="1" allowOverlap="1" relativeHeight="54">
                <wp:simplePos x="0" y="0"/>
                <wp:positionH relativeFrom="margin">
                  <wp:align>center</wp:align>
                </wp:positionH>
                <wp:positionV relativeFrom="paragraph">
                  <wp:posOffset>-83185</wp:posOffset>
                </wp:positionV>
                <wp:extent cx="4959985" cy="2194560"/>
                <wp:effectExtent l="0" t="0" r="0" b="0"/>
                <wp:wrapSquare wrapText="bothSides"/>
                <wp:docPr id="104" name="Frame37"/>
                <a:graphic xmlns:a="http://schemas.openxmlformats.org/drawingml/2006/main">
                  <a:graphicData uri="http://schemas.microsoft.com/office/word/2010/wordprocessingShape">
                    <wps:wsp>
                      <wps:cNvSpPr/>
                      <wps:spPr>
                        <a:xfrm>
                          <a:off x="0" y="0"/>
                          <a:ext cx="4959360" cy="2193840"/>
                        </a:xfrm>
                        <a:prstGeom prst="rect">
                          <a:avLst/>
                        </a:prstGeom>
                        <a:noFill/>
                        <a:ln>
                          <a:noFill/>
                        </a:ln>
                      </wps:spPr>
                      <wps:style>
                        <a:lnRef idx="0"/>
                        <a:fillRef idx="0"/>
                        <a:effectRef idx="0"/>
                        <a:fontRef idx="minor"/>
                      </wps:style>
                      <wps:txbx>
                        <w:txbxContent>
                          <w:tbl>
                            <w:tblPr>
                              <w:tblW w:w="5000" w:type="pct"/>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3527"/>
                              <w:gridCol w:w="1260"/>
                              <w:gridCol w:w="3025"/>
                            </w:tblGrid>
                            <w:tr>
                              <w:trPr>
                                <w:cantSplit w:val="true"/>
                              </w:trPr>
                              <w:tc>
                                <w:tcPr>
                                  <w:tcW w:w="352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3149" w:name="__UnoMark__19572_118561941"/>
                                  <w:bookmarkEnd w:id="3149"/>
                                  <w:r>
                                    <w:rPr>
                                      <w:color w:val="00000A"/>
                                      <w:sz w:val="18"/>
                                      <w:szCs w:val="18"/>
                                    </w:rPr>
                                    <w:t>Algoritmos</w:t>
                                  </w:r>
                                </w:p>
                              </w:tc>
                              <w:tc>
                                <w:tcPr>
                                  <w:tcW w:w="126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150" w:name="__UnoMark__19574_118561941"/>
                                  <w:bookmarkStart w:id="3151" w:name="__UnoMark__19573_118561941"/>
                                  <w:bookmarkEnd w:id="3150"/>
                                  <w:bookmarkEnd w:id="3151"/>
                                  <w:r>
                                    <w:rPr>
                                      <w:color w:val="00000A"/>
                                      <w:sz w:val="18"/>
                                      <w:szCs w:val="18"/>
                                    </w:rPr>
                                    <w:t>p-value</w:t>
                                  </w:r>
                                </w:p>
                              </w:tc>
                              <w:tc>
                                <w:tcPr>
                                  <w:tcW w:w="3025"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152" w:name="__UnoMark__19576_118561941"/>
                                  <w:bookmarkStart w:id="3153" w:name="__UnoMark__19575_118561941"/>
                                  <w:bookmarkEnd w:id="3152"/>
                                  <w:bookmarkEnd w:id="3153"/>
                                  <w:r>
                                    <w:rPr>
                                      <w:color w:val="00000A"/>
                                      <w:sz w:val="18"/>
                                      <w:szCs w:val="18"/>
                                    </w:rPr>
                                    <w:t>Resultados</w:t>
                                  </w:r>
                                </w:p>
                              </w:tc>
                            </w:tr>
                            <w:tr>
                              <w:trPr>
                                <w:trHeight w:val="801" w:hRule="atLeast"/>
                                <w:cantSplit w:val="true"/>
                              </w:trPr>
                              <w:tc>
                                <w:tcPr>
                                  <w:tcW w:w="352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3154" w:name="__UnoMark__19577_118561941"/>
                                  <w:bookmarkEnd w:id="3154"/>
                                  <w:r>
                                    <w:rPr>
                                      <w:i/>
                                      <w:color w:val="00000A"/>
                                      <w:sz w:val="18"/>
                                      <w:szCs w:val="18"/>
                                    </w:rPr>
                                    <w:t xml:space="preserve">Wilcoxon test </w:t>
                                  </w:r>
                                </w:p>
                                <w:p>
                                  <w:pPr>
                                    <w:pStyle w:val="FrameContents"/>
                                    <w:spacing w:lineRule="auto" w:line="240" w:before="0" w:after="0"/>
                                    <w:jc w:val="left"/>
                                    <w:rPr>
                                      <w:color w:val="00000A"/>
                                    </w:rPr>
                                  </w:pPr>
                                  <w:r>
                                    <w:rPr>
                                      <w:color w:val="00000A"/>
                                      <w:sz w:val="18"/>
                                      <w:szCs w:val="18"/>
                                    </w:rPr>
                                    <w:t xml:space="preserve">ACO_LDS (grupo A) – </w:t>
                                  </w:r>
                                </w:p>
                                <w:p>
                                  <w:pPr>
                                    <w:pStyle w:val="FrameContents"/>
                                    <w:spacing w:lineRule="auto" w:line="240" w:before="0" w:after="0"/>
                                    <w:jc w:val="left"/>
                                    <w:rPr>
                                      <w:color w:val="00000A"/>
                                    </w:rPr>
                                  </w:pPr>
                                  <w:bookmarkStart w:id="3155" w:name="__UnoMark__19578_118561941"/>
                                  <w:bookmarkEnd w:id="3155"/>
                                  <w:r>
                                    <w:rPr>
                                      <w:color w:val="00000A"/>
                                      <w:sz w:val="18"/>
                                      <w:szCs w:val="18"/>
                                    </w:rPr>
                                    <w:t>RST_LDS (grupo B)</w:t>
                                  </w:r>
                                </w:p>
                              </w:tc>
                              <w:tc>
                                <w:tcPr>
                                  <w:tcW w:w="1260"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color w:val="00000A"/>
                                    </w:rPr>
                                  </w:pPr>
                                  <w:bookmarkStart w:id="3156" w:name="__UnoMark__19580_118561941"/>
                                  <w:bookmarkStart w:id="3157" w:name="__UnoMark__19579_118561941"/>
                                  <w:bookmarkEnd w:id="3156"/>
                                  <w:bookmarkEnd w:id="3157"/>
                                  <w:r>
                                    <w:rPr>
                                      <w:color w:val="00000A"/>
                                      <w:sz w:val="18"/>
                                      <w:szCs w:val="18"/>
                                    </w:rPr>
                                    <w:t>0.028</w:t>
                                  </w:r>
                                </w:p>
                              </w:tc>
                              <w:tc>
                                <w:tcPr>
                                  <w:tcW w:w="3025"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158" w:name="__UnoMark__19582_118561941"/>
                                  <w:bookmarkStart w:id="3159" w:name="__UnoMark__19581_118561941"/>
                                  <w:bookmarkEnd w:id="3158"/>
                                  <w:bookmarkEnd w:id="3159"/>
                                  <w:r>
                                    <w:rPr>
                                      <w:color w:val="00000A"/>
                                      <w:sz w:val="18"/>
                                      <w:szCs w:val="18"/>
                                    </w:rPr>
                                    <w:t>Hay diferencias significativas</w:t>
                                  </w:r>
                                </w:p>
                              </w:tc>
                            </w:tr>
                            <w:tr>
                              <w:trPr>
                                <w:trHeight w:val="702" w:hRule="atLeast"/>
                                <w:cantSplit w:val="true"/>
                              </w:trPr>
                              <w:tc>
                                <w:tcPr>
                                  <w:tcW w:w="352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3160" w:name="__UnoMark__19583_118561941"/>
                                  <w:bookmarkEnd w:id="3160"/>
                                  <w:r>
                                    <w:rPr>
                                      <w:i/>
                                      <w:color w:val="00000A"/>
                                      <w:sz w:val="18"/>
                                      <w:szCs w:val="18"/>
                                    </w:rPr>
                                    <w:t xml:space="preserve">Wilcoxon test </w:t>
                                  </w:r>
                                </w:p>
                                <w:p>
                                  <w:pPr>
                                    <w:pStyle w:val="FrameContents"/>
                                    <w:spacing w:lineRule="auto" w:line="240" w:before="0" w:after="0"/>
                                    <w:jc w:val="left"/>
                                    <w:rPr>
                                      <w:color w:val="00000A"/>
                                    </w:rPr>
                                  </w:pPr>
                                  <w:bookmarkStart w:id="3161" w:name="__UnoMark__19584_118561941"/>
                                  <w:bookmarkEnd w:id="3161"/>
                                  <w:r>
                                    <w:rPr>
                                      <w:color w:val="00000A"/>
                                      <w:sz w:val="18"/>
                                      <w:szCs w:val="18"/>
                                    </w:rPr>
                                    <w:t>RST_LDS (grupo B) – LPA_LDS (grupo C)</w:t>
                                  </w:r>
                                </w:p>
                              </w:tc>
                              <w:tc>
                                <w:tcPr>
                                  <w:tcW w:w="1260"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color w:val="00000A"/>
                                    </w:rPr>
                                  </w:pPr>
                                  <w:bookmarkStart w:id="3162" w:name="__UnoMark__19586_118561941"/>
                                  <w:bookmarkStart w:id="3163" w:name="__UnoMark__19585_118561941"/>
                                  <w:bookmarkEnd w:id="3162"/>
                                  <w:bookmarkEnd w:id="3163"/>
                                  <w:r>
                                    <w:rPr>
                                      <w:color w:val="00000A"/>
                                      <w:sz w:val="18"/>
                                      <w:szCs w:val="18"/>
                                    </w:rPr>
                                    <w:t>0.003</w:t>
                                  </w:r>
                                </w:p>
                              </w:tc>
                              <w:tc>
                                <w:tcPr>
                                  <w:tcW w:w="3025"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164" w:name="__UnoMark__19588_118561941"/>
                                  <w:bookmarkStart w:id="3165" w:name="__UnoMark__19587_118561941"/>
                                  <w:bookmarkEnd w:id="3164"/>
                                  <w:bookmarkEnd w:id="3165"/>
                                  <w:r>
                                    <w:rPr>
                                      <w:color w:val="00000A"/>
                                      <w:sz w:val="18"/>
                                      <w:szCs w:val="18"/>
                                    </w:rPr>
                                    <w:t>Hay diferencias significativas</w:t>
                                  </w:r>
                                </w:p>
                              </w:tc>
                            </w:tr>
                            <w:tr>
                              <w:trPr>
                                <w:trHeight w:val="702" w:hRule="atLeast"/>
                                <w:cantSplit w:val="true"/>
                              </w:trPr>
                              <w:tc>
                                <w:tcPr>
                                  <w:tcW w:w="352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3166" w:name="__UnoMark__19589_118561941"/>
                                  <w:bookmarkEnd w:id="3166"/>
                                  <w:r>
                                    <w:rPr>
                                      <w:i/>
                                      <w:color w:val="00000A"/>
                                      <w:sz w:val="18"/>
                                      <w:szCs w:val="18"/>
                                      <w:lang w:val="en-US"/>
                                    </w:rPr>
                                    <w:t>Wilcoxon test</w:t>
                                  </w:r>
                                  <w:r>
                                    <w:rPr>
                                      <w:color w:val="00000A"/>
                                      <w:sz w:val="18"/>
                                      <w:szCs w:val="18"/>
                                      <w:lang w:val="en-US"/>
                                    </w:rPr>
                                    <w:t xml:space="preserve"> (grupo C)</w:t>
                                  </w:r>
                                </w:p>
                                <w:p>
                                  <w:pPr>
                                    <w:pStyle w:val="FrameContents"/>
                                    <w:spacing w:lineRule="auto" w:line="240" w:before="0" w:after="0"/>
                                    <w:jc w:val="left"/>
                                    <w:rPr>
                                      <w:color w:val="00000A"/>
                                    </w:rPr>
                                  </w:pPr>
                                  <w:r>
                                    <w:rPr>
                                      <w:color w:val="00000A"/>
                                      <w:sz w:val="18"/>
                                      <w:szCs w:val="18"/>
                                      <w:lang w:val="en-US"/>
                                    </w:rPr>
                                    <w:t>LPA_LDS - Apriori_LDS</w:t>
                                  </w:r>
                                </w:p>
                                <w:p>
                                  <w:pPr>
                                    <w:pStyle w:val="FrameContents"/>
                                    <w:spacing w:lineRule="auto" w:line="240" w:before="0" w:after="0"/>
                                    <w:jc w:val="left"/>
                                    <w:rPr>
                                      <w:color w:val="00000A"/>
                                    </w:rPr>
                                  </w:pPr>
                                  <w:bookmarkStart w:id="3167" w:name="__UnoMark__19590_118561941"/>
                                  <w:bookmarkEnd w:id="3167"/>
                                  <w:r>
                                    <w:rPr>
                                      <w:color w:val="00000A"/>
                                      <w:sz w:val="18"/>
                                      <w:szCs w:val="18"/>
                                    </w:rPr>
                                    <w:t>LPA_LDS - PCA_LDS</w:t>
                                  </w:r>
                                </w:p>
                              </w:tc>
                              <w:tc>
                                <w:tcPr>
                                  <w:tcW w:w="1260" w:type="dxa"/>
                                  <w:tcBorders>
                                    <w:top w:val="single" w:sz="2" w:space="0" w:color="00000A"/>
                                    <w:bottom w:val="single" w:sz="4" w:space="0" w:color="00000A"/>
                                    <w:insideH w:val="single" w:sz="4" w:space="0" w:color="00000A"/>
                                  </w:tcBorders>
                                  <w:shd w:color="auto" w:fill="auto" w:val="clear"/>
                                  <w:vAlign w:val="center"/>
                                </w:tcPr>
                                <w:p>
                                  <w:pPr>
                                    <w:pStyle w:val="FrameContents"/>
                                    <w:spacing w:lineRule="auto" w:line="240" w:before="0" w:after="0"/>
                                    <w:jc w:val="center"/>
                                    <w:rPr>
                                      <w:color w:val="00000A"/>
                                      <w:sz w:val="18"/>
                                      <w:szCs w:val="18"/>
                                    </w:rPr>
                                  </w:pPr>
                                  <w:bookmarkStart w:id="3168" w:name="__UnoMark__19591_118561941"/>
                                  <w:bookmarkStart w:id="3169" w:name="__UnoMark__19591_118561941"/>
                                  <w:bookmarkEnd w:id="3169"/>
                                  <w:r>
                                    <w:rPr>
                                      <w:color w:val="00000A"/>
                                      <w:sz w:val="18"/>
                                      <w:szCs w:val="18"/>
                                    </w:rPr>
                                  </w:r>
                                </w:p>
                                <w:p>
                                  <w:pPr>
                                    <w:pStyle w:val="FrameContents"/>
                                    <w:spacing w:lineRule="auto" w:line="240" w:before="0" w:after="0"/>
                                    <w:jc w:val="center"/>
                                    <w:rPr>
                                      <w:color w:val="00000A"/>
                                    </w:rPr>
                                  </w:pPr>
                                  <w:r>
                                    <w:rPr>
                                      <w:color w:val="00000A"/>
                                      <w:sz w:val="18"/>
                                      <w:szCs w:val="18"/>
                                    </w:rPr>
                                    <w:t>0.307</w:t>
                                  </w:r>
                                </w:p>
                                <w:p>
                                  <w:pPr>
                                    <w:pStyle w:val="FrameContents"/>
                                    <w:spacing w:lineRule="auto" w:line="240" w:before="0" w:after="0"/>
                                    <w:jc w:val="center"/>
                                    <w:rPr>
                                      <w:color w:val="00000A"/>
                                    </w:rPr>
                                  </w:pPr>
                                  <w:bookmarkStart w:id="3170" w:name="__UnoMark__19592_118561941"/>
                                  <w:bookmarkEnd w:id="3170"/>
                                  <w:r>
                                    <w:rPr>
                                      <w:color w:val="00000A"/>
                                      <w:sz w:val="18"/>
                                      <w:szCs w:val="18"/>
                                    </w:rPr>
                                    <w:t>0.239</w:t>
                                  </w:r>
                                </w:p>
                              </w:tc>
                              <w:tc>
                                <w:tcPr>
                                  <w:tcW w:w="3025"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171" w:name="__UnoMark__19594_118561941"/>
                                  <w:bookmarkStart w:id="3172" w:name="__UnoMark__19593_118561941"/>
                                  <w:bookmarkEnd w:id="3171"/>
                                  <w:bookmarkEnd w:id="3172"/>
                                  <w:r>
                                    <w:rPr>
                                      <w:color w:val="00000A"/>
                                      <w:sz w:val="18"/>
                                      <w:szCs w:val="18"/>
                                    </w:rPr>
                                    <w:t>No hay diferencias significativas</w:t>
                                  </w:r>
                                </w:p>
                              </w:tc>
                            </w:tr>
                            <w:tr>
                              <w:trPr>
                                <w:trHeight w:val="702" w:hRule="atLeast"/>
                                <w:cantSplit w:val="true"/>
                              </w:trPr>
                              <w:tc>
                                <w:tcPr>
                                  <w:tcW w:w="352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3173" w:name="__UnoMark__19595_118561941"/>
                                  <w:bookmarkEnd w:id="3173"/>
                                  <w:r>
                                    <w:rPr>
                                      <w:i/>
                                      <w:color w:val="00000A"/>
                                      <w:sz w:val="18"/>
                                      <w:szCs w:val="18"/>
                                    </w:rPr>
                                    <w:t xml:space="preserve">Wilcoxon test </w:t>
                                  </w:r>
                                </w:p>
                                <w:p>
                                  <w:pPr>
                                    <w:pStyle w:val="FrameContents"/>
                                    <w:spacing w:lineRule="auto" w:line="240" w:before="0" w:after="0"/>
                                    <w:jc w:val="left"/>
                                    <w:rPr>
                                      <w:color w:val="00000A"/>
                                    </w:rPr>
                                  </w:pPr>
                                  <w:bookmarkStart w:id="3174" w:name="__UnoMark__19596_118561941"/>
                                  <w:bookmarkEnd w:id="3174"/>
                                  <w:r>
                                    <w:rPr>
                                      <w:color w:val="00000A"/>
                                      <w:sz w:val="18"/>
                                      <w:szCs w:val="18"/>
                                    </w:rPr>
                                    <w:t>LPA_LDS (grupo C) – GA_LDS (grupo D)</w:t>
                                  </w:r>
                                </w:p>
                              </w:tc>
                              <w:tc>
                                <w:tcPr>
                                  <w:tcW w:w="1260" w:type="dxa"/>
                                  <w:tcBorders>
                                    <w:top w:val="single" w:sz="4"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color w:val="00000A"/>
                                    </w:rPr>
                                  </w:pPr>
                                  <w:bookmarkStart w:id="3175" w:name="__UnoMark__19598_118561941"/>
                                  <w:bookmarkStart w:id="3176" w:name="__UnoMark__19597_118561941"/>
                                  <w:bookmarkEnd w:id="3175"/>
                                  <w:bookmarkEnd w:id="3176"/>
                                  <w:r>
                                    <w:rPr>
                                      <w:color w:val="00000A"/>
                                      <w:sz w:val="18"/>
                                      <w:szCs w:val="18"/>
                                    </w:rPr>
                                    <w:t>0.003</w:t>
                                  </w:r>
                                </w:p>
                              </w:tc>
                              <w:tc>
                                <w:tcPr>
                                  <w:tcW w:w="3025"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177" w:name="__UnoMark__19599_118561941"/>
                                  <w:bookmarkEnd w:id="3177"/>
                                  <w:r>
                                    <w:rPr>
                                      <w:color w:val="00000A"/>
                                      <w:sz w:val="18"/>
                                      <w:szCs w:val="18"/>
                                    </w:rPr>
                                    <w:t>Hay diferencias significativas</w:t>
                                  </w:r>
                                </w:p>
                              </w:tc>
                            </w:tr>
                          </w:tbl>
                          <w:p>
                            <w:pPr>
                              <w:pStyle w:val="FrameContents"/>
                              <w:spacing w:before="80" w:after="60"/>
                              <w:rPr>
                                <w:color w:val="000000"/>
                              </w:rPr>
                            </w:pPr>
                            <w:r>
                              <w:rPr>
                                <w:color w:val="000000"/>
                              </w:rPr>
                            </w:r>
                          </w:p>
                        </w:txbxContent>
                      </wps:txbx>
                      <wps:bodyPr lIns="0" rIns="0" tIns="0" bIns="0">
                        <a:spAutoFit/>
                      </wps:bodyPr>
                    </wps:wsp>
                  </a:graphicData>
                </a:graphic>
                <wp14:sizeRelH relativeFrom="margin">
                  <wp14:pctWidth>87000</wp14:pctWidth>
                </wp14:sizeRelH>
              </wp:anchor>
            </w:drawing>
          </mc:Choice>
          <mc:Fallback>
            <w:pict>
              <v:rect id="shape_0" ID="Frame37" stroked="f" style="position:absolute;margin-left:29.2pt;margin-top:-6.55pt;width:390.45pt;height:172.7pt;mso-position-horizontal:center;mso-position-horizontal-relative:margin">
                <w10:wrap type="none"/>
                <v:fill o:detectmouseclick="t" on="false"/>
                <v:stroke color="#3465a4" joinstyle="round" endcap="flat"/>
                <v:textbox>
                  <w:txbxContent>
                    <w:tbl>
                      <w:tblPr>
                        <w:tblW w:w="5000" w:type="pct"/>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3527"/>
                        <w:gridCol w:w="1260"/>
                        <w:gridCol w:w="3025"/>
                      </w:tblGrid>
                      <w:tr>
                        <w:trPr>
                          <w:cantSplit w:val="true"/>
                        </w:trPr>
                        <w:tc>
                          <w:tcPr>
                            <w:tcW w:w="352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3178" w:name="__UnoMark__19572_118561941"/>
                            <w:bookmarkEnd w:id="3178"/>
                            <w:r>
                              <w:rPr>
                                <w:color w:val="00000A"/>
                                <w:sz w:val="18"/>
                                <w:szCs w:val="18"/>
                              </w:rPr>
                              <w:t>Algoritmos</w:t>
                            </w:r>
                          </w:p>
                        </w:tc>
                        <w:tc>
                          <w:tcPr>
                            <w:tcW w:w="126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179" w:name="__UnoMark__19574_118561941"/>
                            <w:bookmarkStart w:id="3180" w:name="__UnoMark__19573_118561941"/>
                            <w:bookmarkEnd w:id="3179"/>
                            <w:bookmarkEnd w:id="3180"/>
                            <w:r>
                              <w:rPr>
                                <w:color w:val="00000A"/>
                                <w:sz w:val="18"/>
                                <w:szCs w:val="18"/>
                              </w:rPr>
                              <w:t>p-value</w:t>
                            </w:r>
                          </w:p>
                        </w:tc>
                        <w:tc>
                          <w:tcPr>
                            <w:tcW w:w="3025"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181" w:name="__UnoMark__19576_118561941"/>
                            <w:bookmarkStart w:id="3182" w:name="__UnoMark__19575_118561941"/>
                            <w:bookmarkEnd w:id="3181"/>
                            <w:bookmarkEnd w:id="3182"/>
                            <w:r>
                              <w:rPr>
                                <w:color w:val="00000A"/>
                                <w:sz w:val="18"/>
                                <w:szCs w:val="18"/>
                              </w:rPr>
                              <w:t>Resultados</w:t>
                            </w:r>
                          </w:p>
                        </w:tc>
                      </w:tr>
                      <w:tr>
                        <w:trPr>
                          <w:trHeight w:val="801" w:hRule="atLeast"/>
                          <w:cantSplit w:val="true"/>
                        </w:trPr>
                        <w:tc>
                          <w:tcPr>
                            <w:tcW w:w="352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3183" w:name="__UnoMark__19577_118561941"/>
                            <w:bookmarkEnd w:id="3183"/>
                            <w:r>
                              <w:rPr>
                                <w:i/>
                                <w:color w:val="00000A"/>
                                <w:sz w:val="18"/>
                                <w:szCs w:val="18"/>
                              </w:rPr>
                              <w:t xml:space="preserve">Wilcoxon test </w:t>
                            </w:r>
                          </w:p>
                          <w:p>
                            <w:pPr>
                              <w:pStyle w:val="FrameContents"/>
                              <w:spacing w:lineRule="auto" w:line="240" w:before="0" w:after="0"/>
                              <w:jc w:val="left"/>
                              <w:rPr>
                                <w:color w:val="00000A"/>
                              </w:rPr>
                            </w:pPr>
                            <w:r>
                              <w:rPr>
                                <w:color w:val="00000A"/>
                                <w:sz w:val="18"/>
                                <w:szCs w:val="18"/>
                              </w:rPr>
                              <w:t xml:space="preserve">ACO_LDS (grupo A) – </w:t>
                            </w:r>
                          </w:p>
                          <w:p>
                            <w:pPr>
                              <w:pStyle w:val="FrameContents"/>
                              <w:spacing w:lineRule="auto" w:line="240" w:before="0" w:after="0"/>
                              <w:jc w:val="left"/>
                              <w:rPr>
                                <w:color w:val="00000A"/>
                              </w:rPr>
                            </w:pPr>
                            <w:bookmarkStart w:id="3184" w:name="__UnoMark__19578_118561941"/>
                            <w:bookmarkEnd w:id="3184"/>
                            <w:r>
                              <w:rPr>
                                <w:color w:val="00000A"/>
                                <w:sz w:val="18"/>
                                <w:szCs w:val="18"/>
                              </w:rPr>
                              <w:t>RST_LDS (grupo B)</w:t>
                            </w:r>
                          </w:p>
                        </w:tc>
                        <w:tc>
                          <w:tcPr>
                            <w:tcW w:w="1260"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color w:val="00000A"/>
                              </w:rPr>
                            </w:pPr>
                            <w:bookmarkStart w:id="3185" w:name="__UnoMark__19580_118561941"/>
                            <w:bookmarkStart w:id="3186" w:name="__UnoMark__19579_118561941"/>
                            <w:bookmarkEnd w:id="3185"/>
                            <w:bookmarkEnd w:id="3186"/>
                            <w:r>
                              <w:rPr>
                                <w:color w:val="00000A"/>
                                <w:sz w:val="18"/>
                                <w:szCs w:val="18"/>
                              </w:rPr>
                              <w:t>0.028</w:t>
                            </w:r>
                          </w:p>
                        </w:tc>
                        <w:tc>
                          <w:tcPr>
                            <w:tcW w:w="3025"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187" w:name="__UnoMark__19582_118561941"/>
                            <w:bookmarkStart w:id="3188" w:name="__UnoMark__19581_118561941"/>
                            <w:bookmarkEnd w:id="3187"/>
                            <w:bookmarkEnd w:id="3188"/>
                            <w:r>
                              <w:rPr>
                                <w:color w:val="00000A"/>
                                <w:sz w:val="18"/>
                                <w:szCs w:val="18"/>
                              </w:rPr>
                              <w:t>Hay diferencias significativas</w:t>
                            </w:r>
                          </w:p>
                        </w:tc>
                      </w:tr>
                      <w:tr>
                        <w:trPr>
                          <w:trHeight w:val="702" w:hRule="atLeast"/>
                          <w:cantSplit w:val="true"/>
                        </w:trPr>
                        <w:tc>
                          <w:tcPr>
                            <w:tcW w:w="352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3189" w:name="__UnoMark__19583_118561941"/>
                            <w:bookmarkEnd w:id="3189"/>
                            <w:r>
                              <w:rPr>
                                <w:i/>
                                <w:color w:val="00000A"/>
                                <w:sz w:val="18"/>
                                <w:szCs w:val="18"/>
                              </w:rPr>
                              <w:t xml:space="preserve">Wilcoxon test </w:t>
                            </w:r>
                          </w:p>
                          <w:p>
                            <w:pPr>
                              <w:pStyle w:val="FrameContents"/>
                              <w:spacing w:lineRule="auto" w:line="240" w:before="0" w:after="0"/>
                              <w:jc w:val="left"/>
                              <w:rPr>
                                <w:color w:val="00000A"/>
                              </w:rPr>
                            </w:pPr>
                            <w:bookmarkStart w:id="3190" w:name="__UnoMark__19584_118561941"/>
                            <w:bookmarkEnd w:id="3190"/>
                            <w:r>
                              <w:rPr>
                                <w:color w:val="00000A"/>
                                <w:sz w:val="18"/>
                                <w:szCs w:val="18"/>
                              </w:rPr>
                              <w:t>RST_LDS (grupo B) – LPA_LDS (grupo C)</w:t>
                            </w:r>
                          </w:p>
                        </w:tc>
                        <w:tc>
                          <w:tcPr>
                            <w:tcW w:w="1260"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color w:val="00000A"/>
                              </w:rPr>
                            </w:pPr>
                            <w:bookmarkStart w:id="3191" w:name="__UnoMark__19586_118561941"/>
                            <w:bookmarkStart w:id="3192" w:name="__UnoMark__19585_118561941"/>
                            <w:bookmarkEnd w:id="3191"/>
                            <w:bookmarkEnd w:id="3192"/>
                            <w:r>
                              <w:rPr>
                                <w:color w:val="00000A"/>
                                <w:sz w:val="18"/>
                                <w:szCs w:val="18"/>
                              </w:rPr>
                              <w:t>0.003</w:t>
                            </w:r>
                          </w:p>
                        </w:tc>
                        <w:tc>
                          <w:tcPr>
                            <w:tcW w:w="3025"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193" w:name="__UnoMark__19588_118561941"/>
                            <w:bookmarkStart w:id="3194" w:name="__UnoMark__19587_118561941"/>
                            <w:bookmarkEnd w:id="3193"/>
                            <w:bookmarkEnd w:id="3194"/>
                            <w:r>
                              <w:rPr>
                                <w:color w:val="00000A"/>
                                <w:sz w:val="18"/>
                                <w:szCs w:val="18"/>
                              </w:rPr>
                              <w:t>Hay diferencias significativas</w:t>
                            </w:r>
                          </w:p>
                        </w:tc>
                      </w:tr>
                      <w:tr>
                        <w:trPr>
                          <w:trHeight w:val="702" w:hRule="atLeast"/>
                          <w:cantSplit w:val="true"/>
                        </w:trPr>
                        <w:tc>
                          <w:tcPr>
                            <w:tcW w:w="352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3195" w:name="__UnoMark__19589_118561941"/>
                            <w:bookmarkEnd w:id="3195"/>
                            <w:r>
                              <w:rPr>
                                <w:i/>
                                <w:color w:val="00000A"/>
                                <w:sz w:val="18"/>
                                <w:szCs w:val="18"/>
                                <w:lang w:val="en-US"/>
                              </w:rPr>
                              <w:t>Wilcoxon test</w:t>
                            </w:r>
                            <w:r>
                              <w:rPr>
                                <w:color w:val="00000A"/>
                                <w:sz w:val="18"/>
                                <w:szCs w:val="18"/>
                                <w:lang w:val="en-US"/>
                              </w:rPr>
                              <w:t xml:space="preserve"> (grupo C)</w:t>
                            </w:r>
                          </w:p>
                          <w:p>
                            <w:pPr>
                              <w:pStyle w:val="FrameContents"/>
                              <w:spacing w:lineRule="auto" w:line="240" w:before="0" w:after="0"/>
                              <w:jc w:val="left"/>
                              <w:rPr>
                                <w:color w:val="00000A"/>
                              </w:rPr>
                            </w:pPr>
                            <w:r>
                              <w:rPr>
                                <w:color w:val="00000A"/>
                                <w:sz w:val="18"/>
                                <w:szCs w:val="18"/>
                                <w:lang w:val="en-US"/>
                              </w:rPr>
                              <w:t>LPA_LDS - Apriori_LDS</w:t>
                            </w:r>
                          </w:p>
                          <w:p>
                            <w:pPr>
                              <w:pStyle w:val="FrameContents"/>
                              <w:spacing w:lineRule="auto" w:line="240" w:before="0" w:after="0"/>
                              <w:jc w:val="left"/>
                              <w:rPr>
                                <w:color w:val="00000A"/>
                              </w:rPr>
                            </w:pPr>
                            <w:bookmarkStart w:id="3196" w:name="__UnoMark__19590_118561941"/>
                            <w:bookmarkEnd w:id="3196"/>
                            <w:r>
                              <w:rPr>
                                <w:color w:val="00000A"/>
                                <w:sz w:val="18"/>
                                <w:szCs w:val="18"/>
                              </w:rPr>
                              <w:t>LPA_LDS - PCA_LDS</w:t>
                            </w:r>
                          </w:p>
                        </w:tc>
                        <w:tc>
                          <w:tcPr>
                            <w:tcW w:w="1260" w:type="dxa"/>
                            <w:tcBorders>
                              <w:top w:val="single" w:sz="2" w:space="0" w:color="00000A"/>
                              <w:bottom w:val="single" w:sz="4" w:space="0" w:color="00000A"/>
                              <w:insideH w:val="single" w:sz="4" w:space="0" w:color="00000A"/>
                            </w:tcBorders>
                            <w:shd w:color="auto" w:fill="auto" w:val="clear"/>
                            <w:vAlign w:val="center"/>
                          </w:tcPr>
                          <w:p>
                            <w:pPr>
                              <w:pStyle w:val="FrameContents"/>
                              <w:spacing w:lineRule="auto" w:line="240" w:before="0" w:after="0"/>
                              <w:jc w:val="center"/>
                              <w:rPr>
                                <w:color w:val="00000A"/>
                                <w:sz w:val="18"/>
                                <w:szCs w:val="18"/>
                              </w:rPr>
                            </w:pPr>
                            <w:bookmarkStart w:id="3197" w:name="__UnoMark__19591_118561941"/>
                            <w:bookmarkStart w:id="3198" w:name="__UnoMark__19591_118561941"/>
                            <w:bookmarkEnd w:id="3198"/>
                            <w:r>
                              <w:rPr>
                                <w:color w:val="00000A"/>
                                <w:sz w:val="18"/>
                                <w:szCs w:val="18"/>
                              </w:rPr>
                            </w:r>
                          </w:p>
                          <w:p>
                            <w:pPr>
                              <w:pStyle w:val="FrameContents"/>
                              <w:spacing w:lineRule="auto" w:line="240" w:before="0" w:after="0"/>
                              <w:jc w:val="center"/>
                              <w:rPr>
                                <w:color w:val="00000A"/>
                              </w:rPr>
                            </w:pPr>
                            <w:r>
                              <w:rPr>
                                <w:color w:val="00000A"/>
                                <w:sz w:val="18"/>
                                <w:szCs w:val="18"/>
                              </w:rPr>
                              <w:t>0.307</w:t>
                            </w:r>
                          </w:p>
                          <w:p>
                            <w:pPr>
                              <w:pStyle w:val="FrameContents"/>
                              <w:spacing w:lineRule="auto" w:line="240" w:before="0" w:after="0"/>
                              <w:jc w:val="center"/>
                              <w:rPr>
                                <w:color w:val="00000A"/>
                              </w:rPr>
                            </w:pPr>
                            <w:bookmarkStart w:id="3199" w:name="__UnoMark__19592_118561941"/>
                            <w:bookmarkEnd w:id="3199"/>
                            <w:r>
                              <w:rPr>
                                <w:color w:val="00000A"/>
                                <w:sz w:val="18"/>
                                <w:szCs w:val="18"/>
                              </w:rPr>
                              <w:t>0.239</w:t>
                            </w:r>
                          </w:p>
                        </w:tc>
                        <w:tc>
                          <w:tcPr>
                            <w:tcW w:w="3025"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200" w:name="__UnoMark__19594_118561941"/>
                            <w:bookmarkStart w:id="3201" w:name="__UnoMark__19593_118561941"/>
                            <w:bookmarkEnd w:id="3200"/>
                            <w:bookmarkEnd w:id="3201"/>
                            <w:r>
                              <w:rPr>
                                <w:color w:val="00000A"/>
                                <w:sz w:val="18"/>
                                <w:szCs w:val="18"/>
                              </w:rPr>
                              <w:t>No hay diferencias significativas</w:t>
                            </w:r>
                          </w:p>
                        </w:tc>
                      </w:tr>
                      <w:tr>
                        <w:trPr>
                          <w:trHeight w:val="702" w:hRule="atLeast"/>
                          <w:cantSplit w:val="true"/>
                        </w:trPr>
                        <w:tc>
                          <w:tcPr>
                            <w:tcW w:w="352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3202" w:name="__UnoMark__19595_118561941"/>
                            <w:bookmarkEnd w:id="3202"/>
                            <w:r>
                              <w:rPr>
                                <w:i/>
                                <w:color w:val="00000A"/>
                                <w:sz w:val="18"/>
                                <w:szCs w:val="18"/>
                              </w:rPr>
                              <w:t xml:space="preserve">Wilcoxon test </w:t>
                            </w:r>
                          </w:p>
                          <w:p>
                            <w:pPr>
                              <w:pStyle w:val="FrameContents"/>
                              <w:spacing w:lineRule="auto" w:line="240" w:before="0" w:after="0"/>
                              <w:jc w:val="left"/>
                              <w:rPr>
                                <w:color w:val="00000A"/>
                              </w:rPr>
                            </w:pPr>
                            <w:bookmarkStart w:id="3203" w:name="__UnoMark__19596_118561941"/>
                            <w:bookmarkEnd w:id="3203"/>
                            <w:r>
                              <w:rPr>
                                <w:color w:val="00000A"/>
                                <w:sz w:val="18"/>
                                <w:szCs w:val="18"/>
                              </w:rPr>
                              <w:t>LPA_LDS (grupo C) – GA_LDS (grupo D)</w:t>
                            </w:r>
                          </w:p>
                        </w:tc>
                        <w:tc>
                          <w:tcPr>
                            <w:tcW w:w="1260" w:type="dxa"/>
                            <w:tcBorders>
                              <w:top w:val="single" w:sz="4"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color w:val="00000A"/>
                              </w:rPr>
                            </w:pPr>
                            <w:bookmarkStart w:id="3204" w:name="__UnoMark__19598_118561941"/>
                            <w:bookmarkStart w:id="3205" w:name="__UnoMark__19597_118561941"/>
                            <w:bookmarkEnd w:id="3204"/>
                            <w:bookmarkEnd w:id="3205"/>
                            <w:r>
                              <w:rPr>
                                <w:color w:val="00000A"/>
                                <w:sz w:val="18"/>
                                <w:szCs w:val="18"/>
                              </w:rPr>
                              <w:t>0.003</w:t>
                            </w:r>
                          </w:p>
                        </w:tc>
                        <w:tc>
                          <w:tcPr>
                            <w:tcW w:w="3025"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206" w:name="__UnoMark__19599_118561941"/>
                            <w:bookmarkEnd w:id="3206"/>
                            <w:r>
                              <w:rPr>
                                <w:color w:val="00000A"/>
                                <w:sz w:val="18"/>
                                <w:szCs w:val="18"/>
                              </w:rPr>
                              <w:t>Hay diferencias significativas</w:t>
                            </w:r>
                          </w:p>
                        </w:tc>
                      </w:tr>
                    </w:tbl>
                    <w:p>
                      <w:pPr>
                        <w:pStyle w:val="FrameContents"/>
                        <w:spacing w:before="80" w:after="60"/>
                        <w:rPr>
                          <w:color w:val="000000"/>
                        </w:rPr>
                      </w:pPr>
                      <w:r>
                        <w:rPr>
                          <w:color w:val="000000"/>
                        </w:rPr>
                      </w:r>
                    </w:p>
                  </w:txbxContent>
                </v:textbox>
              </v:rect>
            </w:pict>
          </mc:Fallback>
        </mc:AlternateContent>
      </w:r>
    </w:p>
    <w:p>
      <w:pPr>
        <w:pStyle w:val="Normal"/>
        <w:rPr/>
      </w:pPr>
      <w:r>
        <w:rPr>
          <w:lang w:val="en-US"/>
        </w:rPr>
        <w:t>En las pruebas estadísticas, respecto a este indicador</w:t>
      </w:r>
      <w:r>
        <w:rPr>
          <w:vertAlign w:val="subscript"/>
          <w:lang w:val="en-US"/>
        </w:rPr>
        <w:t>,</w:t>
      </w:r>
      <w:r>
        <w:rPr>
          <w:lang w:val="en-US"/>
        </w:rPr>
        <w:t xml:space="preserve"> los algoritmos quedan ubicados en el siguiente orden: </w:t>
      </w:r>
      <w:r>
        <w:rPr>
          <w:rFonts w:cs="Courier New" w:ascii="Courier New" w:hAnsi="Courier New"/>
        </w:rPr>
        <w:t>ACO_LDS</w:t>
      </w:r>
      <w:r>
        <w:rPr>
          <w:lang w:val="en-US"/>
        </w:rPr>
        <w:t xml:space="preserve">, </w:t>
      </w:r>
      <w:r>
        <w:rPr>
          <w:rFonts w:cs="Courier New" w:ascii="Courier New" w:hAnsi="Courier New"/>
        </w:rPr>
        <w:t>RST_LDS</w:t>
      </w:r>
      <w:r>
        <w:rPr>
          <w:lang w:val="en-US"/>
        </w:rPr>
        <w:t xml:space="preserve">, </w:t>
      </w:r>
      <w:r>
        <w:rPr>
          <w:rFonts w:cs="Courier New" w:ascii="Courier New" w:hAnsi="Courier New"/>
        </w:rPr>
        <w:t>LPA_LDS</w:t>
      </w:r>
      <w:r>
        <w:rPr>
          <w:lang w:val="en-US"/>
        </w:rPr>
        <w:t xml:space="preserve">, </w:t>
      </w:r>
      <w:r>
        <w:rPr>
          <w:rFonts w:cs="Courier New" w:ascii="Courier New" w:hAnsi="Courier New"/>
        </w:rPr>
        <w:t>Apriori_LDS</w:t>
      </w:r>
      <w:r>
        <w:rPr>
          <w:lang w:val="en-US"/>
        </w:rPr>
        <w:t xml:space="preserve">, </w:t>
      </w:r>
      <w:r>
        <w:rPr>
          <w:rFonts w:cs="Courier New" w:ascii="Courier New" w:hAnsi="Courier New"/>
        </w:rPr>
        <w:t>PCA_LDS</w:t>
      </w:r>
      <w:r>
        <w:rPr>
          <w:lang w:val="en-US"/>
        </w:rPr>
        <w:t xml:space="preserve"> y </w:t>
      </w:r>
      <w:r>
        <w:rPr>
          <w:rFonts w:cs="Courier New" w:ascii="Courier New" w:hAnsi="Courier New"/>
        </w:rPr>
        <w:t>GA_LDS</w:t>
      </w:r>
      <w:r>
        <w:rPr>
          <w:lang w:val="en-US"/>
        </w:rPr>
        <w:t xml:space="preserve">. Los datos de estas corridas se muestran en la </w:t>
      </w:r>
      <w:r>
        <w:rPr>
          <w:lang w:val="en-US"/>
        </w:rPr>
        <w:fldChar w:fldCharType="begin"/>
      </w:r>
      <w:r>
        <w:instrText> REF _Ref68937403 \h </w:instrText>
      </w:r>
      <w:r>
        <w:fldChar w:fldCharType="separate"/>
      </w:r>
      <w:r>
        <w:t>Tabla 34</w:t>
      </w:r>
      <w:r>
        <w:fldChar w:fldCharType="end"/>
      </w:r>
      <w:r>
        <w:rPr>
          <w:lang w:val="en-US"/>
        </w:rPr>
        <w:t xml:space="preserve"> del </w:t>
      </w:r>
      <w:r>
        <w:rPr>
          <w:lang w:val="en-US"/>
        </w:rPr>
        <w:fldChar w:fldCharType="begin"/>
      </w:r>
      <w:r>
        <w:instrText> REF _Ref79479501 \h </w:instrText>
      </w:r>
      <w:r>
        <w:fldChar w:fldCharType="separate"/>
      </w:r>
      <w:r>
        <w:t>Anexo 13</w:t>
      </w:r>
      <w:r>
        <w:fldChar w:fldCharType="end"/>
      </w:r>
      <w:r>
        <w:rPr>
          <w:lang w:val="en-US"/>
        </w:rPr>
        <w:t>.</w:t>
      </w:r>
    </w:p>
    <w:p>
      <w:pPr>
        <w:pStyle w:val="Normal"/>
        <w:rPr/>
      </w:pPr>
      <w:r>
        <w:rPr>
          <w:lang w:val="en-US"/>
        </w:rPr>
        <w:t xml:space="preserve">En el análisis se identifica que los resultados no cumplen con una distribución normal, ver </w:t>
      </w:r>
      <w:r>
        <w:rPr>
          <w:lang w:val="en-US"/>
        </w:rPr>
        <w:fldChar w:fldCharType="begin"/>
      </w:r>
      <w:r>
        <w:instrText> REF _Ref65871980 \h </w:instrText>
      </w:r>
      <w:r>
        <w:fldChar w:fldCharType="separate"/>
      </w:r>
      <w:r>
        <w:t>Tabla 18</w:t>
      </w:r>
      <w:r>
        <w:fldChar w:fldCharType="end"/>
      </w:r>
      <w:r>
        <w:rPr>
          <w:lang w:val="en-US"/>
        </w:rPr>
        <w:t xml:space="preserve">. En la comparación de los algoritmos, se aplicaron pruebas no paramétricas y se demuestra que existen diferencias significativas entre ellos, donde el algoritmo </w:t>
      </w:r>
      <w:r>
        <w:rPr>
          <w:rFonts w:cs="Courier New" w:ascii="Courier New" w:hAnsi="Courier New"/>
        </w:rPr>
        <w:t>ACO_LDS</w:t>
      </w:r>
      <w:r>
        <w:rPr>
          <w:lang w:val="en-US"/>
        </w:rPr>
        <w:t xml:space="preserve"> está ubicado en el “grupo A” reportando mejores resultados, seguido por el </w:t>
      </w:r>
      <w:r>
        <w:rPr>
          <w:rFonts w:cs="Courier New" w:ascii="Courier New" w:hAnsi="Courier New"/>
        </w:rPr>
        <w:t>RST_LDS</w:t>
      </w:r>
      <w:r>
        <w:rPr>
          <w:lang w:val="en-US"/>
        </w:rPr>
        <w:t xml:space="preserve"> en el “grupo B”. En el “grupo C” y sin diferencias significativas entre ellos están </w:t>
      </w:r>
      <w:r>
        <w:rPr>
          <w:rFonts w:cs="Courier New" w:ascii="Courier New" w:hAnsi="Courier New"/>
        </w:rPr>
        <w:t>LPA_LDS</w:t>
      </w:r>
      <w:r>
        <w:rPr>
          <w:lang w:val="en-US"/>
        </w:rPr>
        <w:t xml:space="preserve">, </w:t>
      </w:r>
      <w:r>
        <w:rPr>
          <w:rFonts w:cs="Courier New" w:ascii="Courier New" w:hAnsi="Courier New"/>
        </w:rPr>
        <w:t>Apriori_LDS</w:t>
      </w:r>
      <w:r>
        <w:rPr>
          <w:lang w:val="en-US"/>
        </w:rPr>
        <w:t xml:space="preserve"> y </w:t>
      </w:r>
      <w:r>
        <w:rPr>
          <w:rFonts w:cs="Courier New" w:ascii="Courier New" w:hAnsi="Courier New"/>
        </w:rPr>
        <w:t>PCA_LDS</w:t>
      </w:r>
      <w:r>
        <w:rPr>
          <w:lang w:val="en-US"/>
        </w:rPr>
        <w:t xml:space="preserve">. El algoritmo </w:t>
      </w:r>
      <w:r>
        <w:rPr>
          <w:rFonts w:cs="Courier New" w:ascii="Courier New" w:hAnsi="Courier New"/>
        </w:rPr>
        <w:t>GA_LDS</w:t>
      </w:r>
      <w:r>
        <w:rPr>
          <w:lang w:val="en-US"/>
        </w:rPr>
        <w:t xml:space="preserve"> quedó ubicado en el</w:t>
      </w:r>
      <w:r>
        <w:rPr>
          <w:rFonts w:cs="Courier New" w:ascii="Courier New" w:hAnsi="Courier New"/>
        </w:rPr>
        <w:t xml:space="preserve"> </w:t>
      </w:r>
      <w:r>
        <w:rPr>
          <w:lang w:val="en-US"/>
        </w:rPr>
        <w:t>“grupo D” reportando los peores resultados.</w:t>
      </w:r>
    </w:p>
    <w:p>
      <w:pPr>
        <w:pStyle w:val="Heading3"/>
        <w:numPr>
          <w:ilvl w:val="2"/>
          <w:numId w:val="80"/>
        </w:numPr>
        <w:rPr/>
      </w:pPr>
      <w:r>
        <w:rPr/>
        <w:t>Comparación de los algoritmos respecto a la “Fortaleza de las dependencias descubiertas”.</w:t>
      </w:r>
    </w:p>
    <w:p>
      <w:pPr>
        <w:pStyle w:val="Normal"/>
        <w:rPr/>
      </w:pPr>
      <w:r>
        <w:rPr>
          <w:lang w:val="es-CO"/>
        </w:rPr>
        <w:t xml:space="preserve">En la publicación de Donis-Días y colaboradores </w:t>
      </w:r>
      <w:r>
        <w:fldChar w:fldCharType="begin"/>
      </w:r>
      <w:r>
        <w:instrText>ADDIN ZOTERO_ITEM CSL_CITATION {"citationID":"a29f8ib90k8","properties":{"formattedCitation":"(Donis-D\\uc0\\u237{}az, Bello y Kacprzyk 2015)","plainCitation":"(Donis-Díaz, Bello y Kacprzyk 2015)","noteIndex":0},"citationItems":[{"id":"NJclqhNX/4naOJElr","uris":["http://zotero.org/users/local/rsuvzjK6/items/7DS66S9U"],"uri":["http://zotero.org/users/local/rsuvzjK6/items/7DS66S9U"],"itemData":{"id":3264,"type":"paper-conference","abstract":"Some models using metaheuristics based in an “improvement of solutions” procedure, specifically Genetic Algorithms (GA), have been proposed previously to the linguistic summarization of numerical data (LDS). In the present work is proposed a new model for LDS based in Ant Colony Optimization (ACO), a metaheuristic that use a “construction of solution” procedure. Both models are compared in LDS over creep data. Results show how the ACO based model overcomes the measures of goodness of the final summary but fails to improve the results of the GA based model in relation to the diversity of the summary. Features of both models are considered to explain the results.","collection-title":"Advances in Intelligent Systems and Computing","container-title":"Intelligent Systems'2014","DOI":"10.1007/978-3-319-11313-5_8","event-place":"Cham","ISBN":"978-3-319-11313-5","language":"en","page":"81–92","publisher":"Springer International Publishing","publisher-place":"Cham","title":"Using Ant Colony Optimization and Genetic Algorithms for the Linguistic Summarization of Creep Data","author":[{"family":"Donis-Díaz","given":"Carlos A."},{"family":"Bello","given":"Rafael"},{"family":"Kacprzyk","given":"Janusz"}],"editor":[{"family":"Angelov","given":"P."},{"family":"Atanassov","given":"K.T."},{"family":"Doukovska","given":"L."},{"family":"Hadjiski","given":"M."},{"family":"Jotsov","given":"V."},{"family":"Kacprzyk","given":"J."},{"family":"Kasabov","given":"N."},{"family":"Sotirov","given":"S."},{"family":"Szmidt","given":"E."},{"family":"Zadrożny","given":"S."}],"issued":{"date-parts":[["2015"]]}}}],"schema":"https://github.com/citation-style-language/schema/raw/master/csl-citation.json"}</w:instrText>
      </w:r>
      <w:r>
        <w:fldChar w:fldCharType="separate"/>
      </w:r>
      <w:bookmarkStart w:id="3207" w:name="__Fieldmark__17846_2067855929"/>
      <w:r>
        <w:rPr>
          <w:lang w:val="es-CO"/>
        </w:rPr>
      </w:r>
      <w:r>
        <w:rPr>
          <w:szCs w:val="24"/>
          <w:lang w:val="es-CO"/>
        </w:rPr>
        <w:t>(</w:t>
      </w:r>
      <w:bookmarkStart w:id="3208" w:name="__Fieldmark__16266_498839314"/>
      <w:r>
        <w:rPr>
          <w:szCs w:val="24"/>
          <w:lang w:val="es-CO"/>
        </w:rPr>
        <w:t>D</w:t>
      </w:r>
      <w:bookmarkStart w:id="3209" w:name="__Fieldmark__15202_998588997"/>
      <w:r>
        <w:rPr>
          <w:szCs w:val="24"/>
          <w:lang w:val="es-CO"/>
        </w:rPr>
        <w:t>o</w:t>
      </w:r>
      <w:bookmarkStart w:id="3210" w:name="__Fieldmark__19695_118561941"/>
      <w:r>
        <w:rPr>
          <w:szCs w:val="24"/>
          <w:lang w:val="es-CO"/>
        </w:rPr>
        <w:t>nis-Díaz, Bello y Kacprzyk 2015)</w:t>
      </w:r>
      <w:r>
        <w:rPr>
          <w:lang w:val="es-CO"/>
        </w:rPr>
      </w:r>
      <w:r>
        <w:fldChar w:fldCharType="end"/>
      </w:r>
      <w:bookmarkEnd w:id="3207"/>
      <w:bookmarkEnd w:id="3208"/>
      <w:bookmarkEnd w:id="3209"/>
      <w:bookmarkEnd w:id="3210"/>
      <w:r>
        <w:rPr>
          <w:lang w:val="es-CO"/>
        </w:rPr>
        <w:t>, se emplea el indicador “número de proposiciones con cuantificador `mayoría´ y `muchos´”. En esta sección se utiliza este indicador para complementar la comparación de los algoritmos propuestos con otros trabajos reportados en la bibliografía. Para mayor comprensión denominamos a este indicador “Fortaleza de las dependencias descubiertas”.</w:t>
      </w:r>
    </w:p>
    <w:p>
      <w:pPr>
        <w:pStyle w:val="Normal"/>
        <w:rPr/>
      </w:pPr>
      <w:r>
        <w:rPr>
          <w:lang w:val="en-US"/>
        </w:rPr>
        <w:t>El indicador “</w:t>
      </w:r>
      <w:r>
        <w:rPr>
          <w:lang w:val="es-CO"/>
        </w:rPr>
        <w:t>Fortaleza de las dependencias descubiertas</w:t>
      </w:r>
      <w:r>
        <w:rPr>
          <w:lang w:val="en-US"/>
        </w:rPr>
        <w:t xml:space="preserve">” mide la capacidad de los algoritmos para la detección de resúmenes con alta </w:t>
      </w:r>
      <w:r>
        <w:rPr/>
        <w:t xml:space="preserve">fortaleza </w:t>
      </w:r>
      <w:r>
        <w:rPr>
          <w:lang w:val="en-US"/>
        </w:rPr>
        <w:t xml:space="preserve">en la relación filtro-sumarizador. Se mide este indicador a partir del análisis de las frecuencias de aparición de los cuantificadores que indiquen fuertes relaciones de dependencia, tales como los </w:t>
      </w:r>
      <w:r>
        <w:rPr/>
        <w:t>cuantificadores “la mayoría”, “casi la totalidad” y “muchos”. Para el cálculo de este indicador se aplicaron los siguientes pasos:</w:t>
      </w:r>
    </w:p>
    <w:p>
      <w:pPr>
        <w:pStyle w:val="ListParagraph"/>
        <w:numPr>
          <w:ilvl w:val="0"/>
          <w:numId w:val="58"/>
        </w:numPr>
        <w:ind w:left="851" w:hanging="360"/>
        <w:rPr/>
      </w:pPr>
      <w:r>
        <w:rPr>
          <w:lang w:val="es-ES"/>
        </w:rPr>
        <w:t>Por cada base de datos se calcula la frecuencia relativa de aparición de cada cuantificador en los resúmenes lingüísticos que genera cada algoritmo.</w:t>
      </w:r>
    </w:p>
    <w:p>
      <w:pPr>
        <w:pStyle w:val="ListParagraph"/>
        <w:numPr>
          <w:ilvl w:val="0"/>
          <w:numId w:val="58"/>
        </w:numPr>
        <w:ind w:left="851" w:hanging="360"/>
        <w:rPr/>
      </w:pPr>
      <w:r>
        <w:rPr>
          <w:lang w:val="es-ES"/>
        </w:rPr>
        <w:t>Por cada base de datos se calcula la suma pesada de la frecuencia relativa utilizando los siguientes pesos: 0 a los cuantificadores “muy pocos”, “pocos” y “algunos”; mientras que a los cuantificadores “aproximadamente la mitad”, “muchos”, “la mayoría” y “casi la totalidad” le fueron asignados los pesos 0.08, 0.1, 0.4 y 0.42 respectivamente.</w:t>
      </w:r>
    </w:p>
    <w:p>
      <w:pPr>
        <w:pStyle w:val="Normal"/>
        <w:rPr/>
      </w:pPr>
      <w:r>
        <w:rPr>
          <w:lang w:val="en-US"/>
        </w:rPr>
        <w:t xml:space="preserve">Los datos de estas corridas se muestran en la </w:t>
      </w:r>
      <w:r>
        <w:rPr>
          <w:lang w:val="en-US"/>
        </w:rPr>
        <w:fldChar w:fldCharType="begin"/>
      </w:r>
      <w:r>
        <w:instrText> REF _Ref68937407 \h </w:instrText>
      </w:r>
      <w:r>
        <w:fldChar w:fldCharType="separate"/>
      </w:r>
      <w:r>
        <w:t>Tabla 35</w:t>
      </w:r>
      <w:r>
        <w:fldChar w:fldCharType="end"/>
      </w:r>
      <w:r>
        <w:rPr>
          <w:lang w:val="en-US"/>
        </w:rPr>
        <w:t xml:space="preserve"> del </w:t>
      </w:r>
      <w:r>
        <w:rPr>
          <w:lang w:val="en-US"/>
        </w:rPr>
        <w:fldChar w:fldCharType="begin"/>
      </w:r>
      <w:r>
        <w:instrText> REF _Ref79479501 \h </w:instrText>
      </w:r>
      <w:r>
        <w:fldChar w:fldCharType="separate"/>
      </w:r>
      <w:r>
        <w:t>Anexo 13</w:t>
      </w:r>
      <w:r>
        <w:fldChar w:fldCharType="end"/>
      </w:r>
      <w:r>
        <w:rPr>
          <w:lang w:val="en-US"/>
        </w:rPr>
        <w:t xml:space="preserve">, mientras que los resultados de las pruebas estadísticas se muestran en la </w:t>
      </w:r>
      <w:r>
        <w:rPr>
          <w:lang w:val="en-US"/>
        </w:rPr>
        <w:fldChar w:fldCharType="begin"/>
      </w:r>
      <w:r>
        <w:instrText> REF _Ref65927614 \h </w:instrText>
      </w:r>
      <w:r>
        <w:fldChar w:fldCharType="separate"/>
      </w:r>
      <w:r>
        <w:t>Tabla 19</w:t>
      </w:r>
      <w:r>
        <w:fldChar w:fldCharType="end"/>
      </w:r>
      <w:r>
        <w:rPr>
          <w:lang w:val="en-US"/>
        </w:rPr>
        <w:t>.</w:t>
      </w:r>
    </w:p>
    <w:p>
      <w:pPr>
        <w:pStyle w:val="TablaFigura"/>
        <w:numPr>
          <w:ilvl w:val="0"/>
          <w:numId w:val="2"/>
        </w:numPr>
        <w:ind w:left="431" w:hanging="431"/>
        <w:rPr/>
      </w:pPr>
      <w:bookmarkStart w:id="3211" w:name="_Toc84598989"/>
      <w:bookmarkStart w:id="3212" w:name="_Ref65927614"/>
      <w:r>
        <w:rPr/>
        <w:t xml:space="preserve">Tabla </w:t>
      </w:r>
      <w:r>
        <w:rPr/>
        <w:fldChar w:fldCharType="begin"/>
      </w:r>
      <w:r>
        <w:instrText> SEQ Tabla \* ARABIC </w:instrText>
      </w:r>
      <w:r>
        <w:fldChar w:fldCharType="separate"/>
      </w:r>
      <w:r>
        <w:t>19</w:t>
      </w:r>
      <w:r>
        <w:fldChar w:fldCharType="end"/>
      </w:r>
      <w:bookmarkEnd w:id="3211"/>
      <w:bookmarkEnd w:id="3212"/>
      <w:r>
        <w:rPr/>
        <w:t>: Comparación de los algoritmos respecto a la fortaleza de las dependencias descubiertas.</w:t>
      </w:r>
    </w:p>
    <w:p>
      <w:pPr>
        <w:pStyle w:val="Normal"/>
        <w:spacing w:lineRule="auto" w:line="240" w:before="0" w:after="0"/>
        <w:rPr>
          <w:i/>
          <w:i/>
          <w:lang w:val="en-US"/>
        </w:rPr>
      </w:pPr>
      <w:r>
        <w:rPr>
          <w:i/>
          <w:lang w:val="en-US"/>
        </w:rPr>
        <mc:AlternateContent>
          <mc:Choice Requires="wps">
            <w:drawing>
              <wp:anchor behindDoc="0" distT="0" distB="0" distL="114300" distR="114300" simplePos="0" locked="0" layoutInCell="1" allowOverlap="1" relativeHeight="55">
                <wp:simplePos x="0" y="0"/>
                <wp:positionH relativeFrom="margin">
                  <wp:align>center</wp:align>
                </wp:positionH>
                <wp:positionV relativeFrom="paragraph">
                  <wp:posOffset>35560</wp:posOffset>
                </wp:positionV>
                <wp:extent cx="2105660" cy="3392805"/>
                <wp:effectExtent l="0" t="0" r="0" b="0"/>
                <wp:wrapSquare wrapText="bothSides"/>
                <wp:docPr id="106" name="Frame38"/>
                <a:graphic xmlns:a="http://schemas.openxmlformats.org/drawingml/2006/main">
                  <a:graphicData uri="http://schemas.microsoft.com/office/word/2010/wordprocessingShape">
                    <wps:wsp>
                      <wps:cNvSpPr/>
                      <wps:spPr>
                        <a:xfrm>
                          <a:off x="0" y="0"/>
                          <a:ext cx="2104920" cy="3392280"/>
                        </a:xfrm>
                        <a:prstGeom prst="rect">
                          <a:avLst/>
                        </a:prstGeom>
                        <a:noFill/>
                        <a:ln>
                          <a:noFill/>
                        </a:ln>
                      </wps:spPr>
                      <wps:style>
                        <a:lnRef idx="0"/>
                        <a:fillRef idx="0"/>
                        <a:effectRef idx="0"/>
                        <a:fontRef idx="minor"/>
                      </wps:style>
                      <wps:txbx>
                        <w:txbxContent>
                          <w:tbl>
                            <w:tblPr>
                              <w:tblW w:w="3313" w:type="dxa"/>
                              <w:jc w:val="center"/>
                              <w:tblInd w:w="0" w:type="dxa"/>
                              <w:tblBorders/>
                              <w:tblCellMar>
                                <w:top w:w="0" w:type="dxa"/>
                                <w:left w:w="0" w:type="dxa"/>
                                <w:bottom w:w="0" w:type="dxa"/>
                                <w:right w:w="0" w:type="dxa"/>
                              </w:tblCellMar>
                              <w:tblLook w:val="0000" w:noVBand="0" w:noHBand="0" w:lastColumn="0" w:firstColumn="0" w:lastRow="0" w:firstRow="0"/>
                            </w:tblPr>
                            <w:tblGrid>
                              <w:gridCol w:w="999"/>
                              <w:gridCol w:w="521"/>
                              <w:gridCol w:w="621"/>
                              <w:gridCol w:w="499"/>
                              <w:gridCol w:w="673"/>
                            </w:tblGrid>
                            <w:tr>
                              <w:trPr>
                                <w:trHeight w:val="3399" w:hRule="atLeast"/>
                              </w:trPr>
                              <w:tc>
                                <w:tcPr>
                                  <w:tcW w:w="999" w:type="dxa"/>
                                  <w:tcBorders/>
                                  <w:shd w:color="auto" w:fill="auto" w:val="clear"/>
                                  <w:vAlign w:val="center"/>
                                </w:tcPr>
                                <w:p>
                                  <w:pPr>
                                    <w:pStyle w:val="FrameContents"/>
                                    <w:spacing w:lineRule="auto" w:line="240" w:before="0" w:after="60"/>
                                    <w:jc w:val="center"/>
                                    <w:rPr/>
                                  </w:pPr>
                                  <w:bookmarkStart w:id="3213" w:name="__UnoMark__19883_118561941"/>
                                  <w:bookmarkEnd w:id="3213"/>
                                  <w:r>
                                    <w:rPr>
                                      <w:color w:val="00000A"/>
                                      <w:sz w:val="18"/>
                                      <w:szCs w:val="18"/>
                                    </w:rPr>
                                    <w:t>Algoritmos</w:t>
                                  </w:r>
                                </w:p>
                              </w:tc>
                              <w:tc>
                                <w:tcPr>
                                  <w:tcW w:w="1142" w:type="dxa"/>
                                  <w:gridSpan w:val="2"/>
                                  <w:tcBorders/>
                                  <w:shd w:color="auto" w:fill="auto" w:val="clear"/>
                                </w:tcPr>
                                <w:p>
                                  <w:pPr>
                                    <w:pStyle w:val="FrameContents"/>
                                    <w:spacing w:lineRule="auto" w:line="240" w:before="0" w:after="60"/>
                                    <w:ind w:left="60" w:right="60" w:hanging="0"/>
                                    <w:jc w:val="center"/>
                                    <w:rPr/>
                                  </w:pPr>
                                  <w:bookmarkStart w:id="3214" w:name="__UnoMark__19884_118561941"/>
                                  <w:bookmarkEnd w:id="3214"/>
                                  <w:r>
                                    <w:rPr>
                                      <w:color w:val="00000A"/>
                                      <w:sz w:val="18"/>
                                      <w:szCs w:val="18"/>
                                    </w:rPr>
                                    <w:t>Kolmogorov-Smirnov</w:t>
                                  </w:r>
                                  <w:r>
                                    <w:rPr>
                                      <w:color w:val="00000A"/>
                                      <w:sz w:val="18"/>
                                      <w:szCs w:val="18"/>
                                      <w:vertAlign w:val="superscript"/>
                                    </w:rPr>
                                    <w:t>a</w:t>
                                  </w:r>
                                  <w:bookmarkStart w:id="3215" w:name="__UnoMark__19885_118561941"/>
                                  <w:bookmarkEnd w:id="3215"/>
                                  <w:r>
                                    <w:rPr>
                                      <w:color w:val="00000A"/>
                                      <w:sz w:val="18"/>
                                      <w:szCs w:val="18"/>
                                    </w:rPr>
                                    <w:t xml:space="preserve"> Sig.</w:t>
                                  </w:r>
                                </w:p>
                              </w:tc>
                              <w:tc>
                                <w:tcPr>
                                  <w:tcW w:w="1172" w:type="dxa"/>
                                  <w:gridSpan w:val="2"/>
                                  <w:tcBorders/>
                                  <w:shd w:color="auto" w:fill="auto" w:val="clear"/>
                                </w:tcPr>
                                <w:p>
                                  <w:pPr>
                                    <w:pStyle w:val="FrameContents"/>
                                    <w:spacing w:lineRule="auto" w:line="240" w:before="0" w:after="60"/>
                                    <w:ind w:left="60" w:right="60" w:hanging="0"/>
                                    <w:jc w:val="center"/>
                                    <w:rPr/>
                                  </w:pPr>
                                  <w:bookmarkStart w:id="3216" w:name="__UnoMark__19887_118561941"/>
                                  <w:bookmarkStart w:id="3217" w:name="__UnoMark__19886_118561941"/>
                                  <w:bookmarkEnd w:id="3216"/>
                                  <w:bookmarkEnd w:id="3217"/>
                                  <w:r>
                                    <w:rPr>
                                      <w:color w:val="00000A"/>
                                      <w:sz w:val="18"/>
                                      <w:szCs w:val="18"/>
                                    </w:rPr>
                                    <w:t>Shapiro-Wilk Sig.</w:t>
                                  </w:r>
                                </w:p>
                              </w:tc>
                            </w:tr>
                            <w:tr>
                              <w:trPr>
                                <w:cantSplit w:val="true"/>
                              </w:trPr>
                              <w:tc>
                                <w:tcPr>
                                  <w:tcW w:w="1520" w:type="dxa"/>
                                  <w:gridSpan w:val="2"/>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3218" w:name="__UnoMark__19889_118561941"/>
                                  <w:bookmarkStart w:id="3219" w:name="__UnoMark__19888_118561941"/>
                                  <w:bookmarkEnd w:id="3218"/>
                                  <w:bookmarkEnd w:id="3219"/>
                                  <w:r>
                                    <w:rPr>
                                      <w:color w:val="00000A"/>
                                      <w:sz w:val="18"/>
                                      <w:szCs w:val="18"/>
                                    </w:rPr>
                                    <w:t>RST_LDS</w:t>
                                  </w:r>
                                </w:p>
                              </w:tc>
                              <w:tc>
                                <w:tcPr>
                                  <w:tcW w:w="1120" w:type="dxa"/>
                                  <w:gridSpan w:val="2"/>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3220" w:name="__UnoMark__19891_118561941"/>
                                  <w:bookmarkStart w:id="3221" w:name="__UnoMark__19890_118561941"/>
                                  <w:bookmarkEnd w:id="3220"/>
                                  <w:bookmarkEnd w:id="3221"/>
                                  <w:r>
                                    <w:rPr>
                                      <w:color w:val="00000A"/>
                                      <w:sz w:val="18"/>
                                      <w:szCs w:val="18"/>
                                    </w:rPr>
                                    <w:t>.</w:t>
                                  </w:r>
                                </w:p>
                              </w:tc>
                              <w:tc>
                                <w:tcPr>
                                  <w:tcW w:w="673"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3222" w:name="__UnoMark__19893_118561941"/>
                                  <w:bookmarkStart w:id="3223" w:name="__UnoMark__19892_118561941"/>
                                  <w:bookmarkEnd w:id="3222"/>
                                  <w:bookmarkEnd w:id="3223"/>
                                  <w:r>
                                    <w:rPr>
                                      <w:color w:val="00000A"/>
                                      <w:sz w:val="18"/>
                                      <w:szCs w:val="18"/>
                                    </w:rPr>
                                    <w:t>.</w:t>
                                  </w:r>
                                </w:p>
                              </w:tc>
                            </w:tr>
                            <w:tr>
                              <w:trPr>
                                <w:cantSplit w:val="true"/>
                              </w:trPr>
                              <w:tc>
                                <w:tcPr>
                                  <w:tcW w:w="1520" w:type="dxa"/>
                                  <w:gridSpan w:val="2"/>
                                  <w:tcBorders>
                                    <w:top w:val="single" w:sz="2" w:space="0" w:color="00000A"/>
                                  </w:tcBorders>
                                  <w:shd w:color="auto" w:fill="auto" w:val="clear"/>
                                </w:tcPr>
                                <w:p>
                                  <w:pPr>
                                    <w:pStyle w:val="FrameContents"/>
                                    <w:spacing w:lineRule="auto" w:line="240" w:before="0" w:after="60"/>
                                    <w:ind w:left="60" w:right="60" w:hanging="0"/>
                                    <w:jc w:val="center"/>
                                    <w:rPr/>
                                  </w:pPr>
                                  <w:bookmarkStart w:id="3224" w:name="__UnoMark__19895_118561941"/>
                                  <w:bookmarkStart w:id="3225" w:name="__UnoMark__19894_118561941"/>
                                  <w:bookmarkEnd w:id="3224"/>
                                  <w:bookmarkEnd w:id="3225"/>
                                  <w:r>
                                    <w:rPr>
                                      <w:color w:val="00000A"/>
                                      <w:sz w:val="18"/>
                                      <w:szCs w:val="18"/>
                                    </w:rPr>
                                    <w:t>LPA_LDS</w:t>
                                  </w:r>
                                </w:p>
                              </w:tc>
                              <w:tc>
                                <w:tcPr>
                                  <w:tcW w:w="1120" w:type="dxa"/>
                                  <w:gridSpan w:val="2"/>
                                  <w:tcBorders>
                                    <w:top w:val="single" w:sz="2" w:space="0" w:color="00000A"/>
                                  </w:tcBorders>
                                  <w:shd w:color="auto" w:fill="FFFFFF" w:val="clear"/>
                                </w:tcPr>
                                <w:p>
                                  <w:pPr>
                                    <w:pStyle w:val="FrameContents"/>
                                    <w:spacing w:lineRule="auto" w:line="240" w:before="0" w:after="60"/>
                                    <w:ind w:left="60" w:right="60" w:hanging="0"/>
                                    <w:jc w:val="center"/>
                                    <w:rPr/>
                                  </w:pPr>
                                  <w:bookmarkStart w:id="3226" w:name="__UnoMark__19897_118561941"/>
                                  <w:bookmarkStart w:id="3227" w:name="__UnoMark__19896_118561941"/>
                                  <w:bookmarkEnd w:id="3226"/>
                                  <w:bookmarkEnd w:id="3227"/>
                                  <w:r>
                                    <w:rPr>
                                      <w:color w:val="00000A"/>
                                      <w:sz w:val="18"/>
                                      <w:szCs w:val="18"/>
                                    </w:rPr>
                                    <w:t>.001</w:t>
                                  </w:r>
                                </w:p>
                              </w:tc>
                              <w:tc>
                                <w:tcPr>
                                  <w:tcW w:w="673" w:type="dxa"/>
                                  <w:tcBorders>
                                    <w:top w:val="single" w:sz="2" w:space="0" w:color="00000A"/>
                                  </w:tcBorders>
                                  <w:shd w:color="auto" w:fill="FFFFFF" w:val="clear"/>
                                </w:tcPr>
                                <w:p>
                                  <w:pPr>
                                    <w:pStyle w:val="FrameContents"/>
                                    <w:spacing w:lineRule="auto" w:line="240" w:before="0" w:after="60"/>
                                    <w:ind w:left="60" w:right="60" w:hanging="0"/>
                                    <w:jc w:val="center"/>
                                    <w:rPr/>
                                  </w:pPr>
                                  <w:bookmarkStart w:id="3228" w:name="__UnoMark__19899_118561941"/>
                                  <w:bookmarkStart w:id="3229" w:name="__UnoMark__19898_118561941"/>
                                  <w:bookmarkEnd w:id="3228"/>
                                  <w:bookmarkEnd w:id="3229"/>
                                  <w:r>
                                    <w:rPr>
                                      <w:color w:val="00000A"/>
                                      <w:sz w:val="18"/>
                                      <w:szCs w:val="18"/>
                                    </w:rPr>
                                    <w:t>.000</w:t>
                                  </w:r>
                                </w:p>
                              </w:tc>
                            </w:tr>
                            <w:tr>
                              <w:trPr>
                                <w:cantSplit w:val="true"/>
                              </w:trPr>
                              <w:tc>
                                <w:tcPr>
                                  <w:tcW w:w="1520" w:type="dxa"/>
                                  <w:gridSpan w:val="2"/>
                                  <w:tcBorders/>
                                  <w:shd w:color="auto" w:fill="auto" w:val="clear"/>
                                </w:tcPr>
                                <w:p>
                                  <w:pPr>
                                    <w:pStyle w:val="FrameContents"/>
                                    <w:spacing w:lineRule="auto" w:line="240" w:before="0" w:after="60"/>
                                    <w:ind w:left="60" w:right="60" w:hanging="0"/>
                                    <w:jc w:val="center"/>
                                    <w:rPr/>
                                  </w:pPr>
                                  <w:bookmarkStart w:id="3230" w:name="__UnoMark__19901_118561941"/>
                                  <w:bookmarkStart w:id="3231" w:name="__UnoMark__19900_118561941"/>
                                  <w:bookmarkEnd w:id="3230"/>
                                  <w:bookmarkEnd w:id="3231"/>
                                  <w:r>
                                    <w:rPr>
                                      <w:color w:val="00000A"/>
                                      <w:sz w:val="18"/>
                                      <w:szCs w:val="18"/>
                                    </w:rPr>
                                    <w:t>Apriori_LDS</w:t>
                                  </w:r>
                                </w:p>
                              </w:tc>
                              <w:tc>
                                <w:tcPr>
                                  <w:tcW w:w="1120" w:type="dxa"/>
                                  <w:gridSpan w:val="2"/>
                                  <w:tcBorders/>
                                  <w:shd w:color="auto" w:fill="FFFFFF" w:val="clear"/>
                                </w:tcPr>
                                <w:p>
                                  <w:pPr>
                                    <w:pStyle w:val="FrameContents"/>
                                    <w:spacing w:lineRule="auto" w:line="240" w:before="0" w:after="60"/>
                                    <w:ind w:left="60" w:right="60" w:hanging="0"/>
                                    <w:jc w:val="center"/>
                                    <w:rPr/>
                                  </w:pPr>
                                  <w:bookmarkStart w:id="3232" w:name="__UnoMark__19902_118561941"/>
                                  <w:bookmarkEnd w:id="3232"/>
                                  <w:r>
                                    <w:rPr>
                                      <w:color w:val="00000A"/>
                                      <w:sz w:val="18"/>
                                      <w:szCs w:val="18"/>
                                    </w:rPr>
                                    <w:t>.200</w:t>
                                  </w:r>
                                  <w:bookmarkStart w:id="3233" w:name="__UnoMark__19903_118561941"/>
                                  <w:bookmarkEnd w:id="3233"/>
                                  <w:r>
                                    <w:rPr>
                                      <w:color w:val="00000A"/>
                                      <w:sz w:val="18"/>
                                      <w:szCs w:val="18"/>
                                      <w:vertAlign w:val="superscript"/>
                                    </w:rPr>
                                    <w:t>*</w:t>
                                  </w:r>
                                </w:p>
                              </w:tc>
                              <w:tc>
                                <w:tcPr>
                                  <w:tcW w:w="673" w:type="dxa"/>
                                  <w:tcBorders/>
                                  <w:shd w:color="auto" w:fill="FFFFFF" w:val="clear"/>
                                </w:tcPr>
                                <w:p>
                                  <w:pPr>
                                    <w:pStyle w:val="FrameContents"/>
                                    <w:spacing w:lineRule="auto" w:line="240" w:before="0" w:after="60"/>
                                    <w:ind w:left="60" w:right="60" w:hanging="0"/>
                                    <w:jc w:val="center"/>
                                    <w:rPr/>
                                  </w:pPr>
                                  <w:bookmarkStart w:id="3234" w:name="__UnoMark__19905_118561941"/>
                                  <w:bookmarkStart w:id="3235" w:name="__UnoMark__19904_118561941"/>
                                  <w:bookmarkEnd w:id="3234"/>
                                  <w:bookmarkEnd w:id="3235"/>
                                  <w:r>
                                    <w:rPr>
                                      <w:color w:val="00000A"/>
                                      <w:sz w:val="18"/>
                                      <w:szCs w:val="18"/>
                                    </w:rPr>
                                    <w:t>.977</w:t>
                                  </w:r>
                                </w:p>
                              </w:tc>
                            </w:tr>
                            <w:tr>
                              <w:trPr>
                                <w:cantSplit w:val="true"/>
                              </w:trPr>
                              <w:tc>
                                <w:tcPr>
                                  <w:tcW w:w="1520" w:type="dxa"/>
                                  <w:gridSpan w:val="2"/>
                                  <w:tcBorders/>
                                  <w:shd w:color="auto" w:fill="auto" w:val="clear"/>
                                </w:tcPr>
                                <w:p>
                                  <w:pPr>
                                    <w:pStyle w:val="FrameContents"/>
                                    <w:spacing w:lineRule="auto" w:line="240" w:before="0" w:after="60"/>
                                    <w:ind w:left="60" w:right="60" w:hanging="0"/>
                                    <w:jc w:val="center"/>
                                    <w:rPr/>
                                  </w:pPr>
                                  <w:bookmarkStart w:id="3236" w:name="__UnoMark__19907_118561941"/>
                                  <w:bookmarkStart w:id="3237" w:name="__UnoMark__19906_118561941"/>
                                  <w:bookmarkEnd w:id="3236"/>
                                  <w:bookmarkEnd w:id="3237"/>
                                  <w:r>
                                    <w:rPr>
                                      <w:color w:val="00000A"/>
                                      <w:sz w:val="18"/>
                                      <w:szCs w:val="18"/>
                                    </w:rPr>
                                    <w:t>ACO_LDS</w:t>
                                  </w:r>
                                </w:p>
                              </w:tc>
                              <w:tc>
                                <w:tcPr>
                                  <w:tcW w:w="1120" w:type="dxa"/>
                                  <w:gridSpan w:val="2"/>
                                  <w:tcBorders/>
                                  <w:shd w:color="auto" w:fill="FFFFFF" w:val="clear"/>
                                </w:tcPr>
                                <w:p>
                                  <w:pPr>
                                    <w:pStyle w:val="FrameContents"/>
                                    <w:spacing w:lineRule="auto" w:line="240" w:before="0" w:after="60"/>
                                    <w:ind w:left="60" w:right="60" w:hanging="0"/>
                                    <w:jc w:val="center"/>
                                    <w:rPr/>
                                  </w:pPr>
                                  <w:bookmarkStart w:id="3238" w:name="__UnoMark__19908_118561941"/>
                                  <w:bookmarkEnd w:id="3238"/>
                                  <w:r>
                                    <w:rPr>
                                      <w:color w:val="00000A"/>
                                      <w:sz w:val="18"/>
                                      <w:szCs w:val="18"/>
                                    </w:rPr>
                                    <w:t>.200</w:t>
                                  </w:r>
                                  <w:bookmarkStart w:id="3239" w:name="__UnoMark__19909_118561941"/>
                                  <w:bookmarkEnd w:id="3239"/>
                                  <w:r>
                                    <w:rPr>
                                      <w:color w:val="00000A"/>
                                      <w:sz w:val="18"/>
                                      <w:szCs w:val="18"/>
                                      <w:vertAlign w:val="superscript"/>
                                    </w:rPr>
                                    <w:t>*</w:t>
                                  </w:r>
                                </w:p>
                              </w:tc>
                              <w:tc>
                                <w:tcPr>
                                  <w:tcW w:w="673" w:type="dxa"/>
                                  <w:tcBorders/>
                                  <w:shd w:color="auto" w:fill="FFFFFF" w:val="clear"/>
                                </w:tcPr>
                                <w:p>
                                  <w:pPr>
                                    <w:pStyle w:val="FrameContents"/>
                                    <w:spacing w:lineRule="auto" w:line="240" w:before="0" w:after="60"/>
                                    <w:ind w:left="60" w:right="60" w:hanging="0"/>
                                    <w:jc w:val="center"/>
                                    <w:rPr/>
                                  </w:pPr>
                                  <w:bookmarkStart w:id="3240" w:name="__UnoMark__19911_118561941"/>
                                  <w:bookmarkStart w:id="3241" w:name="__UnoMark__19910_118561941"/>
                                  <w:bookmarkEnd w:id="3240"/>
                                  <w:bookmarkEnd w:id="3241"/>
                                  <w:r>
                                    <w:rPr>
                                      <w:color w:val="00000A"/>
                                      <w:sz w:val="18"/>
                                      <w:szCs w:val="18"/>
                                    </w:rPr>
                                    <w:t>.603</w:t>
                                  </w:r>
                                </w:p>
                              </w:tc>
                            </w:tr>
                            <w:tr>
                              <w:trPr>
                                <w:cantSplit w:val="true"/>
                              </w:trPr>
                              <w:tc>
                                <w:tcPr>
                                  <w:tcW w:w="1520" w:type="dxa"/>
                                  <w:gridSpan w:val="2"/>
                                  <w:tcBorders/>
                                  <w:shd w:color="auto" w:fill="auto" w:val="clear"/>
                                </w:tcPr>
                                <w:p>
                                  <w:pPr>
                                    <w:pStyle w:val="FrameContents"/>
                                    <w:spacing w:lineRule="auto" w:line="240" w:before="0" w:after="60"/>
                                    <w:ind w:left="60" w:right="60" w:hanging="0"/>
                                    <w:jc w:val="center"/>
                                    <w:rPr/>
                                  </w:pPr>
                                  <w:bookmarkStart w:id="3242" w:name="__UnoMark__19913_118561941"/>
                                  <w:bookmarkStart w:id="3243" w:name="__UnoMark__19912_118561941"/>
                                  <w:bookmarkEnd w:id="3242"/>
                                  <w:bookmarkEnd w:id="3243"/>
                                  <w:r>
                                    <w:rPr>
                                      <w:color w:val="00000A"/>
                                      <w:sz w:val="18"/>
                                      <w:szCs w:val="18"/>
                                    </w:rPr>
                                    <w:t>GA_LDS</w:t>
                                  </w:r>
                                </w:p>
                              </w:tc>
                              <w:tc>
                                <w:tcPr>
                                  <w:tcW w:w="1120" w:type="dxa"/>
                                  <w:gridSpan w:val="2"/>
                                  <w:tcBorders/>
                                  <w:shd w:color="auto" w:fill="FFFFFF" w:val="clear"/>
                                </w:tcPr>
                                <w:p>
                                  <w:pPr>
                                    <w:pStyle w:val="FrameContents"/>
                                    <w:spacing w:lineRule="auto" w:line="240" w:before="0" w:after="60"/>
                                    <w:ind w:left="60" w:right="60" w:hanging="0"/>
                                    <w:jc w:val="center"/>
                                    <w:rPr/>
                                  </w:pPr>
                                  <w:bookmarkStart w:id="3244" w:name="__UnoMark__19915_118561941"/>
                                  <w:bookmarkStart w:id="3245" w:name="__UnoMark__19914_118561941"/>
                                  <w:bookmarkEnd w:id="3244"/>
                                  <w:bookmarkEnd w:id="3245"/>
                                  <w:r>
                                    <w:rPr>
                                      <w:color w:val="00000A"/>
                                      <w:sz w:val="18"/>
                                      <w:szCs w:val="18"/>
                                    </w:rPr>
                                    <w:t>.012</w:t>
                                  </w:r>
                                </w:p>
                              </w:tc>
                              <w:tc>
                                <w:tcPr>
                                  <w:tcW w:w="673" w:type="dxa"/>
                                  <w:tcBorders/>
                                  <w:shd w:color="auto" w:fill="FFFFFF" w:val="clear"/>
                                </w:tcPr>
                                <w:p>
                                  <w:pPr>
                                    <w:pStyle w:val="FrameContents"/>
                                    <w:spacing w:lineRule="auto" w:line="240" w:before="0" w:after="60"/>
                                    <w:ind w:left="60" w:right="60" w:hanging="0"/>
                                    <w:jc w:val="center"/>
                                    <w:rPr/>
                                  </w:pPr>
                                  <w:bookmarkStart w:id="3246" w:name="__UnoMark__19917_118561941"/>
                                  <w:bookmarkStart w:id="3247" w:name="__UnoMark__19916_118561941"/>
                                  <w:bookmarkEnd w:id="3246"/>
                                  <w:bookmarkEnd w:id="3247"/>
                                  <w:r>
                                    <w:rPr>
                                      <w:color w:val="00000A"/>
                                      <w:sz w:val="18"/>
                                      <w:szCs w:val="18"/>
                                    </w:rPr>
                                    <w:t>.000</w:t>
                                  </w:r>
                                </w:p>
                              </w:tc>
                            </w:tr>
                            <w:tr>
                              <w:trPr>
                                <w:cantSplit w:val="true"/>
                              </w:trPr>
                              <w:tc>
                                <w:tcPr>
                                  <w:tcW w:w="1520" w:type="dxa"/>
                                  <w:gridSpan w:val="2"/>
                                  <w:tcBorders/>
                                  <w:shd w:color="auto" w:fill="auto" w:val="clear"/>
                                </w:tcPr>
                                <w:p>
                                  <w:pPr>
                                    <w:pStyle w:val="FrameContents"/>
                                    <w:spacing w:lineRule="auto" w:line="240" w:before="0" w:after="60"/>
                                    <w:ind w:left="60" w:right="60" w:hanging="0"/>
                                    <w:jc w:val="center"/>
                                    <w:rPr/>
                                  </w:pPr>
                                  <w:bookmarkStart w:id="3248" w:name="__UnoMark__19919_118561941"/>
                                  <w:bookmarkStart w:id="3249" w:name="__UnoMark__19918_118561941"/>
                                  <w:bookmarkEnd w:id="3248"/>
                                  <w:bookmarkEnd w:id="3249"/>
                                  <w:r>
                                    <w:rPr>
                                      <w:color w:val="00000A"/>
                                      <w:sz w:val="18"/>
                                      <w:szCs w:val="18"/>
                                    </w:rPr>
                                    <w:t>PCA_LDS</w:t>
                                  </w:r>
                                </w:p>
                              </w:tc>
                              <w:tc>
                                <w:tcPr>
                                  <w:tcW w:w="1120" w:type="dxa"/>
                                  <w:gridSpan w:val="2"/>
                                  <w:tcBorders/>
                                  <w:shd w:color="auto" w:fill="FFFFFF" w:val="clear"/>
                                </w:tcPr>
                                <w:p>
                                  <w:pPr>
                                    <w:pStyle w:val="FrameContents"/>
                                    <w:spacing w:lineRule="auto" w:line="240" w:before="0" w:after="60"/>
                                    <w:ind w:left="60" w:right="60" w:hanging="0"/>
                                    <w:jc w:val="center"/>
                                    <w:rPr/>
                                  </w:pPr>
                                  <w:bookmarkStart w:id="3250" w:name="__UnoMark__19920_118561941"/>
                                  <w:bookmarkEnd w:id="3250"/>
                                  <w:r>
                                    <w:rPr>
                                      <w:color w:val="00000A"/>
                                      <w:sz w:val="18"/>
                                      <w:szCs w:val="18"/>
                                    </w:rPr>
                                    <w:t>.200</w:t>
                                  </w:r>
                                  <w:bookmarkStart w:id="3251" w:name="__UnoMark__19921_118561941"/>
                                  <w:bookmarkEnd w:id="3251"/>
                                  <w:r>
                                    <w:rPr>
                                      <w:color w:val="00000A"/>
                                      <w:sz w:val="18"/>
                                      <w:szCs w:val="18"/>
                                      <w:vertAlign w:val="superscript"/>
                                    </w:rPr>
                                    <w:t>*</w:t>
                                  </w:r>
                                </w:p>
                              </w:tc>
                              <w:tc>
                                <w:tcPr>
                                  <w:tcW w:w="673" w:type="dxa"/>
                                  <w:tcBorders/>
                                  <w:shd w:color="auto" w:fill="FFFFFF" w:val="clear"/>
                                </w:tcPr>
                                <w:p>
                                  <w:pPr>
                                    <w:pStyle w:val="FrameContents"/>
                                    <w:spacing w:lineRule="auto" w:line="240" w:before="0" w:after="60"/>
                                    <w:ind w:left="60" w:right="60" w:hanging="0"/>
                                    <w:jc w:val="center"/>
                                    <w:rPr/>
                                  </w:pPr>
                                  <w:bookmarkStart w:id="3252" w:name="__UnoMark__19922_118561941"/>
                                  <w:bookmarkEnd w:id="3252"/>
                                  <w:r>
                                    <w:rPr>
                                      <w:color w:val="00000A"/>
                                      <w:sz w:val="18"/>
                                      <w:szCs w:val="18"/>
                                    </w:rPr>
                                    <w:t>.977</w:t>
                                  </w:r>
                                </w:p>
                              </w:tc>
                            </w:tr>
                          </w:tbl>
                          <w:p>
                            <w:pPr>
                              <w:pStyle w:val="FrameContents"/>
                              <w:spacing w:before="80" w:after="60"/>
                              <w:rPr>
                                <w:color w:val="000000"/>
                              </w:rPr>
                            </w:pPr>
                            <w:r>
                              <w:rPr>
                                <w:color w:val="000000"/>
                              </w:rPr>
                            </w:r>
                          </w:p>
                        </w:txbxContent>
                      </wps:txbx>
                      <wps:bodyPr lIns="0" rIns="0" tIns="0" bIns="0">
                        <a:spAutoFit/>
                      </wps:bodyPr>
                    </wps:wsp>
                  </a:graphicData>
                </a:graphic>
              </wp:anchor>
            </w:drawing>
          </mc:Choice>
          <mc:Fallback>
            <w:pict>
              <v:rect id="shape_0" ID="Frame38" stroked="f" style="position:absolute;margin-left:141.55pt;margin-top:2.8pt;width:165.7pt;height:267.05pt;mso-position-horizontal:center;mso-position-horizontal-relative:margin">
                <w10:wrap type="none"/>
                <v:fill o:detectmouseclick="t" on="false"/>
                <v:stroke color="#3465a4" joinstyle="round" endcap="flat"/>
                <v:textbox>
                  <w:txbxContent>
                    <w:tbl>
                      <w:tblPr>
                        <w:tblW w:w="3313" w:type="dxa"/>
                        <w:jc w:val="center"/>
                        <w:tblInd w:w="0" w:type="dxa"/>
                        <w:tblBorders/>
                        <w:tblCellMar>
                          <w:top w:w="0" w:type="dxa"/>
                          <w:left w:w="0" w:type="dxa"/>
                          <w:bottom w:w="0" w:type="dxa"/>
                          <w:right w:w="0" w:type="dxa"/>
                        </w:tblCellMar>
                        <w:tblLook w:val="0000" w:noVBand="0" w:noHBand="0" w:lastColumn="0" w:firstColumn="0" w:lastRow="0" w:firstRow="0"/>
                      </w:tblPr>
                      <w:tblGrid>
                        <w:gridCol w:w="999"/>
                        <w:gridCol w:w="521"/>
                        <w:gridCol w:w="621"/>
                        <w:gridCol w:w="499"/>
                        <w:gridCol w:w="673"/>
                      </w:tblGrid>
                      <w:tr>
                        <w:trPr>
                          <w:trHeight w:val="3399" w:hRule="atLeast"/>
                        </w:trPr>
                        <w:tc>
                          <w:tcPr>
                            <w:tcW w:w="999" w:type="dxa"/>
                            <w:tcBorders/>
                            <w:shd w:color="auto" w:fill="auto" w:val="clear"/>
                            <w:vAlign w:val="center"/>
                          </w:tcPr>
                          <w:p>
                            <w:pPr>
                              <w:pStyle w:val="FrameContents"/>
                              <w:spacing w:lineRule="auto" w:line="240" w:before="0" w:after="60"/>
                              <w:jc w:val="center"/>
                              <w:rPr/>
                            </w:pPr>
                            <w:bookmarkStart w:id="3253" w:name="__UnoMark__19883_118561941"/>
                            <w:bookmarkEnd w:id="3253"/>
                            <w:r>
                              <w:rPr>
                                <w:color w:val="00000A"/>
                                <w:sz w:val="18"/>
                                <w:szCs w:val="18"/>
                              </w:rPr>
                              <w:t>Algoritmos</w:t>
                            </w:r>
                          </w:p>
                        </w:tc>
                        <w:tc>
                          <w:tcPr>
                            <w:tcW w:w="1142" w:type="dxa"/>
                            <w:gridSpan w:val="2"/>
                            <w:tcBorders/>
                            <w:shd w:color="auto" w:fill="auto" w:val="clear"/>
                          </w:tcPr>
                          <w:p>
                            <w:pPr>
                              <w:pStyle w:val="FrameContents"/>
                              <w:spacing w:lineRule="auto" w:line="240" w:before="0" w:after="60"/>
                              <w:ind w:left="60" w:right="60" w:hanging="0"/>
                              <w:jc w:val="center"/>
                              <w:rPr/>
                            </w:pPr>
                            <w:bookmarkStart w:id="3254" w:name="__UnoMark__19884_118561941"/>
                            <w:bookmarkEnd w:id="3254"/>
                            <w:r>
                              <w:rPr>
                                <w:color w:val="00000A"/>
                                <w:sz w:val="18"/>
                                <w:szCs w:val="18"/>
                              </w:rPr>
                              <w:t>Kolmogorov-Smirnov</w:t>
                            </w:r>
                            <w:r>
                              <w:rPr>
                                <w:color w:val="00000A"/>
                                <w:sz w:val="18"/>
                                <w:szCs w:val="18"/>
                                <w:vertAlign w:val="superscript"/>
                              </w:rPr>
                              <w:t>a</w:t>
                            </w:r>
                            <w:bookmarkStart w:id="3255" w:name="__UnoMark__19885_118561941"/>
                            <w:bookmarkEnd w:id="3255"/>
                            <w:r>
                              <w:rPr>
                                <w:color w:val="00000A"/>
                                <w:sz w:val="18"/>
                                <w:szCs w:val="18"/>
                              </w:rPr>
                              <w:t xml:space="preserve"> Sig.</w:t>
                            </w:r>
                          </w:p>
                        </w:tc>
                        <w:tc>
                          <w:tcPr>
                            <w:tcW w:w="1172" w:type="dxa"/>
                            <w:gridSpan w:val="2"/>
                            <w:tcBorders/>
                            <w:shd w:color="auto" w:fill="auto" w:val="clear"/>
                          </w:tcPr>
                          <w:p>
                            <w:pPr>
                              <w:pStyle w:val="FrameContents"/>
                              <w:spacing w:lineRule="auto" w:line="240" w:before="0" w:after="60"/>
                              <w:ind w:left="60" w:right="60" w:hanging="0"/>
                              <w:jc w:val="center"/>
                              <w:rPr/>
                            </w:pPr>
                            <w:bookmarkStart w:id="3256" w:name="__UnoMark__19887_118561941"/>
                            <w:bookmarkStart w:id="3257" w:name="__UnoMark__19886_118561941"/>
                            <w:bookmarkEnd w:id="3256"/>
                            <w:bookmarkEnd w:id="3257"/>
                            <w:r>
                              <w:rPr>
                                <w:color w:val="00000A"/>
                                <w:sz w:val="18"/>
                                <w:szCs w:val="18"/>
                              </w:rPr>
                              <w:t>Shapiro-Wilk Sig.</w:t>
                            </w:r>
                          </w:p>
                        </w:tc>
                      </w:tr>
                      <w:tr>
                        <w:trPr>
                          <w:cantSplit w:val="true"/>
                        </w:trPr>
                        <w:tc>
                          <w:tcPr>
                            <w:tcW w:w="1520" w:type="dxa"/>
                            <w:gridSpan w:val="2"/>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3258" w:name="__UnoMark__19889_118561941"/>
                            <w:bookmarkStart w:id="3259" w:name="__UnoMark__19888_118561941"/>
                            <w:bookmarkEnd w:id="3258"/>
                            <w:bookmarkEnd w:id="3259"/>
                            <w:r>
                              <w:rPr>
                                <w:color w:val="00000A"/>
                                <w:sz w:val="18"/>
                                <w:szCs w:val="18"/>
                              </w:rPr>
                              <w:t>RST_LDS</w:t>
                            </w:r>
                          </w:p>
                        </w:tc>
                        <w:tc>
                          <w:tcPr>
                            <w:tcW w:w="1120" w:type="dxa"/>
                            <w:gridSpan w:val="2"/>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3260" w:name="__UnoMark__19891_118561941"/>
                            <w:bookmarkStart w:id="3261" w:name="__UnoMark__19890_118561941"/>
                            <w:bookmarkEnd w:id="3260"/>
                            <w:bookmarkEnd w:id="3261"/>
                            <w:r>
                              <w:rPr>
                                <w:color w:val="00000A"/>
                                <w:sz w:val="18"/>
                                <w:szCs w:val="18"/>
                              </w:rPr>
                              <w:t>.</w:t>
                            </w:r>
                          </w:p>
                        </w:tc>
                        <w:tc>
                          <w:tcPr>
                            <w:tcW w:w="673"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3262" w:name="__UnoMark__19893_118561941"/>
                            <w:bookmarkStart w:id="3263" w:name="__UnoMark__19892_118561941"/>
                            <w:bookmarkEnd w:id="3262"/>
                            <w:bookmarkEnd w:id="3263"/>
                            <w:r>
                              <w:rPr>
                                <w:color w:val="00000A"/>
                                <w:sz w:val="18"/>
                                <w:szCs w:val="18"/>
                              </w:rPr>
                              <w:t>.</w:t>
                            </w:r>
                          </w:p>
                        </w:tc>
                      </w:tr>
                      <w:tr>
                        <w:trPr>
                          <w:cantSplit w:val="true"/>
                        </w:trPr>
                        <w:tc>
                          <w:tcPr>
                            <w:tcW w:w="1520" w:type="dxa"/>
                            <w:gridSpan w:val="2"/>
                            <w:tcBorders>
                              <w:top w:val="single" w:sz="2" w:space="0" w:color="00000A"/>
                            </w:tcBorders>
                            <w:shd w:color="auto" w:fill="auto" w:val="clear"/>
                          </w:tcPr>
                          <w:p>
                            <w:pPr>
                              <w:pStyle w:val="FrameContents"/>
                              <w:spacing w:lineRule="auto" w:line="240" w:before="0" w:after="60"/>
                              <w:ind w:left="60" w:right="60" w:hanging="0"/>
                              <w:jc w:val="center"/>
                              <w:rPr/>
                            </w:pPr>
                            <w:bookmarkStart w:id="3264" w:name="__UnoMark__19895_118561941"/>
                            <w:bookmarkStart w:id="3265" w:name="__UnoMark__19894_118561941"/>
                            <w:bookmarkEnd w:id="3264"/>
                            <w:bookmarkEnd w:id="3265"/>
                            <w:r>
                              <w:rPr>
                                <w:color w:val="00000A"/>
                                <w:sz w:val="18"/>
                                <w:szCs w:val="18"/>
                              </w:rPr>
                              <w:t>LPA_LDS</w:t>
                            </w:r>
                          </w:p>
                        </w:tc>
                        <w:tc>
                          <w:tcPr>
                            <w:tcW w:w="1120" w:type="dxa"/>
                            <w:gridSpan w:val="2"/>
                            <w:tcBorders>
                              <w:top w:val="single" w:sz="2" w:space="0" w:color="00000A"/>
                            </w:tcBorders>
                            <w:shd w:color="auto" w:fill="FFFFFF" w:val="clear"/>
                          </w:tcPr>
                          <w:p>
                            <w:pPr>
                              <w:pStyle w:val="FrameContents"/>
                              <w:spacing w:lineRule="auto" w:line="240" w:before="0" w:after="60"/>
                              <w:ind w:left="60" w:right="60" w:hanging="0"/>
                              <w:jc w:val="center"/>
                              <w:rPr/>
                            </w:pPr>
                            <w:bookmarkStart w:id="3266" w:name="__UnoMark__19897_118561941"/>
                            <w:bookmarkStart w:id="3267" w:name="__UnoMark__19896_118561941"/>
                            <w:bookmarkEnd w:id="3266"/>
                            <w:bookmarkEnd w:id="3267"/>
                            <w:r>
                              <w:rPr>
                                <w:color w:val="00000A"/>
                                <w:sz w:val="18"/>
                                <w:szCs w:val="18"/>
                              </w:rPr>
                              <w:t>.001</w:t>
                            </w:r>
                          </w:p>
                        </w:tc>
                        <w:tc>
                          <w:tcPr>
                            <w:tcW w:w="673" w:type="dxa"/>
                            <w:tcBorders>
                              <w:top w:val="single" w:sz="2" w:space="0" w:color="00000A"/>
                            </w:tcBorders>
                            <w:shd w:color="auto" w:fill="FFFFFF" w:val="clear"/>
                          </w:tcPr>
                          <w:p>
                            <w:pPr>
                              <w:pStyle w:val="FrameContents"/>
                              <w:spacing w:lineRule="auto" w:line="240" w:before="0" w:after="60"/>
                              <w:ind w:left="60" w:right="60" w:hanging="0"/>
                              <w:jc w:val="center"/>
                              <w:rPr/>
                            </w:pPr>
                            <w:bookmarkStart w:id="3268" w:name="__UnoMark__19899_118561941"/>
                            <w:bookmarkStart w:id="3269" w:name="__UnoMark__19898_118561941"/>
                            <w:bookmarkEnd w:id="3268"/>
                            <w:bookmarkEnd w:id="3269"/>
                            <w:r>
                              <w:rPr>
                                <w:color w:val="00000A"/>
                                <w:sz w:val="18"/>
                                <w:szCs w:val="18"/>
                              </w:rPr>
                              <w:t>.000</w:t>
                            </w:r>
                          </w:p>
                        </w:tc>
                      </w:tr>
                      <w:tr>
                        <w:trPr>
                          <w:cantSplit w:val="true"/>
                        </w:trPr>
                        <w:tc>
                          <w:tcPr>
                            <w:tcW w:w="1520" w:type="dxa"/>
                            <w:gridSpan w:val="2"/>
                            <w:tcBorders/>
                            <w:shd w:color="auto" w:fill="auto" w:val="clear"/>
                          </w:tcPr>
                          <w:p>
                            <w:pPr>
                              <w:pStyle w:val="FrameContents"/>
                              <w:spacing w:lineRule="auto" w:line="240" w:before="0" w:after="60"/>
                              <w:ind w:left="60" w:right="60" w:hanging="0"/>
                              <w:jc w:val="center"/>
                              <w:rPr/>
                            </w:pPr>
                            <w:bookmarkStart w:id="3270" w:name="__UnoMark__19901_118561941"/>
                            <w:bookmarkStart w:id="3271" w:name="__UnoMark__19900_118561941"/>
                            <w:bookmarkEnd w:id="3270"/>
                            <w:bookmarkEnd w:id="3271"/>
                            <w:r>
                              <w:rPr>
                                <w:color w:val="00000A"/>
                                <w:sz w:val="18"/>
                                <w:szCs w:val="18"/>
                              </w:rPr>
                              <w:t>Apriori_LDS</w:t>
                            </w:r>
                          </w:p>
                        </w:tc>
                        <w:tc>
                          <w:tcPr>
                            <w:tcW w:w="1120" w:type="dxa"/>
                            <w:gridSpan w:val="2"/>
                            <w:tcBorders/>
                            <w:shd w:color="auto" w:fill="FFFFFF" w:val="clear"/>
                          </w:tcPr>
                          <w:p>
                            <w:pPr>
                              <w:pStyle w:val="FrameContents"/>
                              <w:spacing w:lineRule="auto" w:line="240" w:before="0" w:after="60"/>
                              <w:ind w:left="60" w:right="60" w:hanging="0"/>
                              <w:jc w:val="center"/>
                              <w:rPr/>
                            </w:pPr>
                            <w:bookmarkStart w:id="3272" w:name="__UnoMark__19902_118561941"/>
                            <w:bookmarkEnd w:id="3272"/>
                            <w:r>
                              <w:rPr>
                                <w:color w:val="00000A"/>
                                <w:sz w:val="18"/>
                                <w:szCs w:val="18"/>
                              </w:rPr>
                              <w:t>.200</w:t>
                            </w:r>
                            <w:bookmarkStart w:id="3273" w:name="__UnoMark__19903_118561941"/>
                            <w:bookmarkEnd w:id="3273"/>
                            <w:r>
                              <w:rPr>
                                <w:color w:val="00000A"/>
                                <w:sz w:val="18"/>
                                <w:szCs w:val="18"/>
                                <w:vertAlign w:val="superscript"/>
                              </w:rPr>
                              <w:t>*</w:t>
                            </w:r>
                          </w:p>
                        </w:tc>
                        <w:tc>
                          <w:tcPr>
                            <w:tcW w:w="673" w:type="dxa"/>
                            <w:tcBorders/>
                            <w:shd w:color="auto" w:fill="FFFFFF" w:val="clear"/>
                          </w:tcPr>
                          <w:p>
                            <w:pPr>
                              <w:pStyle w:val="FrameContents"/>
                              <w:spacing w:lineRule="auto" w:line="240" w:before="0" w:after="60"/>
                              <w:ind w:left="60" w:right="60" w:hanging="0"/>
                              <w:jc w:val="center"/>
                              <w:rPr/>
                            </w:pPr>
                            <w:bookmarkStart w:id="3274" w:name="__UnoMark__19905_118561941"/>
                            <w:bookmarkStart w:id="3275" w:name="__UnoMark__19904_118561941"/>
                            <w:bookmarkEnd w:id="3274"/>
                            <w:bookmarkEnd w:id="3275"/>
                            <w:r>
                              <w:rPr>
                                <w:color w:val="00000A"/>
                                <w:sz w:val="18"/>
                                <w:szCs w:val="18"/>
                              </w:rPr>
                              <w:t>.977</w:t>
                            </w:r>
                          </w:p>
                        </w:tc>
                      </w:tr>
                      <w:tr>
                        <w:trPr>
                          <w:cantSplit w:val="true"/>
                        </w:trPr>
                        <w:tc>
                          <w:tcPr>
                            <w:tcW w:w="1520" w:type="dxa"/>
                            <w:gridSpan w:val="2"/>
                            <w:tcBorders/>
                            <w:shd w:color="auto" w:fill="auto" w:val="clear"/>
                          </w:tcPr>
                          <w:p>
                            <w:pPr>
                              <w:pStyle w:val="FrameContents"/>
                              <w:spacing w:lineRule="auto" w:line="240" w:before="0" w:after="60"/>
                              <w:ind w:left="60" w:right="60" w:hanging="0"/>
                              <w:jc w:val="center"/>
                              <w:rPr/>
                            </w:pPr>
                            <w:bookmarkStart w:id="3276" w:name="__UnoMark__19907_118561941"/>
                            <w:bookmarkStart w:id="3277" w:name="__UnoMark__19906_118561941"/>
                            <w:bookmarkEnd w:id="3276"/>
                            <w:bookmarkEnd w:id="3277"/>
                            <w:r>
                              <w:rPr>
                                <w:color w:val="00000A"/>
                                <w:sz w:val="18"/>
                                <w:szCs w:val="18"/>
                              </w:rPr>
                              <w:t>ACO_LDS</w:t>
                            </w:r>
                          </w:p>
                        </w:tc>
                        <w:tc>
                          <w:tcPr>
                            <w:tcW w:w="1120" w:type="dxa"/>
                            <w:gridSpan w:val="2"/>
                            <w:tcBorders/>
                            <w:shd w:color="auto" w:fill="FFFFFF" w:val="clear"/>
                          </w:tcPr>
                          <w:p>
                            <w:pPr>
                              <w:pStyle w:val="FrameContents"/>
                              <w:spacing w:lineRule="auto" w:line="240" w:before="0" w:after="60"/>
                              <w:ind w:left="60" w:right="60" w:hanging="0"/>
                              <w:jc w:val="center"/>
                              <w:rPr/>
                            </w:pPr>
                            <w:bookmarkStart w:id="3278" w:name="__UnoMark__19908_118561941"/>
                            <w:bookmarkEnd w:id="3278"/>
                            <w:r>
                              <w:rPr>
                                <w:color w:val="00000A"/>
                                <w:sz w:val="18"/>
                                <w:szCs w:val="18"/>
                              </w:rPr>
                              <w:t>.200</w:t>
                            </w:r>
                            <w:bookmarkStart w:id="3279" w:name="__UnoMark__19909_118561941"/>
                            <w:bookmarkEnd w:id="3279"/>
                            <w:r>
                              <w:rPr>
                                <w:color w:val="00000A"/>
                                <w:sz w:val="18"/>
                                <w:szCs w:val="18"/>
                                <w:vertAlign w:val="superscript"/>
                              </w:rPr>
                              <w:t>*</w:t>
                            </w:r>
                          </w:p>
                        </w:tc>
                        <w:tc>
                          <w:tcPr>
                            <w:tcW w:w="673" w:type="dxa"/>
                            <w:tcBorders/>
                            <w:shd w:color="auto" w:fill="FFFFFF" w:val="clear"/>
                          </w:tcPr>
                          <w:p>
                            <w:pPr>
                              <w:pStyle w:val="FrameContents"/>
                              <w:spacing w:lineRule="auto" w:line="240" w:before="0" w:after="60"/>
                              <w:ind w:left="60" w:right="60" w:hanging="0"/>
                              <w:jc w:val="center"/>
                              <w:rPr/>
                            </w:pPr>
                            <w:bookmarkStart w:id="3280" w:name="__UnoMark__19911_118561941"/>
                            <w:bookmarkStart w:id="3281" w:name="__UnoMark__19910_118561941"/>
                            <w:bookmarkEnd w:id="3280"/>
                            <w:bookmarkEnd w:id="3281"/>
                            <w:r>
                              <w:rPr>
                                <w:color w:val="00000A"/>
                                <w:sz w:val="18"/>
                                <w:szCs w:val="18"/>
                              </w:rPr>
                              <w:t>.603</w:t>
                            </w:r>
                          </w:p>
                        </w:tc>
                      </w:tr>
                      <w:tr>
                        <w:trPr>
                          <w:cantSplit w:val="true"/>
                        </w:trPr>
                        <w:tc>
                          <w:tcPr>
                            <w:tcW w:w="1520" w:type="dxa"/>
                            <w:gridSpan w:val="2"/>
                            <w:tcBorders/>
                            <w:shd w:color="auto" w:fill="auto" w:val="clear"/>
                          </w:tcPr>
                          <w:p>
                            <w:pPr>
                              <w:pStyle w:val="FrameContents"/>
                              <w:spacing w:lineRule="auto" w:line="240" w:before="0" w:after="60"/>
                              <w:ind w:left="60" w:right="60" w:hanging="0"/>
                              <w:jc w:val="center"/>
                              <w:rPr/>
                            </w:pPr>
                            <w:bookmarkStart w:id="3282" w:name="__UnoMark__19913_118561941"/>
                            <w:bookmarkStart w:id="3283" w:name="__UnoMark__19912_118561941"/>
                            <w:bookmarkEnd w:id="3282"/>
                            <w:bookmarkEnd w:id="3283"/>
                            <w:r>
                              <w:rPr>
                                <w:color w:val="00000A"/>
                                <w:sz w:val="18"/>
                                <w:szCs w:val="18"/>
                              </w:rPr>
                              <w:t>GA_LDS</w:t>
                            </w:r>
                          </w:p>
                        </w:tc>
                        <w:tc>
                          <w:tcPr>
                            <w:tcW w:w="1120" w:type="dxa"/>
                            <w:gridSpan w:val="2"/>
                            <w:tcBorders/>
                            <w:shd w:color="auto" w:fill="FFFFFF" w:val="clear"/>
                          </w:tcPr>
                          <w:p>
                            <w:pPr>
                              <w:pStyle w:val="FrameContents"/>
                              <w:spacing w:lineRule="auto" w:line="240" w:before="0" w:after="60"/>
                              <w:ind w:left="60" w:right="60" w:hanging="0"/>
                              <w:jc w:val="center"/>
                              <w:rPr/>
                            </w:pPr>
                            <w:bookmarkStart w:id="3284" w:name="__UnoMark__19915_118561941"/>
                            <w:bookmarkStart w:id="3285" w:name="__UnoMark__19914_118561941"/>
                            <w:bookmarkEnd w:id="3284"/>
                            <w:bookmarkEnd w:id="3285"/>
                            <w:r>
                              <w:rPr>
                                <w:color w:val="00000A"/>
                                <w:sz w:val="18"/>
                                <w:szCs w:val="18"/>
                              </w:rPr>
                              <w:t>.012</w:t>
                            </w:r>
                          </w:p>
                        </w:tc>
                        <w:tc>
                          <w:tcPr>
                            <w:tcW w:w="673" w:type="dxa"/>
                            <w:tcBorders/>
                            <w:shd w:color="auto" w:fill="FFFFFF" w:val="clear"/>
                          </w:tcPr>
                          <w:p>
                            <w:pPr>
                              <w:pStyle w:val="FrameContents"/>
                              <w:spacing w:lineRule="auto" w:line="240" w:before="0" w:after="60"/>
                              <w:ind w:left="60" w:right="60" w:hanging="0"/>
                              <w:jc w:val="center"/>
                              <w:rPr/>
                            </w:pPr>
                            <w:bookmarkStart w:id="3286" w:name="__UnoMark__19917_118561941"/>
                            <w:bookmarkStart w:id="3287" w:name="__UnoMark__19916_118561941"/>
                            <w:bookmarkEnd w:id="3286"/>
                            <w:bookmarkEnd w:id="3287"/>
                            <w:r>
                              <w:rPr>
                                <w:color w:val="00000A"/>
                                <w:sz w:val="18"/>
                                <w:szCs w:val="18"/>
                              </w:rPr>
                              <w:t>.000</w:t>
                            </w:r>
                          </w:p>
                        </w:tc>
                      </w:tr>
                      <w:tr>
                        <w:trPr>
                          <w:cantSplit w:val="true"/>
                        </w:trPr>
                        <w:tc>
                          <w:tcPr>
                            <w:tcW w:w="1520" w:type="dxa"/>
                            <w:gridSpan w:val="2"/>
                            <w:tcBorders/>
                            <w:shd w:color="auto" w:fill="auto" w:val="clear"/>
                          </w:tcPr>
                          <w:p>
                            <w:pPr>
                              <w:pStyle w:val="FrameContents"/>
                              <w:spacing w:lineRule="auto" w:line="240" w:before="0" w:after="60"/>
                              <w:ind w:left="60" w:right="60" w:hanging="0"/>
                              <w:jc w:val="center"/>
                              <w:rPr/>
                            </w:pPr>
                            <w:bookmarkStart w:id="3288" w:name="__UnoMark__19919_118561941"/>
                            <w:bookmarkStart w:id="3289" w:name="__UnoMark__19918_118561941"/>
                            <w:bookmarkEnd w:id="3288"/>
                            <w:bookmarkEnd w:id="3289"/>
                            <w:r>
                              <w:rPr>
                                <w:color w:val="00000A"/>
                                <w:sz w:val="18"/>
                                <w:szCs w:val="18"/>
                              </w:rPr>
                              <w:t>PCA_LDS</w:t>
                            </w:r>
                          </w:p>
                        </w:tc>
                        <w:tc>
                          <w:tcPr>
                            <w:tcW w:w="1120" w:type="dxa"/>
                            <w:gridSpan w:val="2"/>
                            <w:tcBorders/>
                            <w:shd w:color="auto" w:fill="FFFFFF" w:val="clear"/>
                          </w:tcPr>
                          <w:p>
                            <w:pPr>
                              <w:pStyle w:val="FrameContents"/>
                              <w:spacing w:lineRule="auto" w:line="240" w:before="0" w:after="60"/>
                              <w:ind w:left="60" w:right="60" w:hanging="0"/>
                              <w:jc w:val="center"/>
                              <w:rPr/>
                            </w:pPr>
                            <w:bookmarkStart w:id="3290" w:name="__UnoMark__19920_118561941"/>
                            <w:bookmarkEnd w:id="3290"/>
                            <w:r>
                              <w:rPr>
                                <w:color w:val="00000A"/>
                                <w:sz w:val="18"/>
                                <w:szCs w:val="18"/>
                              </w:rPr>
                              <w:t>.200</w:t>
                            </w:r>
                            <w:bookmarkStart w:id="3291" w:name="__UnoMark__19921_118561941"/>
                            <w:bookmarkEnd w:id="3291"/>
                            <w:r>
                              <w:rPr>
                                <w:color w:val="00000A"/>
                                <w:sz w:val="18"/>
                                <w:szCs w:val="18"/>
                                <w:vertAlign w:val="superscript"/>
                              </w:rPr>
                              <w:t>*</w:t>
                            </w:r>
                          </w:p>
                        </w:tc>
                        <w:tc>
                          <w:tcPr>
                            <w:tcW w:w="673" w:type="dxa"/>
                            <w:tcBorders/>
                            <w:shd w:color="auto" w:fill="FFFFFF" w:val="clear"/>
                          </w:tcPr>
                          <w:p>
                            <w:pPr>
                              <w:pStyle w:val="FrameContents"/>
                              <w:spacing w:lineRule="auto" w:line="240" w:before="0" w:after="60"/>
                              <w:ind w:left="60" w:right="60" w:hanging="0"/>
                              <w:jc w:val="center"/>
                              <w:rPr/>
                            </w:pPr>
                            <w:bookmarkStart w:id="3292" w:name="__UnoMark__19922_118561941"/>
                            <w:bookmarkEnd w:id="3292"/>
                            <w:r>
                              <w:rPr>
                                <w:color w:val="00000A"/>
                                <w:sz w:val="18"/>
                                <w:szCs w:val="18"/>
                              </w:rPr>
                              <w:t>.977</w:t>
                            </w:r>
                          </w:p>
                        </w:tc>
                      </w:tr>
                    </w:tbl>
                    <w:p>
                      <w:pPr>
                        <w:pStyle w:val="FrameContents"/>
                        <w:spacing w:before="80" w:after="60"/>
                        <w:rPr>
                          <w:color w:val="000000"/>
                        </w:rPr>
                      </w:pPr>
                      <w:r>
                        <w:rPr>
                          <w:color w:val="000000"/>
                        </w:rPr>
                      </w:r>
                    </w:p>
                  </w:txbxContent>
                </v:textbox>
              </v:rect>
            </w:pict>
          </mc:Fallback>
        </mc:AlternateContent>
      </w:r>
    </w:p>
    <w:p>
      <w:pPr>
        <w:pStyle w:val="Caption1"/>
        <w:keepNext/>
        <w:spacing w:lineRule="auto" w:line="240" w:before="80" w:after="0"/>
        <w:rPr/>
      </w:pPr>
      <w:r>
        <w:rPr/>
      </w:r>
    </w:p>
    <w:p>
      <w:pPr>
        <w:pStyle w:val="Normal"/>
        <w:spacing w:lineRule="auto" w:line="240" w:before="0" w:after="0"/>
        <w:rPr>
          <w:lang w:val="en-US"/>
        </w:rPr>
      </w:pPr>
      <w:r>
        <w:rPr>
          <w:lang w:val="en-US"/>
        </w:rPr>
        <mc:AlternateContent>
          <mc:Choice Requires="wps">
            <w:drawing>
              <wp:anchor behindDoc="0" distT="0" distB="0" distL="114300" distR="114300" simplePos="0" locked="0" layoutInCell="1" allowOverlap="1" relativeHeight="56">
                <wp:simplePos x="0" y="0"/>
                <wp:positionH relativeFrom="margin">
                  <wp:align>center</wp:align>
                </wp:positionH>
                <wp:positionV relativeFrom="paragraph">
                  <wp:posOffset>-83185</wp:posOffset>
                </wp:positionV>
                <wp:extent cx="4674870" cy="2640330"/>
                <wp:effectExtent l="0" t="0" r="0" b="0"/>
                <wp:wrapSquare wrapText="bothSides"/>
                <wp:docPr id="108" name="Frame39"/>
                <a:graphic xmlns:a="http://schemas.openxmlformats.org/drawingml/2006/main">
                  <a:graphicData uri="http://schemas.microsoft.com/office/word/2010/wordprocessingShape">
                    <wps:wsp>
                      <wps:cNvSpPr/>
                      <wps:spPr>
                        <a:xfrm>
                          <a:off x="0" y="0"/>
                          <a:ext cx="4674240" cy="2639520"/>
                        </a:xfrm>
                        <a:prstGeom prst="rect">
                          <a:avLst/>
                        </a:prstGeom>
                        <a:noFill/>
                        <a:ln>
                          <a:noFill/>
                        </a:ln>
                      </wps:spPr>
                      <wps:style>
                        <a:lnRef idx="0"/>
                        <a:fillRef idx="0"/>
                        <a:effectRef idx="0"/>
                        <a:fontRef idx="minor"/>
                      </wps:style>
                      <wps:txbx>
                        <w:txbxContent>
                          <w:tbl>
                            <w:tblPr>
                              <w:tblW w:w="5000" w:type="pct"/>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3554"/>
                              <w:gridCol w:w="1270"/>
                              <w:gridCol w:w="2539"/>
                            </w:tblGrid>
                            <w:tr>
                              <w:trPr>
                                <w:cantSplit w:val="true"/>
                              </w:trPr>
                              <w:tc>
                                <w:tcPr>
                                  <w:tcW w:w="355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3293" w:name="__UnoMark__19992_118561941"/>
                                  <w:bookmarkEnd w:id="3293"/>
                                  <w:r>
                                    <w:rPr>
                                      <w:color w:val="00000A"/>
                                      <w:sz w:val="18"/>
                                      <w:szCs w:val="18"/>
                                      <w:lang w:val="en-US"/>
                                    </w:rPr>
                                    <w:t>Algoritmos</w:t>
                                  </w:r>
                                </w:p>
                              </w:tc>
                              <w:tc>
                                <w:tcPr>
                                  <w:tcW w:w="127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294" w:name="__UnoMark__19994_118561941"/>
                                  <w:bookmarkStart w:id="3295" w:name="__UnoMark__19993_118561941"/>
                                  <w:bookmarkEnd w:id="3294"/>
                                  <w:bookmarkEnd w:id="3295"/>
                                  <w:r>
                                    <w:rPr>
                                      <w:color w:val="00000A"/>
                                      <w:sz w:val="18"/>
                                      <w:szCs w:val="18"/>
                                      <w:lang w:val="en-US"/>
                                    </w:rPr>
                                    <w:t>p-value</w:t>
                                  </w:r>
                                </w:p>
                              </w:tc>
                              <w:tc>
                                <w:tcPr>
                                  <w:tcW w:w="2539"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296" w:name="__UnoMark__19996_118561941"/>
                                  <w:bookmarkStart w:id="3297" w:name="__UnoMark__19995_118561941"/>
                                  <w:bookmarkEnd w:id="3296"/>
                                  <w:bookmarkEnd w:id="3297"/>
                                  <w:r>
                                    <w:rPr>
                                      <w:color w:val="00000A"/>
                                      <w:sz w:val="18"/>
                                      <w:szCs w:val="18"/>
                                      <w:lang w:val="en-US"/>
                                    </w:rPr>
                                    <w:t>Resultados</w:t>
                                  </w:r>
                                </w:p>
                              </w:tc>
                            </w:tr>
                            <w:tr>
                              <w:trPr>
                                <w:trHeight w:val="801" w:hRule="atLeast"/>
                                <w:cantSplit w:val="true"/>
                              </w:trPr>
                              <w:tc>
                                <w:tcPr>
                                  <w:tcW w:w="355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3298" w:name="__UnoMark__19997_118561941"/>
                                  <w:bookmarkEnd w:id="3298"/>
                                  <w:r>
                                    <w:rPr>
                                      <w:i/>
                                      <w:color w:val="00000A"/>
                                      <w:sz w:val="18"/>
                                      <w:szCs w:val="18"/>
                                      <w:lang w:val="en-US"/>
                                    </w:rPr>
                                    <w:t xml:space="preserve">Wilcoxon test </w:t>
                                  </w:r>
                                </w:p>
                                <w:p>
                                  <w:pPr>
                                    <w:pStyle w:val="FrameContents"/>
                                    <w:spacing w:lineRule="auto" w:line="240" w:before="0" w:after="0"/>
                                    <w:jc w:val="left"/>
                                    <w:rPr>
                                      <w:color w:val="00000A"/>
                                    </w:rPr>
                                  </w:pPr>
                                  <w:r>
                                    <w:rPr>
                                      <w:color w:val="00000A"/>
                                      <w:sz w:val="18"/>
                                      <w:szCs w:val="18"/>
                                      <w:lang w:val="en-US"/>
                                    </w:rPr>
                                    <w:t xml:space="preserve">RST_LDS (grupo A) – </w:t>
                                  </w:r>
                                </w:p>
                                <w:p>
                                  <w:pPr>
                                    <w:pStyle w:val="FrameContents"/>
                                    <w:spacing w:lineRule="auto" w:line="240" w:before="0" w:after="0"/>
                                    <w:jc w:val="left"/>
                                    <w:rPr>
                                      <w:color w:val="00000A"/>
                                    </w:rPr>
                                  </w:pPr>
                                  <w:bookmarkStart w:id="3299" w:name="__UnoMark__19998_118561941"/>
                                  <w:bookmarkEnd w:id="3299"/>
                                  <w:r>
                                    <w:rPr>
                                      <w:color w:val="00000A"/>
                                      <w:sz w:val="18"/>
                                      <w:szCs w:val="18"/>
                                      <w:lang w:val="en-US"/>
                                    </w:rPr>
                                    <w:t>LPA_LDS (grupo B)</w:t>
                                  </w:r>
                                </w:p>
                              </w:tc>
                              <w:tc>
                                <w:tcPr>
                                  <w:tcW w:w="1270"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color w:val="00000A"/>
                                      <w:sz w:val="18"/>
                                      <w:szCs w:val="18"/>
                                      <w:lang w:val="en-US"/>
                                    </w:rPr>
                                  </w:pPr>
                                  <w:bookmarkStart w:id="3300" w:name="__UnoMark__19999_118561941"/>
                                  <w:bookmarkStart w:id="3301" w:name="__UnoMark__19999_118561941"/>
                                  <w:bookmarkEnd w:id="3301"/>
                                  <w:r>
                                    <w:rPr>
                                      <w:color w:val="00000A"/>
                                      <w:sz w:val="18"/>
                                      <w:szCs w:val="18"/>
                                      <w:lang w:val="en-US"/>
                                    </w:rPr>
                                  </w:r>
                                </w:p>
                                <w:p>
                                  <w:pPr>
                                    <w:pStyle w:val="FrameContents"/>
                                    <w:spacing w:lineRule="auto" w:line="240" w:before="0" w:after="0"/>
                                    <w:jc w:val="center"/>
                                    <w:rPr>
                                      <w:color w:val="00000A"/>
                                    </w:rPr>
                                  </w:pPr>
                                  <w:bookmarkStart w:id="3302" w:name="__UnoMark__20000_118561941"/>
                                  <w:bookmarkEnd w:id="3302"/>
                                  <w:r>
                                    <w:rPr>
                                      <w:color w:val="00000A"/>
                                      <w:sz w:val="18"/>
                                      <w:szCs w:val="18"/>
                                      <w:lang w:val="en-US"/>
                                    </w:rPr>
                                    <w:t>0.014</w:t>
                                  </w:r>
                                </w:p>
                              </w:tc>
                              <w:tc>
                                <w:tcPr>
                                  <w:tcW w:w="2539"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303" w:name="__UnoMark__20002_118561941"/>
                                  <w:bookmarkStart w:id="3304" w:name="__UnoMark__20001_118561941"/>
                                  <w:bookmarkEnd w:id="3303"/>
                                  <w:bookmarkEnd w:id="3304"/>
                                  <w:r>
                                    <w:rPr>
                                      <w:color w:val="00000A"/>
                                      <w:sz w:val="18"/>
                                      <w:szCs w:val="18"/>
                                      <w:lang w:val="en-US"/>
                                    </w:rPr>
                                    <w:t>Hay diferencias significativas</w:t>
                                  </w:r>
                                </w:p>
                              </w:tc>
                            </w:tr>
                            <w:tr>
                              <w:trPr>
                                <w:trHeight w:val="702" w:hRule="atLeast"/>
                                <w:cantSplit w:val="true"/>
                              </w:trPr>
                              <w:tc>
                                <w:tcPr>
                                  <w:tcW w:w="355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3305" w:name="__UnoMark__20003_118561941"/>
                                  <w:bookmarkEnd w:id="3305"/>
                                  <w:r>
                                    <w:rPr>
                                      <w:i/>
                                      <w:color w:val="00000A"/>
                                      <w:sz w:val="18"/>
                                      <w:szCs w:val="18"/>
                                    </w:rPr>
                                    <w:t xml:space="preserve">Wilcoxon test </w:t>
                                  </w:r>
                                </w:p>
                                <w:p>
                                  <w:pPr>
                                    <w:pStyle w:val="FrameContents"/>
                                    <w:spacing w:lineRule="auto" w:line="240" w:before="0" w:after="0"/>
                                    <w:jc w:val="left"/>
                                    <w:rPr>
                                      <w:color w:val="00000A"/>
                                    </w:rPr>
                                  </w:pPr>
                                  <w:bookmarkStart w:id="3306" w:name="__UnoMark__20004_118561941"/>
                                  <w:bookmarkEnd w:id="3306"/>
                                  <w:r>
                                    <w:rPr>
                                      <w:color w:val="00000A"/>
                                      <w:sz w:val="18"/>
                                      <w:szCs w:val="18"/>
                                    </w:rPr>
                                    <w:t>LPA_LDS (grupo B) – GA_LDS (grupo C)</w:t>
                                  </w:r>
                                </w:p>
                              </w:tc>
                              <w:tc>
                                <w:tcPr>
                                  <w:tcW w:w="1270"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color w:val="00000A"/>
                                      <w:sz w:val="18"/>
                                      <w:szCs w:val="18"/>
                                    </w:rPr>
                                  </w:pPr>
                                  <w:bookmarkStart w:id="3307" w:name="__UnoMark__20005_118561941"/>
                                  <w:bookmarkStart w:id="3308" w:name="__UnoMark__20005_118561941"/>
                                  <w:bookmarkEnd w:id="3308"/>
                                  <w:r>
                                    <w:rPr>
                                      <w:color w:val="00000A"/>
                                      <w:sz w:val="18"/>
                                      <w:szCs w:val="18"/>
                                    </w:rPr>
                                  </w:r>
                                </w:p>
                                <w:p>
                                  <w:pPr>
                                    <w:pStyle w:val="FrameContents"/>
                                    <w:spacing w:lineRule="auto" w:line="240" w:before="0" w:after="0"/>
                                    <w:jc w:val="center"/>
                                    <w:rPr>
                                      <w:color w:val="00000A"/>
                                    </w:rPr>
                                  </w:pPr>
                                  <w:bookmarkStart w:id="3309" w:name="__UnoMark__20006_118561941"/>
                                  <w:bookmarkEnd w:id="3309"/>
                                  <w:r>
                                    <w:rPr>
                                      <w:color w:val="00000A"/>
                                      <w:sz w:val="18"/>
                                      <w:szCs w:val="18"/>
                                      <w:lang w:val="en-US"/>
                                    </w:rPr>
                                    <w:t>0.024</w:t>
                                  </w:r>
                                </w:p>
                              </w:tc>
                              <w:tc>
                                <w:tcPr>
                                  <w:tcW w:w="2539"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310" w:name="__UnoMark__20008_118561941"/>
                                  <w:bookmarkStart w:id="3311" w:name="__UnoMark__20007_118561941"/>
                                  <w:bookmarkEnd w:id="3310"/>
                                  <w:bookmarkEnd w:id="3311"/>
                                  <w:r>
                                    <w:rPr>
                                      <w:color w:val="00000A"/>
                                      <w:sz w:val="18"/>
                                      <w:szCs w:val="18"/>
                                      <w:lang w:val="en-US"/>
                                    </w:rPr>
                                    <w:t>Hay diferencias significativas</w:t>
                                  </w:r>
                                </w:p>
                              </w:tc>
                            </w:tr>
                            <w:tr>
                              <w:trPr>
                                <w:trHeight w:val="702" w:hRule="atLeast"/>
                                <w:cantSplit w:val="true"/>
                              </w:trPr>
                              <w:tc>
                                <w:tcPr>
                                  <w:tcW w:w="355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3312" w:name="__UnoMark__20009_118561941"/>
                                  <w:bookmarkEnd w:id="3312"/>
                                  <w:r>
                                    <w:rPr>
                                      <w:i/>
                                      <w:color w:val="00000A"/>
                                      <w:sz w:val="18"/>
                                      <w:szCs w:val="18"/>
                                    </w:rPr>
                                    <w:t xml:space="preserve">Wilcoxon test </w:t>
                                  </w:r>
                                </w:p>
                                <w:p>
                                  <w:pPr>
                                    <w:pStyle w:val="FrameContents"/>
                                    <w:spacing w:lineRule="auto" w:line="240" w:before="0" w:after="0"/>
                                    <w:jc w:val="left"/>
                                    <w:rPr>
                                      <w:color w:val="00000A"/>
                                    </w:rPr>
                                  </w:pPr>
                                  <w:bookmarkStart w:id="3313" w:name="__UnoMark__20010_118561941"/>
                                  <w:bookmarkEnd w:id="3313"/>
                                  <w:r>
                                    <w:rPr>
                                      <w:color w:val="00000A"/>
                                      <w:sz w:val="18"/>
                                      <w:szCs w:val="18"/>
                                    </w:rPr>
                                    <w:t>GA_LDS (grupo C) – PCA_LDS (grupo D)</w:t>
                                  </w:r>
                                </w:p>
                              </w:tc>
                              <w:tc>
                                <w:tcPr>
                                  <w:tcW w:w="1270" w:type="dxa"/>
                                  <w:tcBorders>
                                    <w:top w:val="single" w:sz="2" w:space="0" w:color="00000A"/>
                                    <w:bottom w:val="single" w:sz="4" w:space="0" w:color="00000A"/>
                                    <w:insideH w:val="single" w:sz="4" w:space="0" w:color="00000A"/>
                                  </w:tcBorders>
                                  <w:shd w:color="auto" w:fill="FFFF00" w:val="clear"/>
                                  <w:vAlign w:val="center"/>
                                </w:tcPr>
                                <w:p>
                                  <w:pPr>
                                    <w:pStyle w:val="FrameContents"/>
                                    <w:spacing w:lineRule="auto" w:line="240" w:before="0" w:after="0"/>
                                    <w:jc w:val="center"/>
                                    <w:rPr>
                                      <w:color w:val="00000A"/>
                                      <w:sz w:val="18"/>
                                      <w:szCs w:val="18"/>
                                    </w:rPr>
                                  </w:pPr>
                                  <w:bookmarkStart w:id="3314" w:name="__UnoMark__20011_118561941"/>
                                  <w:bookmarkStart w:id="3315" w:name="__UnoMark__20011_118561941"/>
                                  <w:bookmarkEnd w:id="3315"/>
                                  <w:r>
                                    <w:rPr>
                                      <w:color w:val="00000A"/>
                                      <w:sz w:val="18"/>
                                      <w:szCs w:val="18"/>
                                    </w:rPr>
                                  </w:r>
                                </w:p>
                                <w:p>
                                  <w:pPr>
                                    <w:pStyle w:val="FrameContents"/>
                                    <w:spacing w:lineRule="auto" w:line="240" w:before="0" w:after="0"/>
                                    <w:jc w:val="center"/>
                                    <w:rPr>
                                      <w:color w:val="00000A"/>
                                    </w:rPr>
                                  </w:pPr>
                                  <w:bookmarkStart w:id="3316" w:name="__UnoMark__20012_118561941"/>
                                  <w:bookmarkEnd w:id="3316"/>
                                  <w:r>
                                    <w:rPr>
                                      <w:color w:val="00000A"/>
                                      <w:sz w:val="18"/>
                                      <w:szCs w:val="18"/>
                                      <w:lang w:val="en-US"/>
                                    </w:rPr>
                                    <w:t>0.005</w:t>
                                  </w:r>
                                </w:p>
                              </w:tc>
                              <w:tc>
                                <w:tcPr>
                                  <w:tcW w:w="2539"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317" w:name="__UnoMark__20014_118561941"/>
                                  <w:bookmarkStart w:id="3318" w:name="__UnoMark__20013_118561941"/>
                                  <w:bookmarkEnd w:id="3317"/>
                                  <w:bookmarkEnd w:id="3318"/>
                                  <w:r>
                                    <w:rPr>
                                      <w:color w:val="00000A"/>
                                      <w:sz w:val="18"/>
                                      <w:szCs w:val="18"/>
                                      <w:lang w:val="en-US"/>
                                    </w:rPr>
                                    <w:t>Hay diferencias significativas</w:t>
                                  </w:r>
                                </w:p>
                              </w:tc>
                            </w:tr>
                            <w:tr>
                              <w:trPr>
                                <w:trHeight w:val="702" w:hRule="atLeast"/>
                                <w:cantSplit w:val="true"/>
                              </w:trPr>
                              <w:tc>
                                <w:tcPr>
                                  <w:tcW w:w="355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3319" w:name="__UnoMark__20015_118561941"/>
                                  <w:bookmarkEnd w:id="3319"/>
                                  <w:r>
                                    <w:rPr>
                                      <w:i/>
                                      <w:color w:val="00000A"/>
                                      <w:sz w:val="18"/>
                                      <w:szCs w:val="18"/>
                                      <w:lang w:val="en-US"/>
                                    </w:rPr>
                                    <w:t>Wilcoxon test</w:t>
                                  </w:r>
                                  <w:r>
                                    <w:rPr>
                                      <w:color w:val="00000A"/>
                                      <w:sz w:val="18"/>
                                      <w:szCs w:val="18"/>
                                      <w:lang w:val="en-US"/>
                                    </w:rPr>
                                    <w:t xml:space="preserve"> (grupo D)</w:t>
                                  </w:r>
                                </w:p>
                                <w:p>
                                  <w:pPr>
                                    <w:pStyle w:val="FrameContents"/>
                                    <w:spacing w:lineRule="auto" w:line="240" w:before="0" w:after="0"/>
                                    <w:jc w:val="left"/>
                                    <w:rPr>
                                      <w:color w:val="00000A"/>
                                    </w:rPr>
                                  </w:pPr>
                                  <w:bookmarkStart w:id="3320" w:name="__UnoMark__20016_118561941"/>
                                  <w:bookmarkEnd w:id="3320"/>
                                  <w:r>
                                    <w:rPr>
                                      <w:color w:val="00000A"/>
                                      <w:sz w:val="18"/>
                                      <w:szCs w:val="18"/>
                                      <w:lang w:val="en-US"/>
                                    </w:rPr>
                                    <w:t>PCA_LDS - Apriori_LDS</w:t>
                                  </w:r>
                                </w:p>
                              </w:tc>
                              <w:tc>
                                <w:tcPr>
                                  <w:tcW w:w="1270" w:type="dxa"/>
                                  <w:tcBorders>
                                    <w:top w:val="single" w:sz="4" w:space="0" w:color="00000A"/>
                                    <w:bottom w:val="single" w:sz="4" w:space="0" w:color="00000A"/>
                                    <w:insideH w:val="single" w:sz="4" w:space="0" w:color="00000A"/>
                                  </w:tcBorders>
                                  <w:shd w:color="auto" w:fill="auto" w:val="clear"/>
                                  <w:vAlign w:val="center"/>
                                </w:tcPr>
                                <w:p>
                                  <w:pPr>
                                    <w:pStyle w:val="FrameContents"/>
                                    <w:spacing w:lineRule="auto" w:line="240" w:before="0" w:after="0"/>
                                    <w:jc w:val="center"/>
                                    <w:rPr>
                                      <w:color w:val="00000A"/>
                                      <w:sz w:val="18"/>
                                      <w:szCs w:val="18"/>
                                      <w:lang w:val="en-US"/>
                                    </w:rPr>
                                  </w:pPr>
                                  <w:bookmarkStart w:id="3321" w:name="__UnoMark__20017_118561941"/>
                                  <w:bookmarkStart w:id="3322" w:name="__UnoMark__20017_118561941"/>
                                  <w:bookmarkEnd w:id="3322"/>
                                  <w:r>
                                    <w:rPr>
                                      <w:color w:val="00000A"/>
                                      <w:sz w:val="18"/>
                                      <w:szCs w:val="18"/>
                                      <w:lang w:val="en-US"/>
                                    </w:rPr>
                                  </w:r>
                                </w:p>
                                <w:p>
                                  <w:pPr>
                                    <w:pStyle w:val="FrameContents"/>
                                    <w:spacing w:lineRule="auto" w:line="240" w:before="0" w:after="0"/>
                                    <w:jc w:val="center"/>
                                    <w:rPr>
                                      <w:color w:val="00000A"/>
                                    </w:rPr>
                                  </w:pPr>
                                  <w:bookmarkStart w:id="3323" w:name="__UnoMark__20018_118561941"/>
                                  <w:bookmarkEnd w:id="3323"/>
                                  <w:r>
                                    <w:rPr>
                                      <w:color w:val="00000A"/>
                                      <w:sz w:val="18"/>
                                      <w:szCs w:val="18"/>
                                      <w:lang w:val="en-US"/>
                                    </w:rPr>
                                    <w:t>1.000</w:t>
                                  </w:r>
                                </w:p>
                              </w:tc>
                              <w:tc>
                                <w:tcPr>
                                  <w:tcW w:w="2539"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324" w:name="__UnoMark__20020_118561941"/>
                                  <w:bookmarkStart w:id="3325" w:name="__UnoMark__20019_118561941"/>
                                  <w:bookmarkEnd w:id="3324"/>
                                  <w:bookmarkEnd w:id="3325"/>
                                  <w:r>
                                    <w:rPr>
                                      <w:color w:val="00000A"/>
                                      <w:sz w:val="18"/>
                                      <w:szCs w:val="18"/>
                                      <w:lang w:val="en-US"/>
                                    </w:rPr>
                                    <w:t>No hay diferencias significativas</w:t>
                                  </w:r>
                                </w:p>
                              </w:tc>
                            </w:tr>
                            <w:tr>
                              <w:trPr>
                                <w:trHeight w:val="702" w:hRule="atLeast"/>
                                <w:cantSplit w:val="true"/>
                              </w:trPr>
                              <w:tc>
                                <w:tcPr>
                                  <w:tcW w:w="355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3326" w:name="__UnoMark__20021_118561941"/>
                                  <w:bookmarkEnd w:id="3326"/>
                                  <w:r>
                                    <w:rPr>
                                      <w:i/>
                                      <w:color w:val="00000A"/>
                                      <w:sz w:val="18"/>
                                      <w:szCs w:val="18"/>
                                    </w:rPr>
                                    <w:t xml:space="preserve">Wilcoxon test </w:t>
                                  </w:r>
                                </w:p>
                                <w:p>
                                  <w:pPr>
                                    <w:pStyle w:val="FrameContents"/>
                                    <w:spacing w:lineRule="auto" w:line="240" w:before="0" w:after="0"/>
                                    <w:jc w:val="left"/>
                                    <w:rPr>
                                      <w:color w:val="00000A"/>
                                    </w:rPr>
                                  </w:pPr>
                                  <w:bookmarkStart w:id="3327" w:name="__UnoMark__20022_118561941"/>
                                  <w:bookmarkEnd w:id="3327"/>
                                  <w:r>
                                    <w:rPr>
                                      <w:color w:val="00000A"/>
                                      <w:sz w:val="18"/>
                                      <w:szCs w:val="18"/>
                                    </w:rPr>
                                    <w:t>PCA_LDS (grupo D) – ACO_LDS (grupo E)</w:t>
                                  </w:r>
                                </w:p>
                              </w:tc>
                              <w:tc>
                                <w:tcPr>
                                  <w:tcW w:w="1270" w:type="dxa"/>
                                  <w:tcBorders>
                                    <w:top w:val="single" w:sz="4"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color w:val="00000A"/>
                                      <w:sz w:val="18"/>
                                      <w:szCs w:val="18"/>
                                    </w:rPr>
                                  </w:pPr>
                                  <w:bookmarkStart w:id="3328" w:name="__UnoMark__20023_118561941"/>
                                  <w:bookmarkStart w:id="3329" w:name="__UnoMark__20023_118561941"/>
                                  <w:bookmarkEnd w:id="3329"/>
                                  <w:r>
                                    <w:rPr>
                                      <w:color w:val="00000A"/>
                                      <w:sz w:val="18"/>
                                      <w:szCs w:val="18"/>
                                    </w:rPr>
                                  </w:r>
                                </w:p>
                                <w:p>
                                  <w:pPr>
                                    <w:pStyle w:val="FrameContents"/>
                                    <w:spacing w:lineRule="auto" w:line="240" w:before="0" w:after="0"/>
                                    <w:jc w:val="center"/>
                                    <w:rPr>
                                      <w:color w:val="00000A"/>
                                    </w:rPr>
                                  </w:pPr>
                                  <w:bookmarkStart w:id="3330" w:name="__UnoMark__20024_118561941"/>
                                  <w:bookmarkEnd w:id="3330"/>
                                  <w:r>
                                    <w:rPr>
                                      <w:color w:val="00000A"/>
                                      <w:sz w:val="18"/>
                                      <w:szCs w:val="18"/>
                                    </w:rPr>
                                    <w:t>0.008</w:t>
                                  </w:r>
                                </w:p>
                              </w:tc>
                              <w:tc>
                                <w:tcPr>
                                  <w:tcW w:w="2539"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331" w:name="__UnoMark__20025_118561941"/>
                                  <w:bookmarkEnd w:id="3331"/>
                                  <w:r>
                                    <w:rPr>
                                      <w:color w:val="00000A"/>
                                      <w:sz w:val="18"/>
                                      <w:szCs w:val="18"/>
                                    </w:rPr>
                                    <w:t>Hay diferencias significativas</w:t>
                                  </w:r>
                                </w:p>
                              </w:tc>
                            </w:tr>
                          </w:tbl>
                          <w:p>
                            <w:pPr>
                              <w:pStyle w:val="FrameContents"/>
                              <w:spacing w:before="80" w:after="60"/>
                              <w:rPr>
                                <w:color w:val="000000"/>
                              </w:rPr>
                            </w:pPr>
                            <w:r>
                              <w:rPr>
                                <w:color w:val="000000"/>
                              </w:rPr>
                            </w:r>
                          </w:p>
                        </w:txbxContent>
                      </wps:txbx>
                      <wps:bodyPr lIns="0" rIns="0" tIns="0" bIns="0">
                        <a:spAutoFit/>
                      </wps:bodyPr>
                    </wps:wsp>
                  </a:graphicData>
                </a:graphic>
                <wp14:sizeRelH relativeFrom="margin">
                  <wp14:pctWidth>82000</wp14:pctWidth>
                </wp14:sizeRelH>
              </wp:anchor>
            </w:drawing>
          </mc:Choice>
          <mc:Fallback>
            <w:pict>
              <v:rect id="shape_0" ID="Frame39" stroked="f" style="position:absolute;margin-left:40.4pt;margin-top:-6.55pt;width:368pt;height:207.8pt;mso-position-horizontal:center;mso-position-horizontal-relative:margin">
                <w10:wrap type="none"/>
                <v:fill o:detectmouseclick="t" on="false"/>
                <v:stroke color="#3465a4" joinstyle="round" endcap="flat"/>
                <v:textbox>
                  <w:txbxContent>
                    <w:tbl>
                      <w:tblPr>
                        <w:tblW w:w="5000" w:type="pct"/>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3554"/>
                        <w:gridCol w:w="1270"/>
                        <w:gridCol w:w="2539"/>
                      </w:tblGrid>
                      <w:tr>
                        <w:trPr>
                          <w:cantSplit w:val="true"/>
                        </w:trPr>
                        <w:tc>
                          <w:tcPr>
                            <w:tcW w:w="355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3332" w:name="__UnoMark__19992_118561941"/>
                            <w:bookmarkEnd w:id="3332"/>
                            <w:r>
                              <w:rPr>
                                <w:color w:val="00000A"/>
                                <w:sz w:val="18"/>
                                <w:szCs w:val="18"/>
                                <w:lang w:val="en-US"/>
                              </w:rPr>
                              <w:t>Algoritmos</w:t>
                            </w:r>
                          </w:p>
                        </w:tc>
                        <w:tc>
                          <w:tcPr>
                            <w:tcW w:w="1270"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333" w:name="__UnoMark__19994_118561941"/>
                            <w:bookmarkStart w:id="3334" w:name="__UnoMark__19993_118561941"/>
                            <w:bookmarkEnd w:id="3333"/>
                            <w:bookmarkEnd w:id="3334"/>
                            <w:r>
                              <w:rPr>
                                <w:color w:val="00000A"/>
                                <w:sz w:val="18"/>
                                <w:szCs w:val="18"/>
                                <w:lang w:val="en-US"/>
                              </w:rPr>
                              <w:t>p-value</w:t>
                            </w:r>
                          </w:p>
                        </w:tc>
                        <w:tc>
                          <w:tcPr>
                            <w:tcW w:w="2539"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335" w:name="__UnoMark__19996_118561941"/>
                            <w:bookmarkStart w:id="3336" w:name="__UnoMark__19995_118561941"/>
                            <w:bookmarkEnd w:id="3335"/>
                            <w:bookmarkEnd w:id="3336"/>
                            <w:r>
                              <w:rPr>
                                <w:color w:val="00000A"/>
                                <w:sz w:val="18"/>
                                <w:szCs w:val="18"/>
                                <w:lang w:val="en-US"/>
                              </w:rPr>
                              <w:t>Resultados</w:t>
                            </w:r>
                          </w:p>
                        </w:tc>
                      </w:tr>
                      <w:tr>
                        <w:trPr>
                          <w:trHeight w:val="801" w:hRule="atLeast"/>
                          <w:cantSplit w:val="true"/>
                        </w:trPr>
                        <w:tc>
                          <w:tcPr>
                            <w:tcW w:w="355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3337" w:name="__UnoMark__19997_118561941"/>
                            <w:bookmarkEnd w:id="3337"/>
                            <w:r>
                              <w:rPr>
                                <w:i/>
                                <w:color w:val="00000A"/>
                                <w:sz w:val="18"/>
                                <w:szCs w:val="18"/>
                                <w:lang w:val="en-US"/>
                              </w:rPr>
                              <w:t xml:space="preserve">Wilcoxon test </w:t>
                            </w:r>
                          </w:p>
                          <w:p>
                            <w:pPr>
                              <w:pStyle w:val="FrameContents"/>
                              <w:spacing w:lineRule="auto" w:line="240" w:before="0" w:after="0"/>
                              <w:jc w:val="left"/>
                              <w:rPr>
                                <w:color w:val="00000A"/>
                              </w:rPr>
                            </w:pPr>
                            <w:r>
                              <w:rPr>
                                <w:color w:val="00000A"/>
                                <w:sz w:val="18"/>
                                <w:szCs w:val="18"/>
                                <w:lang w:val="en-US"/>
                              </w:rPr>
                              <w:t xml:space="preserve">RST_LDS (grupo A) – </w:t>
                            </w:r>
                          </w:p>
                          <w:p>
                            <w:pPr>
                              <w:pStyle w:val="FrameContents"/>
                              <w:spacing w:lineRule="auto" w:line="240" w:before="0" w:after="0"/>
                              <w:jc w:val="left"/>
                              <w:rPr>
                                <w:color w:val="00000A"/>
                              </w:rPr>
                            </w:pPr>
                            <w:bookmarkStart w:id="3338" w:name="__UnoMark__19998_118561941"/>
                            <w:bookmarkEnd w:id="3338"/>
                            <w:r>
                              <w:rPr>
                                <w:color w:val="00000A"/>
                                <w:sz w:val="18"/>
                                <w:szCs w:val="18"/>
                                <w:lang w:val="en-US"/>
                              </w:rPr>
                              <w:t>LPA_LDS (grupo B)</w:t>
                            </w:r>
                          </w:p>
                        </w:tc>
                        <w:tc>
                          <w:tcPr>
                            <w:tcW w:w="1270"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color w:val="00000A"/>
                                <w:sz w:val="18"/>
                                <w:szCs w:val="18"/>
                                <w:lang w:val="en-US"/>
                              </w:rPr>
                            </w:pPr>
                            <w:bookmarkStart w:id="3339" w:name="__UnoMark__19999_118561941"/>
                            <w:bookmarkStart w:id="3340" w:name="__UnoMark__19999_118561941"/>
                            <w:bookmarkEnd w:id="3340"/>
                            <w:r>
                              <w:rPr>
                                <w:color w:val="00000A"/>
                                <w:sz w:val="18"/>
                                <w:szCs w:val="18"/>
                                <w:lang w:val="en-US"/>
                              </w:rPr>
                            </w:r>
                          </w:p>
                          <w:p>
                            <w:pPr>
                              <w:pStyle w:val="FrameContents"/>
                              <w:spacing w:lineRule="auto" w:line="240" w:before="0" w:after="0"/>
                              <w:jc w:val="center"/>
                              <w:rPr>
                                <w:color w:val="00000A"/>
                              </w:rPr>
                            </w:pPr>
                            <w:bookmarkStart w:id="3341" w:name="__UnoMark__20000_118561941"/>
                            <w:bookmarkEnd w:id="3341"/>
                            <w:r>
                              <w:rPr>
                                <w:color w:val="00000A"/>
                                <w:sz w:val="18"/>
                                <w:szCs w:val="18"/>
                                <w:lang w:val="en-US"/>
                              </w:rPr>
                              <w:t>0.014</w:t>
                            </w:r>
                          </w:p>
                        </w:tc>
                        <w:tc>
                          <w:tcPr>
                            <w:tcW w:w="2539"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342" w:name="__UnoMark__20002_118561941"/>
                            <w:bookmarkStart w:id="3343" w:name="__UnoMark__20001_118561941"/>
                            <w:bookmarkEnd w:id="3342"/>
                            <w:bookmarkEnd w:id="3343"/>
                            <w:r>
                              <w:rPr>
                                <w:color w:val="00000A"/>
                                <w:sz w:val="18"/>
                                <w:szCs w:val="18"/>
                                <w:lang w:val="en-US"/>
                              </w:rPr>
                              <w:t>Hay diferencias significativas</w:t>
                            </w:r>
                          </w:p>
                        </w:tc>
                      </w:tr>
                      <w:tr>
                        <w:trPr>
                          <w:trHeight w:val="702" w:hRule="atLeast"/>
                          <w:cantSplit w:val="true"/>
                        </w:trPr>
                        <w:tc>
                          <w:tcPr>
                            <w:tcW w:w="355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3344" w:name="__UnoMark__20003_118561941"/>
                            <w:bookmarkEnd w:id="3344"/>
                            <w:r>
                              <w:rPr>
                                <w:i/>
                                <w:color w:val="00000A"/>
                                <w:sz w:val="18"/>
                                <w:szCs w:val="18"/>
                              </w:rPr>
                              <w:t xml:space="preserve">Wilcoxon test </w:t>
                            </w:r>
                          </w:p>
                          <w:p>
                            <w:pPr>
                              <w:pStyle w:val="FrameContents"/>
                              <w:spacing w:lineRule="auto" w:line="240" w:before="0" w:after="0"/>
                              <w:jc w:val="left"/>
                              <w:rPr>
                                <w:color w:val="00000A"/>
                              </w:rPr>
                            </w:pPr>
                            <w:bookmarkStart w:id="3345" w:name="__UnoMark__20004_118561941"/>
                            <w:bookmarkEnd w:id="3345"/>
                            <w:r>
                              <w:rPr>
                                <w:color w:val="00000A"/>
                                <w:sz w:val="18"/>
                                <w:szCs w:val="18"/>
                              </w:rPr>
                              <w:t>LPA_LDS (grupo B) – GA_LDS (grupo C)</w:t>
                            </w:r>
                          </w:p>
                        </w:tc>
                        <w:tc>
                          <w:tcPr>
                            <w:tcW w:w="1270"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color w:val="00000A"/>
                                <w:sz w:val="18"/>
                                <w:szCs w:val="18"/>
                              </w:rPr>
                            </w:pPr>
                            <w:bookmarkStart w:id="3346" w:name="__UnoMark__20005_118561941"/>
                            <w:bookmarkStart w:id="3347" w:name="__UnoMark__20005_118561941"/>
                            <w:bookmarkEnd w:id="3347"/>
                            <w:r>
                              <w:rPr>
                                <w:color w:val="00000A"/>
                                <w:sz w:val="18"/>
                                <w:szCs w:val="18"/>
                              </w:rPr>
                            </w:r>
                          </w:p>
                          <w:p>
                            <w:pPr>
                              <w:pStyle w:val="FrameContents"/>
                              <w:spacing w:lineRule="auto" w:line="240" w:before="0" w:after="0"/>
                              <w:jc w:val="center"/>
                              <w:rPr>
                                <w:color w:val="00000A"/>
                              </w:rPr>
                            </w:pPr>
                            <w:bookmarkStart w:id="3348" w:name="__UnoMark__20006_118561941"/>
                            <w:bookmarkEnd w:id="3348"/>
                            <w:r>
                              <w:rPr>
                                <w:color w:val="00000A"/>
                                <w:sz w:val="18"/>
                                <w:szCs w:val="18"/>
                                <w:lang w:val="en-US"/>
                              </w:rPr>
                              <w:t>0.024</w:t>
                            </w:r>
                          </w:p>
                        </w:tc>
                        <w:tc>
                          <w:tcPr>
                            <w:tcW w:w="2539"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349" w:name="__UnoMark__20008_118561941"/>
                            <w:bookmarkStart w:id="3350" w:name="__UnoMark__20007_118561941"/>
                            <w:bookmarkEnd w:id="3349"/>
                            <w:bookmarkEnd w:id="3350"/>
                            <w:r>
                              <w:rPr>
                                <w:color w:val="00000A"/>
                                <w:sz w:val="18"/>
                                <w:szCs w:val="18"/>
                                <w:lang w:val="en-US"/>
                              </w:rPr>
                              <w:t>Hay diferencias significativas</w:t>
                            </w:r>
                          </w:p>
                        </w:tc>
                      </w:tr>
                      <w:tr>
                        <w:trPr>
                          <w:trHeight w:val="702" w:hRule="atLeast"/>
                          <w:cantSplit w:val="true"/>
                        </w:trPr>
                        <w:tc>
                          <w:tcPr>
                            <w:tcW w:w="355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3351" w:name="__UnoMark__20009_118561941"/>
                            <w:bookmarkEnd w:id="3351"/>
                            <w:r>
                              <w:rPr>
                                <w:i/>
                                <w:color w:val="00000A"/>
                                <w:sz w:val="18"/>
                                <w:szCs w:val="18"/>
                              </w:rPr>
                              <w:t xml:space="preserve">Wilcoxon test </w:t>
                            </w:r>
                          </w:p>
                          <w:p>
                            <w:pPr>
                              <w:pStyle w:val="FrameContents"/>
                              <w:spacing w:lineRule="auto" w:line="240" w:before="0" w:after="0"/>
                              <w:jc w:val="left"/>
                              <w:rPr>
                                <w:color w:val="00000A"/>
                              </w:rPr>
                            </w:pPr>
                            <w:bookmarkStart w:id="3352" w:name="__UnoMark__20010_118561941"/>
                            <w:bookmarkEnd w:id="3352"/>
                            <w:r>
                              <w:rPr>
                                <w:color w:val="00000A"/>
                                <w:sz w:val="18"/>
                                <w:szCs w:val="18"/>
                              </w:rPr>
                              <w:t>GA_LDS (grupo C) – PCA_LDS (grupo D)</w:t>
                            </w:r>
                          </w:p>
                        </w:tc>
                        <w:tc>
                          <w:tcPr>
                            <w:tcW w:w="1270" w:type="dxa"/>
                            <w:tcBorders>
                              <w:top w:val="single" w:sz="2" w:space="0" w:color="00000A"/>
                              <w:bottom w:val="single" w:sz="4" w:space="0" w:color="00000A"/>
                              <w:insideH w:val="single" w:sz="4" w:space="0" w:color="00000A"/>
                            </w:tcBorders>
                            <w:shd w:color="auto" w:fill="FFFF00" w:val="clear"/>
                            <w:vAlign w:val="center"/>
                          </w:tcPr>
                          <w:p>
                            <w:pPr>
                              <w:pStyle w:val="FrameContents"/>
                              <w:spacing w:lineRule="auto" w:line="240" w:before="0" w:after="0"/>
                              <w:jc w:val="center"/>
                              <w:rPr>
                                <w:color w:val="00000A"/>
                                <w:sz w:val="18"/>
                                <w:szCs w:val="18"/>
                              </w:rPr>
                            </w:pPr>
                            <w:bookmarkStart w:id="3353" w:name="__UnoMark__20011_118561941"/>
                            <w:bookmarkStart w:id="3354" w:name="__UnoMark__20011_118561941"/>
                            <w:bookmarkEnd w:id="3354"/>
                            <w:r>
                              <w:rPr>
                                <w:color w:val="00000A"/>
                                <w:sz w:val="18"/>
                                <w:szCs w:val="18"/>
                              </w:rPr>
                            </w:r>
                          </w:p>
                          <w:p>
                            <w:pPr>
                              <w:pStyle w:val="FrameContents"/>
                              <w:spacing w:lineRule="auto" w:line="240" w:before="0" w:after="0"/>
                              <w:jc w:val="center"/>
                              <w:rPr>
                                <w:color w:val="00000A"/>
                              </w:rPr>
                            </w:pPr>
                            <w:bookmarkStart w:id="3355" w:name="__UnoMark__20012_118561941"/>
                            <w:bookmarkEnd w:id="3355"/>
                            <w:r>
                              <w:rPr>
                                <w:color w:val="00000A"/>
                                <w:sz w:val="18"/>
                                <w:szCs w:val="18"/>
                                <w:lang w:val="en-US"/>
                              </w:rPr>
                              <w:t>0.005</w:t>
                            </w:r>
                          </w:p>
                        </w:tc>
                        <w:tc>
                          <w:tcPr>
                            <w:tcW w:w="2539"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356" w:name="__UnoMark__20014_118561941"/>
                            <w:bookmarkStart w:id="3357" w:name="__UnoMark__20013_118561941"/>
                            <w:bookmarkEnd w:id="3356"/>
                            <w:bookmarkEnd w:id="3357"/>
                            <w:r>
                              <w:rPr>
                                <w:color w:val="00000A"/>
                                <w:sz w:val="18"/>
                                <w:szCs w:val="18"/>
                                <w:lang w:val="en-US"/>
                              </w:rPr>
                              <w:t>Hay diferencias significativas</w:t>
                            </w:r>
                          </w:p>
                        </w:tc>
                      </w:tr>
                      <w:tr>
                        <w:trPr>
                          <w:trHeight w:val="702" w:hRule="atLeast"/>
                          <w:cantSplit w:val="true"/>
                        </w:trPr>
                        <w:tc>
                          <w:tcPr>
                            <w:tcW w:w="355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3358" w:name="__UnoMark__20015_118561941"/>
                            <w:bookmarkEnd w:id="3358"/>
                            <w:r>
                              <w:rPr>
                                <w:i/>
                                <w:color w:val="00000A"/>
                                <w:sz w:val="18"/>
                                <w:szCs w:val="18"/>
                                <w:lang w:val="en-US"/>
                              </w:rPr>
                              <w:t>Wilcoxon test</w:t>
                            </w:r>
                            <w:r>
                              <w:rPr>
                                <w:color w:val="00000A"/>
                                <w:sz w:val="18"/>
                                <w:szCs w:val="18"/>
                                <w:lang w:val="en-US"/>
                              </w:rPr>
                              <w:t xml:space="preserve"> (grupo D)</w:t>
                            </w:r>
                          </w:p>
                          <w:p>
                            <w:pPr>
                              <w:pStyle w:val="FrameContents"/>
                              <w:spacing w:lineRule="auto" w:line="240" w:before="0" w:after="0"/>
                              <w:jc w:val="left"/>
                              <w:rPr>
                                <w:color w:val="00000A"/>
                              </w:rPr>
                            </w:pPr>
                            <w:bookmarkStart w:id="3359" w:name="__UnoMark__20016_118561941"/>
                            <w:bookmarkEnd w:id="3359"/>
                            <w:r>
                              <w:rPr>
                                <w:color w:val="00000A"/>
                                <w:sz w:val="18"/>
                                <w:szCs w:val="18"/>
                                <w:lang w:val="en-US"/>
                              </w:rPr>
                              <w:t>PCA_LDS - Apriori_LDS</w:t>
                            </w:r>
                          </w:p>
                        </w:tc>
                        <w:tc>
                          <w:tcPr>
                            <w:tcW w:w="1270" w:type="dxa"/>
                            <w:tcBorders>
                              <w:top w:val="single" w:sz="4" w:space="0" w:color="00000A"/>
                              <w:bottom w:val="single" w:sz="4" w:space="0" w:color="00000A"/>
                              <w:insideH w:val="single" w:sz="4" w:space="0" w:color="00000A"/>
                            </w:tcBorders>
                            <w:shd w:color="auto" w:fill="auto" w:val="clear"/>
                            <w:vAlign w:val="center"/>
                          </w:tcPr>
                          <w:p>
                            <w:pPr>
                              <w:pStyle w:val="FrameContents"/>
                              <w:spacing w:lineRule="auto" w:line="240" w:before="0" w:after="0"/>
                              <w:jc w:val="center"/>
                              <w:rPr>
                                <w:color w:val="00000A"/>
                                <w:sz w:val="18"/>
                                <w:szCs w:val="18"/>
                                <w:lang w:val="en-US"/>
                              </w:rPr>
                            </w:pPr>
                            <w:bookmarkStart w:id="3360" w:name="__UnoMark__20017_118561941"/>
                            <w:bookmarkStart w:id="3361" w:name="__UnoMark__20017_118561941"/>
                            <w:bookmarkEnd w:id="3361"/>
                            <w:r>
                              <w:rPr>
                                <w:color w:val="00000A"/>
                                <w:sz w:val="18"/>
                                <w:szCs w:val="18"/>
                                <w:lang w:val="en-US"/>
                              </w:rPr>
                            </w:r>
                          </w:p>
                          <w:p>
                            <w:pPr>
                              <w:pStyle w:val="FrameContents"/>
                              <w:spacing w:lineRule="auto" w:line="240" w:before="0" w:after="0"/>
                              <w:jc w:val="center"/>
                              <w:rPr>
                                <w:color w:val="00000A"/>
                              </w:rPr>
                            </w:pPr>
                            <w:bookmarkStart w:id="3362" w:name="__UnoMark__20018_118561941"/>
                            <w:bookmarkEnd w:id="3362"/>
                            <w:r>
                              <w:rPr>
                                <w:color w:val="00000A"/>
                                <w:sz w:val="18"/>
                                <w:szCs w:val="18"/>
                                <w:lang w:val="en-US"/>
                              </w:rPr>
                              <w:t>1.000</w:t>
                            </w:r>
                          </w:p>
                        </w:tc>
                        <w:tc>
                          <w:tcPr>
                            <w:tcW w:w="2539"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363" w:name="__UnoMark__20020_118561941"/>
                            <w:bookmarkStart w:id="3364" w:name="__UnoMark__20019_118561941"/>
                            <w:bookmarkEnd w:id="3363"/>
                            <w:bookmarkEnd w:id="3364"/>
                            <w:r>
                              <w:rPr>
                                <w:color w:val="00000A"/>
                                <w:sz w:val="18"/>
                                <w:szCs w:val="18"/>
                                <w:lang w:val="en-US"/>
                              </w:rPr>
                              <w:t>No hay diferencias significativas</w:t>
                            </w:r>
                          </w:p>
                        </w:tc>
                      </w:tr>
                      <w:tr>
                        <w:trPr>
                          <w:trHeight w:val="702" w:hRule="atLeast"/>
                          <w:cantSplit w:val="true"/>
                        </w:trPr>
                        <w:tc>
                          <w:tcPr>
                            <w:tcW w:w="3554"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left"/>
                              <w:rPr>
                                <w:color w:val="00000A"/>
                              </w:rPr>
                            </w:pPr>
                            <w:bookmarkStart w:id="3365" w:name="__UnoMark__20021_118561941"/>
                            <w:bookmarkEnd w:id="3365"/>
                            <w:r>
                              <w:rPr>
                                <w:i/>
                                <w:color w:val="00000A"/>
                                <w:sz w:val="18"/>
                                <w:szCs w:val="18"/>
                              </w:rPr>
                              <w:t xml:space="preserve">Wilcoxon test </w:t>
                            </w:r>
                          </w:p>
                          <w:p>
                            <w:pPr>
                              <w:pStyle w:val="FrameContents"/>
                              <w:spacing w:lineRule="auto" w:line="240" w:before="0" w:after="0"/>
                              <w:jc w:val="left"/>
                              <w:rPr>
                                <w:color w:val="00000A"/>
                              </w:rPr>
                            </w:pPr>
                            <w:bookmarkStart w:id="3366" w:name="__UnoMark__20022_118561941"/>
                            <w:bookmarkEnd w:id="3366"/>
                            <w:r>
                              <w:rPr>
                                <w:color w:val="00000A"/>
                                <w:sz w:val="18"/>
                                <w:szCs w:val="18"/>
                              </w:rPr>
                              <w:t>PCA_LDS (grupo D) – ACO_LDS (grupo E)</w:t>
                            </w:r>
                          </w:p>
                        </w:tc>
                        <w:tc>
                          <w:tcPr>
                            <w:tcW w:w="1270" w:type="dxa"/>
                            <w:tcBorders>
                              <w:top w:val="single" w:sz="4" w:space="0" w:color="00000A"/>
                              <w:bottom w:val="single" w:sz="2" w:space="0" w:color="00000A"/>
                              <w:insideH w:val="single" w:sz="2" w:space="0" w:color="00000A"/>
                            </w:tcBorders>
                            <w:shd w:color="auto" w:fill="FFFF00" w:val="clear"/>
                            <w:vAlign w:val="center"/>
                          </w:tcPr>
                          <w:p>
                            <w:pPr>
                              <w:pStyle w:val="FrameContents"/>
                              <w:spacing w:lineRule="auto" w:line="240" w:before="0" w:after="0"/>
                              <w:jc w:val="center"/>
                              <w:rPr>
                                <w:color w:val="00000A"/>
                                <w:sz w:val="18"/>
                                <w:szCs w:val="18"/>
                              </w:rPr>
                            </w:pPr>
                            <w:bookmarkStart w:id="3367" w:name="__UnoMark__20023_118561941"/>
                            <w:bookmarkStart w:id="3368" w:name="__UnoMark__20023_118561941"/>
                            <w:bookmarkEnd w:id="3368"/>
                            <w:r>
                              <w:rPr>
                                <w:color w:val="00000A"/>
                                <w:sz w:val="18"/>
                                <w:szCs w:val="18"/>
                              </w:rPr>
                            </w:r>
                          </w:p>
                          <w:p>
                            <w:pPr>
                              <w:pStyle w:val="FrameContents"/>
                              <w:spacing w:lineRule="auto" w:line="240" w:before="0" w:after="0"/>
                              <w:jc w:val="center"/>
                              <w:rPr>
                                <w:color w:val="00000A"/>
                              </w:rPr>
                            </w:pPr>
                            <w:bookmarkStart w:id="3369" w:name="__UnoMark__20024_118561941"/>
                            <w:bookmarkEnd w:id="3369"/>
                            <w:r>
                              <w:rPr>
                                <w:color w:val="00000A"/>
                                <w:sz w:val="18"/>
                                <w:szCs w:val="18"/>
                              </w:rPr>
                              <w:t>0.008</w:t>
                            </w:r>
                          </w:p>
                        </w:tc>
                        <w:tc>
                          <w:tcPr>
                            <w:tcW w:w="2539"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0" w:after="0"/>
                              <w:jc w:val="center"/>
                              <w:rPr>
                                <w:color w:val="00000A"/>
                              </w:rPr>
                            </w:pPr>
                            <w:bookmarkStart w:id="3370" w:name="__UnoMark__20025_118561941"/>
                            <w:bookmarkEnd w:id="3370"/>
                            <w:r>
                              <w:rPr>
                                <w:color w:val="00000A"/>
                                <w:sz w:val="18"/>
                                <w:szCs w:val="18"/>
                              </w:rPr>
                              <w:t>Hay diferencias significativas</w:t>
                            </w:r>
                          </w:p>
                        </w:tc>
                      </w:tr>
                    </w:tbl>
                    <w:p>
                      <w:pPr>
                        <w:pStyle w:val="FrameContents"/>
                        <w:spacing w:before="80" w:after="60"/>
                        <w:rPr>
                          <w:color w:val="000000"/>
                        </w:rPr>
                      </w:pPr>
                      <w:r>
                        <w:rPr>
                          <w:color w:val="000000"/>
                        </w:rPr>
                      </w:r>
                    </w:p>
                  </w:txbxContent>
                </v:textbox>
              </v:rect>
            </w:pict>
          </mc:Fallback>
        </mc:AlternateContent>
      </w:r>
    </w:p>
    <w:p>
      <w:pPr>
        <w:pStyle w:val="Normal"/>
        <w:rPr/>
      </w:pPr>
      <w:r>
        <w:rPr>
          <w:lang w:val="en-US"/>
        </w:rPr>
        <w:t xml:space="preserve">Respecto a este indicador, los algoritmos quedan ubicados en el siguiente orden: </w:t>
      </w:r>
      <w:r>
        <w:rPr>
          <w:rFonts w:cs="Courier New" w:ascii="Courier New" w:hAnsi="Courier New"/>
        </w:rPr>
        <w:t>RST_LDS</w:t>
      </w:r>
      <w:r>
        <w:rPr>
          <w:lang w:val="en-US"/>
        </w:rPr>
        <w:t xml:space="preserve">, </w:t>
      </w:r>
      <w:r>
        <w:rPr>
          <w:rFonts w:cs="Courier New" w:ascii="Courier New" w:hAnsi="Courier New"/>
        </w:rPr>
        <w:t>LPA_LDS</w:t>
      </w:r>
      <w:r>
        <w:rPr>
          <w:lang w:val="en-US"/>
        </w:rPr>
        <w:t xml:space="preserve">, </w:t>
      </w:r>
      <w:r>
        <w:rPr>
          <w:rFonts w:cs="Courier New" w:ascii="Courier New" w:hAnsi="Courier New"/>
        </w:rPr>
        <w:t>GA_LDS</w:t>
      </w:r>
      <w:r>
        <w:rPr>
          <w:lang w:val="en-US"/>
        </w:rPr>
        <w:t xml:space="preserve">, </w:t>
      </w:r>
      <w:r>
        <w:rPr>
          <w:rFonts w:cs="Courier New" w:ascii="Courier New" w:hAnsi="Courier New"/>
        </w:rPr>
        <w:t>PCA_LDS</w:t>
      </w:r>
      <w:r>
        <w:rPr>
          <w:lang w:val="en-US"/>
        </w:rPr>
        <w:t xml:space="preserve">, </w:t>
      </w:r>
      <w:r>
        <w:rPr>
          <w:rFonts w:cs="Courier New" w:ascii="Courier New" w:hAnsi="Courier New"/>
        </w:rPr>
        <w:t>Apriori_LDS</w:t>
      </w:r>
      <w:r>
        <w:rPr>
          <w:lang w:val="en-US"/>
        </w:rPr>
        <w:t xml:space="preserve"> y </w:t>
      </w:r>
      <w:r>
        <w:rPr>
          <w:rFonts w:cs="Courier New" w:ascii="Courier New" w:hAnsi="Courier New"/>
        </w:rPr>
        <w:t>ACO_LDS</w:t>
      </w:r>
      <w:r>
        <w:rPr/>
        <w:t xml:space="preserve">. </w:t>
      </w:r>
      <w:r>
        <w:rPr>
          <w:lang w:val="en-US"/>
        </w:rPr>
        <w:t xml:space="preserve">En el análisis se identifica que los resultados no cumplen con una distribución normal. Por tanto, en la comparación de los algoritmos, se aplicaron pruebas no paramétricas y se demuestra que existen diferencias significativas entre ellos, donde el algoritmo </w:t>
      </w:r>
      <w:r>
        <w:rPr>
          <w:rFonts w:cs="Courier New" w:ascii="Courier New" w:hAnsi="Courier New"/>
        </w:rPr>
        <w:t>RST_LDS</w:t>
      </w:r>
      <w:r>
        <w:rPr>
          <w:lang w:val="en-US"/>
        </w:rPr>
        <w:t xml:space="preserve"> está ubicado en el “grupo A” reportando mejores resultados, seguido por el </w:t>
      </w:r>
      <w:r>
        <w:rPr>
          <w:rFonts w:cs="Courier New" w:ascii="Courier New" w:hAnsi="Courier New"/>
        </w:rPr>
        <w:t>LPA_LDS</w:t>
      </w:r>
      <w:r>
        <w:rPr>
          <w:lang w:val="en-US"/>
        </w:rPr>
        <w:t xml:space="preserve"> en el “grupo B” y </w:t>
      </w:r>
      <w:r>
        <w:rPr>
          <w:rFonts w:cs="Courier New" w:ascii="Courier New" w:hAnsi="Courier New"/>
        </w:rPr>
        <w:t>GA_LDS</w:t>
      </w:r>
      <w:r>
        <w:rPr>
          <w:lang w:val="en-US"/>
        </w:rPr>
        <w:t xml:space="preserve"> en el “grupo C”. En el “grupo D” y sin diferencias significativas entre ellos están </w:t>
      </w:r>
      <w:r>
        <w:rPr>
          <w:rFonts w:cs="Courier New" w:ascii="Courier New" w:hAnsi="Courier New"/>
        </w:rPr>
        <w:t>PCA_LDS</w:t>
      </w:r>
      <w:r>
        <w:rPr>
          <w:lang w:val="en-US"/>
        </w:rPr>
        <w:t xml:space="preserve"> y </w:t>
      </w:r>
      <w:r>
        <w:rPr>
          <w:rFonts w:cs="Courier New" w:ascii="Courier New" w:hAnsi="Courier New"/>
        </w:rPr>
        <w:t>Apriori_LDS</w:t>
      </w:r>
      <w:r>
        <w:rPr/>
        <w:t xml:space="preserve">. </w:t>
      </w:r>
      <w:r>
        <w:rPr>
          <w:lang w:val="en-US"/>
        </w:rPr>
        <w:t xml:space="preserve">El algoritmo </w:t>
      </w:r>
      <w:r>
        <w:rPr>
          <w:rFonts w:cs="Courier New" w:ascii="Courier New" w:hAnsi="Courier New"/>
        </w:rPr>
        <w:t>ACO_LDS</w:t>
      </w:r>
      <w:r>
        <w:rPr>
          <w:lang w:val="en-US"/>
        </w:rPr>
        <w:t xml:space="preserve"> está ubicado en el “grupo E” reportando los peores resultados. </w:t>
      </w:r>
    </w:p>
    <w:p>
      <w:pPr>
        <w:pStyle w:val="Heading2"/>
        <w:numPr>
          <w:ilvl w:val="1"/>
          <w:numId w:val="80"/>
        </w:numPr>
        <w:rPr/>
      </w:pPr>
      <w:bookmarkStart w:id="3371" w:name="_Toc84598945"/>
      <w:r>
        <w:rPr/>
        <w:t xml:space="preserve">Conjunto de pruebas 3: validación de la variable independiente en la </w:t>
      </w:r>
      <w:bookmarkEnd w:id="3371"/>
      <w:r>
        <w:rPr>
          <w:lang w:val="en-US"/>
        </w:rPr>
        <w:t>dimensión “Eficiencia de los algoritmos”.</w:t>
      </w:r>
    </w:p>
    <w:p>
      <w:pPr>
        <w:pStyle w:val="Normal"/>
        <w:rPr>
          <w:lang w:val="en-US"/>
        </w:rPr>
      </w:pPr>
      <w:bookmarkStart w:id="3372" w:name="_Hlk80964754"/>
      <w:bookmarkEnd w:id="3372"/>
      <w:r>
        <w:rPr>
          <w:lang w:val="en-US"/>
        </w:rPr>
        <w:t xml:space="preserve">En las corridas de experimentación, todos los algoritmos se ejecutaron en la misma computadora, con las siguientes características: I5, 4 núcleos y 8 GB RAM; de esta forma se evitan posibles sesgos en la medición por el uso de diferentes tecnologías. </w:t>
      </w:r>
    </w:p>
    <w:p>
      <w:pPr>
        <w:pStyle w:val="Normal"/>
        <w:rPr/>
      </w:pPr>
      <w:r>
        <w:rPr/>
        <w:t>Respecto al indicador tiempo de ejecución,</w:t>
      </w:r>
      <w:r>
        <w:rPr>
          <w:lang w:val="en-US"/>
        </w:rPr>
        <w:t xml:space="preserve"> los algoritmos quedan ubicados en el siguiente orden: </w:t>
      </w:r>
      <w:r>
        <w:rPr>
          <w:rFonts w:cs="Courier New" w:ascii="Courier New" w:hAnsi="Courier New"/>
        </w:rPr>
        <w:t>RST_LDS</w:t>
      </w:r>
      <w:r>
        <w:rPr>
          <w:lang w:val="en-US"/>
        </w:rPr>
        <w:t xml:space="preserve">, </w:t>
      </w:r>
      <w:r>
        <w:rPr>
          <w:rFonts w:cs="Courier New" w:ascii="Courier New" w:hAnsi="Courier New"/>
        </w:rPr>
        <w:t>PCA_LDS</w:t>
      </w:r>
      <w:r>
        <w:rPr>
          <w:lang w:val="en-US"/>
        </w:rPr>
        <w:t xml:space="preserve">, </w:t>
      </w:r>
      <w:r>
        <w:rPr>
          <w:rFonts w:cs="Courier New" w:ascii="Courier New" w:hAnsi="Courier New"/>
        </w:rPr>
        <w:t>Apriori_LDS</w:t>
      </w:r>
      <w:r>
        <w:rPr>
          <w:lang w:val="en-US"/>
        </w:rPr>
        <w:t xml:space="preserve">, </w:t>
      </w:r>
      <w:r>
        <w:rPr>
          <w:rFonts w:cs="Courier New" w:ascii="Courier New" w:hAnsi="Courier New"/>
        </w:rPr>
        <w:t>LPA_LDS</w:t>
      </w:r>
      <w:r>
        <w:rPr>
          <w:lang w:val="en-US"/>
        </w:rPr>
        <w:t xml:space="preserve">, </w:t>
      </w:r>
      <w:r>
        <w:rPr>
          <w:rFonts w:cs="Courier New" w:ascii="Courier New" w:hAnsi="Courier New"/>
        </w:rPr>
        <w:t>GA_LDS</w:t>
      </w:r>
      <w:r>
        <w:rPr>
          <w:lang w:val="en-US"/>
        </w:rPr>
        <w:t xml:space="preserve"> y </w:t>
      </w:r>
      <w:r>
        <w:rPr>
          <w:rFonts w:cs="Courier New" w:ascii="Courier New" w:hAnsi="Courier New"/>
        </w:rPr>
        <w:t>ACO_LDS</w:t>
      </w:r>
      <w:r>
        <w:rPr>
          <w:lang w:val="en-US"/>
        </w:rPr>
        <w:t xml:space="preserve">. Los datos de estas corridas se muestran en la </w:t>
      </w:r>
      <w:r>
        <w:rPr>
          <w:lang w:val="en-US"/>
        </w:rPr>
        <w:fldChar w:fldCharType="begin"/>
      </w:r>
      <w:r>
        <w:instrText> REF _Ref68937399 \h </w:instrText>
      </w:r>
      <w:r>
        <w:fldChar w:fldCharType="separate"/>
      </w:r>
      <w:r>
        <w:t>Tabla 33</w:t>
      </w:r>
      <w:r>
        <w:fldChar w:fldCharType="end"/>
      </w:r>
      <w:r>
        <w:rPr>
          <w:lang w:val="en-US"/>
        </w:rPr>
        <w:t xml:space="preserve"> del </w:t>
      </w:r>
      <w:r>
        <w:rPr>
          <w:lang w:val="en-US"/>
        </w:rPr>
        <w:fldChar w:fldCharType="begin"/>
      </w:r>
      <w:r>
        <w:instrText> REF _Ref79479501 \h </w:instrText>
      </w:r>
      <w:r>
        <w:fldChar w:fldCharType="separate"/>
      </w:r>
      <w:r>
        <w:t>Anexo 13</w:t>
      </w:r>
      <w:r>
        <w:fldChar w:fldCharType="end"/>
      </w:r>
      <w:r>
        <w:rPr>
          <w:lang w:val="en-US"/>
        </w:rPr>
        <w:t>.</w:t>
      </w:r>
    </w:p>
    <w:p>
      <w:pPr>
        <w:pStyle w:val="Normal"/>
        <w:rPr/>
      </w:pPr>
      <w:r>
        <w:rPr>
          <w:lang w:val="en-US"/>
        </w:rPr>
        <w:t xml:space="preserve">En el análisis se identifica que los resultados no cumplen con una distribución normal, ver </w:t>
      </w:r>
      <w:r>
        <w:rPr>
          <w:lang w:val="en-US"/>
        </w:rPr>
        <w:fldChar w:fldCharType="begin"/>
      </w:r>
      <w:r>
        <w:instrText> REF _Ref66210159 \h </w:instrText>
      </w:r>
      <w:r>
        <w:fldChar w:fldCharType="separate"/>
      </w:r>
      <w:r>
        <w:t>Tabla 20</w:t>
      </w:r>
      <w:r>
        <w:fldChar w:fldCharType="end"/>
      </w:r>
      <w:r>
        <w:rPr>
          <w:lang w:val="en-US"/>
        </w:rPr>
        <w:t xml:space="preserve">. </w:t>
      </w:r>
    </w:p>
    <w:p>
      <w:pPr>
        <w:pStyle w:val="TablaFigura"/>
        <w:numPr>
          <w:ilvl w:val="0"/>
          <w:numId w:val="2"/>
        </w:numPr>
        <w:ind w:left="431" w:hanging="431"/>
        <w:rPr/>
      </w:pPr>
      <w:bookmarkStart w:id="3373" w:name="_Toc84598990"/>
      <w:bookmarkStart w:id="3374" w:name="_Ref66210159"/>
      <w:r>
        <w:rPr/>
        <w:t xml:space="preserve">Tabla </w:t>
      </w:r>
      <w:r>
        <w:rPr/>
        <w:fldChar w:fldCharType="begin"/>
      </w:r>
      <w:r>
        <w:instrText> SEQ Tabla \* ARABIC </w:instrText>
      </w:r>
      <w:r>
        <w:fldChar w:fldCharType="separate"/>
      </w:r>
      <w:r>
        <w:t>20</w:t>
      </w:r>
      <w:r>
        <w:fldChar w:fldCharType="end"/>
      </w:r>
      <w:bookmarkEnd w:id="3373"/>
      <w:bookmarkEnd w:id="3374"/>
      <w:r>
        <w:rPr/>
        <w:t>: Comparación de los algoritmos respecto al tiempo de ejecución.</w:t>
      </w:r>
    </w:p>
    <w:p>
      <w:pPr>
        <w:pStyle w:val="Normal"/>
        <w:rPr>
          <w:i/>
          <w:i/>
          <w:lang w:val="en-US"/>
        </w:rPr>
      </w:pPr>
      <w:r>
        <w:rPr>
          <w:i/>
          <w:lang w:val="en-US"/>
        </w:rPr>
        <mc:AlternateContent>
          <mc:Choice Requires="wps">
            <w:drawing>
              <wp:anchor behindDoc="0" distT="0" distB="0" distL="114300" distR="114300" simplePos="0" locked="0" layoutInCell="1" allowOverlap="1" relativeHeight="57">
                <wp:simplePos x="0" y="0"/>
                <wp:positionH relativeFrom="margin">
                  <wp:align>center</wp:align>
                </wp:positionH>
                <wp:positionV relativeFrom="paragraph">
                  <wp:posOffset>35560</wp:posOffset>
                </wp:positionV>
                <wp:extent cx="2105660" cy="3667760"/>
                <wp:effectExtent l="0" t="0" r="0" b="0"/>
                <wp:wrapSquare wrapText="bothSides"/>
                <wp:docPr id="110" name="Frame40"/>
                <a:graphic xmlns:a="http://schemas.openxmlformats.org/drawingml/2006/main">
                  <a:graphicData uri="http://schemas.microsoft.com/office/word/2010/wordprocessingShape">
                    <wps:wsp>
                      <wps:cNvSpPr/>
                      <wps:spPr>
                        <a:xfrm>
                          <a:off x="0" y="0"/>
                          <a:ext cx="2104920" cy="3666960"/>
                        </a:xfrm>
                        <a:prstGeom prst="rect">
                          <a:avLst/>
                        </a:prstGeom>
                        <a:noFill/>
                        <a:ln>
                          <a:noFill/>
                        </a:ln>
                      </wps:spPr>
                      <wps:style>
                        <a:lnRef idx="0"/>
                        <a:fillRef idx="0"/>
                        <a:effectRef idx="0"/>
                        <a:fontRef idx="minor"/>
                      </wps:style>
                      <wps:txbx>
                        <w:txbxContent>
                          <w:tbl>
                            <w:tblPr>
                              <w:tblW w:w="3313" w:type="dxa"/>
                              <w:jc w:val="center"/>
                              <w:tblInd w:w="0" w:type="dxa"/>
                              <w:tblBorders/>
                              <w:tblCellMar>
                                <w:top w:w="0" w:type="dxa"/>
                                <w:left w:w="0" w:type="dxa"/>
                                <w:bottom w:w="0" w:type="dxa"/>
                                <w:right w:w="0" w:type="dxa"/>
                              </w:tblCellMar>
                              <w:tblLook w:val="0000" w:noVBand="0" w:noHBand="0" w:lastColumn="0" w:firstColumn="0" w:lastRow="0" w:firstRow="0"/>
                            </w:tblPr>
                            <w:tblGrid>
                              <w:gridCol w:w="999"/>
                              <w:gridCol w:w="521"/>
                              <w:gridCol w:w="621"/>
                              <w:gridCol w:w="499"/>
                              <w:gridCol w:w="673"/>
                            </w:tblGrid>
                            <w:tr>
                              <w:trPr>
                                <w:trHeight w:val="3832" w:hRule="atLeast"/>
                              </w:trPr>
                              <w:tc>
                                <w:tcPr>
                                  <w:tcW w:w="999" w:type="dxa"/>
                                  <w:tcBorders/>
                                  <w:shd w:color="auto" w:fill="auto" w:val="clear"/>
                                  <w:vAlign w:val="center"/>
                                </w:tcPr>
                                <w:p>
                                  <w:pPr>
                                    <w:pStyle w:val="FrameContents"/>
                                    <w:spacing w:lineRule="auto" w:line="240" w:before="0" w:after="60"/>
                                    <w:jc w:val="center"/>
                                    <w:rPr/>
                                  </w:pPr>
                                  <w:bookmarkStart w:id="3375" w:name="__UnoMark__20207_118561941"/>
                                  <w:bookmarkEnd w:id="3375"/>
                                  <w:r>
                                    <w:rPr>
                                      <w:color w:val="00000A"/>
                                      <w:sz w:val="18"/>
                                      <w:szCs w:val="18"/>
                                    </w:rPr>
                                    <w:t>Algoritmos</w:t>
                                  </w:r>
                                </w:p>
                              </w:tc>
                              <w:tc>
                                <w:tcPr>
                                  <w:tcW w:w="1142" w:type="dxa"/>
                                  <w:gridSpan w:val="2"/>
                                  <w:tcBorders/>
                                  <w:shd w:color="auto" w:fill="auto" w:val="clear"/>
                                </w:tcPr>
                                <w:p>
                                  <w:pPr>
                                    <w:pStyle w:val="FrameContents"/>
                                    <w:spacing w:lineRule="auto" w:line="240" w:before="0" w:after="60"/>
                                    <w:ind w:left="60" w:right="60" w:hanging="0"/>
                                    <w:jc w:val="center"/>
                                    <w:rPr/>
                                  </w:pPr>
                                  <w:bookmarkStart w:id="3376" w:name="__UnoMark__20208_118561941"/>
                                  <w:bookmarkEnd w:id="3376"/>
                                  <w:r>
                                    <w:rPr>
                                      <w:color w:val="00000A"/>
                                      <w:sz w:val="18"/>
                                      <w:szCs w:val="18"/>
                                    </w:rPr>
                                    <w:t>Kolmogorov-Smirnov</w:t>
                                  </w:r>
                                  <w:r>
                                    <w:rPr>
                                      <w:color w:val="00000A"/>
                                      <w:sz w:val="18"/>
                                      <w:szCs w:val="18"/>
                                      <w:vertAlign w:val="superscript"/>
                                    </w:rPr>
                                    <w:t>a</w:t>
                                  </w:r>
                                  <w:bookmarkStart w:id="3377" w:name="__UnoMark__20209_118561941"/>
                                  <w:bookmarkEnd w:id="3377"/>
                                  <w:r>
                                    <w:rPr>
                                      <w:color w:val="00000A"/>
                                      <w:sz w:val="18"/>
                                      <w:szCs w:val="18"/>
                                    </w:rPr>
                                    <w:t xml:space="preserve"> Sig.</w:t>
                                  </w:r>
                                </w:p>
                              </w:tc>
                              <w:tc>
                                <w:tcPr>
                                  <w:tcW w:w="1172" w:type="dxa"/>
                                  <w:gridSpan w:val="2"/>
                                  <w:tcBorders/>
                                  <w:shd w:color="auto" w:fill="auto" w:val="clear"/>
                                </w:tcPr>
                                <w:p>
                                  <w:pPr>
                                    <w:pStyle w:val="FrameContents"/>
                                    <w:spacing w:lineRule="auto" w:line="240" w:before="0" w:after="60"/>
                                    <w:ind w:left="60" w:right="60" w:hanging="0"/>
                                    <w:jc w:val="center"/>
                                    <w:rPr/>
                                  </w:pPr>
                                  <w:bookmarkStart w:id="3378" w:name="__UnoMark__20211_118561941"/>
                                  <w:bookmarkStart w:id="3379" w:name="__UnoMark__20210_118561941"/>
                                  <w:bookmarkEnd w:id="3378"/>
                                  <w:bookmarkEnd w:id="3379"/>
                                  <w:r>
                                    <w:rPr>
                                      <w:color w:val="00000A"/>
                                      <w:sz w:val="18"/>
                                      <w:szCs w:val="18"/>
                                    </w:rPr>
                                    <w:t>Shapiro-Wilk Sig.</w:t>
                                  </w:r>
                                </w:p>
                              </w:tc>
                            </w:tr>
                            <w:tr>
                              <w:trPr>
                                <w:cantSplit w:val="true"/>
                              </w:trPr>
                              <w:tc>
                                <w:tcPr>
                                  <w:tcW w:w="1520" w:type="dxa"/>
                                  <w:gridSpan w:val="2"/>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3380" w:name="__UnoMark__20213_118561941"/>
                                  <w:bookmarkStart w:id="3381" w:name="__UnoMark__20212_118561941"/>
                                  <w:bookmarkEnd w:id="3380"/>
                                  <w:bookmarkEnd w:id="3381"/>
                                  <w:r>
                                    <w:rPr>
                                      <w:color w:val="00000A"/>
                                      <w:sz w:val="18"/>
                                      <w:szCs w:val="18"/>
                                    </w:rPr>
                                    <w:t>RST_LDS</w:t>
                                  </w:r>
                                </w:p>
                              </w:tc>
                              <w:tc>
                                <w:tcPr>
                                  <w:tcW w:w="1120" w:type="dxa"/>
                                  <w:gridSpan w:val="2"/>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3382" w:name="__UnoMark__20215_118561941"/>
                                  <w:bookmarkStart w:id="3383" w:name="__UnoMark__20214_118561941"/>
                                  <w:bookmarkEnd w:id="3382"/>
                                  <w:bookmarkEnd w:id="3383"/>
                                  <w:r>
                                    <w:rPr>
                                      <w:color w:val="00000A"/>
                                      <w:sz w:val="18"/>
                                      <w:szCs w:val="18"/>
                                    </w:rPr>
                                    <w:t>.017</w:t>
                                  </w:r>
                                </w:p>
                              </w:tc>
                              <w:tc>
                                <w:tcPr>
                                  <w:tcW w:w="673"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3384" w:name="__UnoMark__20217_118561941"/>
                                  <w:bookmarkStart w:id="3385" w:name="__UnoMark__20216_118561941"/>
                                  <w:bookmarkEnd w:id="3384"/>
                                  <w:bookmarkEnd w:id="3385"/>
                                  <w:r>
                                    <w:rPr>
                                      <w:color w:val="00000A"/>
                                      <w:sz w:val="18"/>
                                      <w:szCs w:val="18"/>
                                    </w:rPr>
                                    <w:t>.000</w:t>
                                  </w:r>
                                </w:p>
                              </w:tc>
                            </w:tr>
                            <w:tr>
                              <w:trPr>
                                <w:cantSplit w:val="true"/>
                              </w:trPr>
                              <w:tc>
                                <w:tcPr>
                                  <w:tcW w:w="1520" w:type="dxa"/>
                                  <w:gridSpan w:val="2"/>
                                  <w:tcBorders>
                                    <w:top w:val="single" w:sz="2" w:space="0" w:color="00000A"/>
                                  </w:tcBorders>
                                  <w:shd w:color="auto" w:fill="auto" w:val="clear"/>
                                </w:tcPr>
                                <w:p>
                                  <w:pPr>
                                    <w:pStyle w:val="FrameContents"/>
                                    <w:spacing w:lineRule="auto" w:line="240" w:before="0" w:after="60"/>
                                    <w:ind w:left="60" w:right="60" w:hanging="0"/>
                                    <w:jc w:val="center"/>
                                    <w:rPr/>
                                  </w:pPr>
                                  <w:bookmarkStart w:id="3386" w:name="__UnoMark__20219_118561941"/>
                                  <w:bookmarkStart w:id="3387" w:name="__UnoMark__20218_118561941"/>
                                  <w:bookmarkEnd w:id="3386"/>
                                  <w:bookmarkEnd w:id="3387"/>
                                  <w:r>
                                    <w:rPr>
                                      <w:color w:val="00000A"/>
                                      <w:sz w:val="18"/>
                                      <w:szCs w:val="18"/>
                                    </w:rPr>
                                    <w:t>LPA_LDS</w:t>
                                  </w:r>
                                </w:p>
                              </w:tc>
                              <w:tc>
                                <w:tcPr>
                                  <w:tcW w:w="1120" w:type="dxa"/>
                                  <w:gridSpan w:val="2"/>
                                  <w:tcBorders>
                                    <w:top w:val="single" w:sz="2" w:space="0" w:color="00000A"/>
                                  </w:tcBorders>
                                  <w:shd w:color="auto" w:fill="FFFFFF" w:val="clear"/>
                                </w:tcPr>
                                <w:p>
                                  <w:pPr>
                                    <w:pStyle w:val="FrameContents"/>
                                    <w:spacing w:lineRule="auto" w:line="240" w:before="0" w:after="60"/>
                                    <w:ind w:left="60" w:right="60" w:hanging="0"/>
                                    <w:jc w:val="center"/>
                                    <w:rPr/>
                                  </w:pPr>
                                  <w:bookmarkStart w:id="3388" w:name="__UnoMark__20221_118561941"/>
                                  <w:bookmarkStart w:id="3389" w:name="__UnoMark__20220_118561941"/>
                                  <w:bookmarkEnd w:id="3388"/>
                                  <w:bookmarkEnd w:id="3389"/>
                                  <w:r>
                                    <w:rPr>
                                      <w:color w:val="00000A"/>
                                      <w:sz w:val="18"/>
                                      <w:szCs w:val="18"/>
                                    </w:rPr>
                                    <w:t>.000</w:t>
                                  </w:r>
                                </w:p>
                              </w:tc>
                              <w:tc>
                                <w:tcPr>
                                  <w:tcW w:w="673" w:type="dxa"/>
                                  <w:tcBorders>
                                    <w:top w:val="single" w:sz="2" w:space="0" w:color="00000A"/>
                                  </w:tcBorders>
                                  <w:shd w:color="auto" w:fill="FFFFFF" w:val="clear"/>
                                </w:tcPr>
                                <w:p>
                                  <w:pPr>
                                    <w:pStyle w:val="FrameContents"/>
                                    <w:spacing w:lineRule="auto" w:line="240" w:before="0" w:after="60"/>
                                    <w:ind w:left="60" w:right="60" w:hanging="0"/>
                                    <w:jc w:val="center"/>
                                    <w:rPr/>
                                  </w:pPr>
                                  <w:bookmarkStart w:id="3390" w:name="__UnoMark__20223_118561941"/>
                                  <w:bookmarkStart w:id="3391" w:name="__UnoMark__20222_118561941"/>
                                  <w:bookmarkEnd w:id="3390"/>
                                  <w:bookmarkEnd w:id="3391"/>
                                  <w:r>
                                    <w:rPr>
                                      <w:color w:val="00000A"/>
                                      <w:sz w:val="18"/>
                                      <w:szCs w:val="18"/>
                                    </w:rPr>
                                    <w:t>.000</w:t>
                                  </w:r>
                                </w:p>
                              </w:tc>
                            </w:tr>
                            <w:tr>
                              <w:trPr>
                                <w:cantSplit w:val="true"/>
                              </w:trPr>
                              <w:tc>
                                <w:tcPr>
                                  <w:tcW w:w="1520" w:type="dxa"/>
                                  <w:gridSpan w:val="2"/>
                                  <w:tcBorders/>
                                  <w:shd w:color="auto" w:fill="auto" w:val="clear"/>
                                </w:tcPr>
                                <w:p>
                                  <w:pPr>
                                    <w:pStyle w:val="FrameContents"/>
                                    <w:spacing w:lineRule="auto" w:line="240" w:before="0" w:after="60"/>
                                    <w:ind w:left="60" w:right="60" w:hanging="0"/>
                                    <w:jc w:val="center"/>
                                    <w:rPr/>
                                  </w:pPr>
                                  <w:bookmarkStart w:id="3392" w:name="__UnoMark__20225_118561941"/>
                                  <w:bookmarkStart w:id="3393" w:name="__UnoMark__20224_118561941"/>
                                  <w:bookmarkEnd w:id="3392"/>
                                  <w:bookmarkEnd w:id="3393"/>
                                  <w:r>
                                    <w:rPr>
                                      <w:color w:val="00000A"/>
                                      <w:sz w:val="18"/>
                                      <w:szCs w:val="18"/>
                                    </w:rPr>
                                    <w:t>Apriori_LDS</w:t>
                                  </w:r>
                                </w:p>
                              </w:tc>
                              <w:tc>
                                <w:tcPr>
                                  <w:tcW w:w="1120" w:type="dxa"/>
                                  <w:gridSpan w:val="2"/>
                                  <w:tcBorders/>
                                  <w:shd w:color="auto" w:fill="FFFFFF" w:val="clear"/>
                                </w:tcPr>
                                <w:p>
                                  <w:pPr>
                                    <w:pStyle w:val="FrameContents"/>
                                    <w:spacing w:lineRule="auto" w:line="240" w:before="0" w:after="60"/>
                                    <w:ind w:left="60" w:right="60" w:hanging="0"/>
                                    <w:jc w:val="center"/>
                                    <w:rPr/>
                                  </w:pPr>
                                  <w:bookmarkStart w:id="3394" w:name="__UnoMark__20227_118561941"/>
                                  <w:bookmarkStart w:id="3395" w:name="__UnoMark__20226_118561941"/>
                                  <w:bookmarkEnd w:id="3394"/>
                                  <w:bookmarkEnd w:id="3395"/>
                                  <w:r>
                                    <w:rPr>
                                      <w:color w:val="00000A"/>
                                      <w:sz w:val="18"/>
                                      <w:szCs w:val="18"/>
                                    </w:rPr>
                                    <w:t>.044</w:t>
                                  </w:r>
                                </w:p>
                              </w:tc>
                              <w:tc>
                                <w:tcPr>
                                  <w:tcW w:w="673" w:type="dxa"/>
                                  <w:tcBorders/>
                                  <w:shd w:color="auto" w:fill="FFFFFF" w:val="clear"/>
                                </w:tcPr>
                                <w:p>
                                  <w:pPr>
                                    <w:pStyle w:val="FrameContents"/>
                                    <w:spacing w:lineRule="auto" w:line="240" w:before="0" w:after="60"/>
                                    <w:ind w:left="60" w:right="60" w:hanging="0"/>
                                    <w:jc w:val="center"/>
                                    <w:rPr/>
                                  </w:pPr>
                                  <w:bookmarkStart w:id="3396" w:name="__UnoMark__20229_118561941"/>
                                  <w:bookmarkStart w:id="3397" w:name="__UnoMark__20228_118561941"/>
                                  <w:bookmarkEnd w:id="3396"/>
                                  <w:bookmarkEnd w:id="3397"/>
                                  <w:r>
                                    <w:rPr>
                                      <w:color w:val="00000A"/>
                                      <w:sz w:val="18"/>
                                      <w:szCs w:val="18"/>
                                    </w:rPr>
                                    <w:t>.002</w:t>
                                  </w:r>
                                </w:p>
                              </w:tc>
                            </w:tr>
                            <w:tr>
                              <w:trPr>
                                <w:cantSplit w:val="true"/>
                              </w:trPr>
                              <w:tc>
                                <w:tcPr>
                                  <w:tcW w:w="1520" w:type="dxa"/>
                                  <w:gridSpan w:val="2"/>
                                  <w:tcBorders/>
                                  <w:shd w:color="auto" w:fill="auto" w:val="clear"/>
                                </w:tcPr>
                                <w:p>
                                  <w:pPr>
                                    <w:pStyle w:val="FrameContents"/>
                                    <w:spacing w:lineRule="auto" w:line="240" w:before="0" w:after="60"/>
                                    <w:ind w:left="60" w:right="60" w:hanging="0"/>
                                    <w:jc w:val="center"/>
                                    <w:rPr/>
                                  </w:pPr>
                                  <w:bookmarkStart w:id="3398" w:name="__UnoMark__20231_118561941"/>
                                  <w:bookmarkStart w:id="3399" w:name="__UnoMark__20230_118561941"/>
                                  <w:bookmarkEnd w:id="3398"/>
                                  <w:bookmarkEnd w:id="3399"/>
                                  <w:r>
                                    <w:rPr>
                                      <w:color w:val="00000A"/>
                                      <w:sz w:val="18"/>
                                      <w:szCs w:val="18"/>
                                    </w:rPr>
                                    <w:t>ACO_LDS</w:t>
                                  </w:r>
                                </w:p>
                              </w:tc>
                              <w:tc>
                                <w:tcPr>
                                  <w:tcW w:w="1120" w:type="dxa"/>
                                  <w:gridSpan w:val="2"/>
                                  <w:tcBorders/>
                                  <w:shd w:color="auto" w:fill="FFFFFF" w:val="clear"/>
                                </w:tcPr>
                                <w:p>
                                  <w:pPr>
                                    <w:pStyle w:val="FrameContents"/>
                                    <w:spacing w:lineRule="auto" w:line="240" w:before="0" w:after="60"/>
                                    <w:ind w:left="60" w:right="60" w:hanging="0"/>
                                    <w:jc w:val="center"/>
                                    <w:rPr/>
                                  </w:pPr>
                                  <w:bookmarkStart w:id="3400" w:name="__UnoMark__20233_118561941"/>
                                  <w:bookmarkStart w:id="3401" w:name="__UnoMark__20232_118561941"/>
                                  <w:bookmarkEnd w:id="3400"/>
                                  <w:bookmarkEnd w:id="3401"/>
                                  <w:r>
                                    <w:rPr>
                                      <w:color w:val="00000A"/>
                                      <w:sz w:val="18"/>
                                      <w:szCs w:val="18"/>
                                    </w:rPr>
                                    <w:t>.006</w:t>
                                  </w:r>
                                </w:p>
                              </w:tc>
                              <w:tc>
                                <w:tcPr>
                                  <w:tcW w:w="673" w:type="dxa"/>
                                  <w:tcBorders/>
                                  <w:shd w:color="auto" w:fill="FFFFFF" w:val="clear"/>
                                </w:tcPr>
                                <w:p>
                                  <w:pPr>
                                    <w:pStyle w:val="FrameContents"/>
                                    <w:spacing w:lineRule="auto" w:line="240" w:before="0" w:after="60"/>
                                    <w:ind w:left="60" w:right="60" w:hanging="0"/>
                                    <w:jc w:val="center"/>
                                    <w:rPr/>
                                  </w:pPr>
                                  <w:bookmarkStart w:id="3402" w:name="__UnoMark__20235_118561941"/>
                                  <w:bookmarkStart w:id="3403" w:name="__UnoMark__20234_118561941"/>
                                  <w:bookmarkEnd w:id="3402"/>
                                  <w:bookmarkEnd w:id="3403"/>
                                  <w:r>
                                    <w:rPr>
                                      <w:color w:val="00000A"/>
                                      <w:sz w:val="18"/>
                                      <w:szCs w:val="18"/>
                                    </w:rPr>
                                    <w:t>.003</w:t>
                                  </w:r>
                                </w:p>
                              </w:tc>
                            </w:tr>
                            <w:tr>
                              <w:trPr>
                                <w:cantSplit w:val="true"/>
                              </w:trPr>
                              <w:tc>
                                <w:tcPr>
                                  <w:tcW w:w="1520" w:type="dxa"/>
                                  <w:gridSpan w:val="2"/>
                                  <w:tcBorders/>
                                  <w:shd w:color="auto" w:fill="auto" w:val="clear"/>
                                </w:tcPr>
                                <w:p>
                                  <w:pPr>
                                    <w:pStyle w:val="FrameContents"/>
                                    <w:spacing w:lineRule="auto" w:line="240" w:before="0" w:after="60"/>
                                    <w:ind w:left="60" w:right="60" w:hanging="0"/>
                                    <w:jc w:val="center"/>
                                    <w:rPr/>
                                  </w:pPr>
                                  <w:bookmarkStart w:id="3404" w:name="__UnoMark__20237_118561941"/>
                                  <w:bookmarkStart w:id="3405" w:name="__UnoMark__20236_118561941"/>
                                  <w:bookmarkEnd w:id="3404"/>
                                  <w:bookmarkEnd w:id="3405"/>
                                  <w:r>
                                    <w:rPr>
                                      <w:color w:val="00000A"/>
                                      <w:sz w:val="18"/>
                                      <w:szCs w:val="18"/>
                                    </w:rPr>
                                    <w:t>GA_LDS</w:t>
                                  </w:r>
                                </w:p>
                              </w:tc>
                              <w:tc>
                                <w:tcPr>
                                  <w:tcW w:w="1120" w:type="dxa"/>
                                  <w:gridSpan w:val="2"/>
                                  <w:tcBorders/>
                                  <w:shd w:color="auto" w:fill="FFFFFF" w:val="clear"/>
                                </w:tcPr>
                                <w:p>
                                  <w:pPr>
                                    <w:pStyle w:val="FrameContents"/>
                                    <w:spacing w:lineRule="auto" w:line="240" w:before="0" w:after="60"/>
                                    <w:ind w:left="60" w:right="60" w:hanging="0"/>
                                    <w:jc w:val="center"/>
                                    <w:rPr/>
                                  </w:pPr>
                                  <w:bookmarkStart w:id="3406" w:name="__UnoMark__20239_118561941"/>
                                  <w:bookmarkStart w:id="3407" w:name="__UnoMark__20238_118561941"/>
                                  <w:bookmarkEnd w:id="3406"/>
                                  <w:bookmarkEnd w:id="3407"/>
                                  <w:r>
                                    <w:rPr>
                                      <w:color w:val="00000A"/>
                                      <w:sz w:val="18"/>
                                      <w:szCs w:val="18"/>
                                    </w:rPr>
                                    <w:t>.021</w:t>
                                  </w:r>
                                </w:p>
                              </w:tc>
                              <w:tc>
                                <w:tcPr>
                                  <w:tcW w:w="673" w:type="dxa"/>
                                  <w:tcBorders/>
                                  <w:shd w:color="auto" w:fill="FFFFFF" w:val="clear"/>
                                </w:tcPr>
                                <w:p>
                                  <w:pPr>
                                    <w:pStyle w:val="FrameContents"/>
                                    <w:spacing w:lineRule="auto" w:line="240" w:before="0" w:after="60"/>
                                    <w:ind w:left="60" w:right="60" w:hanging="0"/>
                                    <w:jc w:val="center"/>
                                    <w:rPr/>
                                  </w:pPr>
                                  <w:bookmarkStart w:id="3408" w:name="__UnoMark__20241_118561941"/>
                                  <w:bookmarkStart w:id="3409" w:name="__UnoMark__20240_118561941"/>
                                  <w:bookmarkEnd w:id="3408"/>
                                  <w:bookmarkEnd w:id="3409"/>
                                  <w:r>
                                    <w:rPr>
                                      <w:color w:val="00000A"/>
                                      <w:sz w:val="18"/>
                                      <w:szCs w:val="18"/>
                                    </w:rPr>
                                    <w:t>.002</w:t>
                                  </w:r>
                                </w:p>
                              </w:tc>
                            </w:tr>
                            <w:tr>
                              <w:trPr>
                                <w:cantSplit w:val="true"/>
                              </w:trPr>
                              <w:tc>
                                <w:tcPr>
                                  <w:tcW w:w="1520" w:type="dxa"/>
                                  <w:gridSpan w:val="2"/>
                                  <w:tcBorders/>
                                  <w:shd w:color="auto" w:fill="auto" w:val="clear"/>
                                </w:tcPr>
                                <w:p>
                                  <w:pPr>
                                    <w:pStyle w:val="FrameContents"/>
                                    <w:spacing w:lineRule="auto" w:line="240" w:before="0" w:after="60"/>
                                    <w:ind w:left="60" w:right="60" w:hanging="0"/>
                                    <w:jc w:val="center"/>
                                    <w:rPr/>
                                  </w:pPr>
                                  <w:bookmarkStart w:id="3410" w:name="__UnoMark__20243_118561941"/>
                                  <w:bookmarkStart w:id="3411" w:name="__UnoMark__20242_118561941"/>
                                  <w:bookmarkEnd w:id="3410"/>
                                  <w:bookmarkEnd w:id="3411"/>
                                  <w:r>
                                    <w:rPr>
                                      <w:color w:val="00000A"/>
                                      <w:sz w:val="18"/>
                                      <w:szCs w:val="18"/>
                                    </w:rPr>
                                    <w:t>PCA_LDS</w:t>
                                  </w:r>
                                </w:p>
                              </w:tc>
                              <w:tc>
                                <w:tcPr>
                                  <w:tcW w:w="1120" w:type="dxa"/>
                                  <w:gridSpan w:val="2"/>
                                  <w:tcBorders/>
                                  <w:shd w:color="auto" w:fill="FFFFFF" w:val="clear"/>
                                </w:tcPr>
                                <w:p>
                                  <w:pPr>
                                    <w:pStyle w:val="FrameContents"/>
                                    <w:spacing w:lineRule="auto" w:line="240" w:before="0" w:after="60"/>
                                    <w:ind w:left="60" w:right="60" w:hanging="0"/>
                                    <w:jc w:val="center"/>
                                    <w:rPr/>
                                  </w:pPr>
                                  <w:bookmarkStart w:id="3412" w:name="__UnoMark__20245_118561941"/>
                                  <w:bookmarkStart w:id="3413" w:name="__UnoMark__20244_118561941"/>
                                  <w:bookmarkEnd w:id="3412"/>
                                  <w:bookmarkEnd w:id="3413"/>
                                  <w:r>
                                    <w:rPr>
                                      <w:color w:val="00000A"/>
                                      <w:sz w:val="18"/>
                                      <w:szCs w:val="18"/>
                                    </w:rPr>
                                    <w:t>.024</w:t>
                                  </w:r>
                                </w:p>
                              </w:tc>
                              <w:tc>
                                <w:tcPr>
                                  <w:tcW w:w="673" w:type="dxa"/>
                                  <w:tcBorders/>
                                  <w:shd w:color="auto" w:fill="FFFFFF" w:val="clear"/>
                                </w:tcPr>
                                <w:p>
                                  <w:pPr>
                                    <w:pStyle w:val="FrameContents"/>
                                    <w:spacing w:lineRule="auto" w:line="240" w:before="0" w:after="60"/>
                                    <w:ind w:left="60" w:right="60" w:hanging="0"/>
                                    <w:jc w:val="center"/>
                                    <w:rPr/>
                                  </w:pPr>
                                  <w:bookmarkStart w:id="3414" w:name="__UnoMark__20246_118561941"/>
                                  <w:bookmarkEnd w:id="3414"/>
                                  <w:r>
                                    <w:rPr>
                                      <w:color w:val="00000A"/>
                                      <w:sz w:val="18"/>
                                      <w:szCs w:val="18"/>
                                    </w:rPr>
                                    <w:t>.010</w:t>
                                  </w:r>
                                </w:p>
                              </w:tc>
                            </w:tr>
                          </w:tbl>
                          <w:p>
                            <w:pPr>
                              <w:pStyle w:val="FrameContents"/>
                              <w:spacing w:before="80" w:after="60"/>
                              <w:rPr>
                                <w:color w:val="000000"/>
                              </w:rPr>
                            </w:pPr>
                            <w:r>
                              <w:rPr>
                                <w:color w:val="000000"/>
                              </w:rPr>
                            </w:r>
                          </w:p>
                        </w:txbxContent>
                      </wps:txbx>
                      <wps:bodyPr lIns="0" rIns="0" tIns="0" bIns="0">
                        <a:spAutoFit/>
                      </wps:bodyPr>
                    </wps:wsp>
                  </a:graphicData>
                </a:graphic>
              </wp:anchor>
            </w:drawing>
          </mc:Choice>
          <mc:Fallback>
            <w:pict>
              <v:rect id="shape_0" ID="Frame40" stroked="f" style="position:absolute;margin-left:141.55pt;margin-top:2.8pt;width:165.7pt;height:288.7pt;mso-position-horizontal:center;mso-position-horizontal-relative:margin">
                <w10:wrap type="none"/>
                <v:fill o:detectmouseclick="t" on="false"/>
                <v:stroke color="#3465a4" joinstyle="round" endcap="flat"/>
                <v:textbox>
                  <w:txbxContent>
                    <w:tbl>
                      <w:tblPr>
                        <w:tblW w:w="3313" w:type="dxa"/>
                        <w:jc w:val="center"/>
                        <w:tblInd w:w="0" w:type="dxa"/>
                        <w:tblBorders/>
                        <w:tblCellMar>
                          <w:top w:w="0" w:type="dxa"/>
                          <w:left w:w="0" w:type="dxa"/>
                          <w:bottom w:w="0" w:type="dxa"/>
                          <w:right w:w="0" w:type="dxa"/>
                        </w:tblCellMar>
                        <w:tblLook w:val="0000" w:noVBand="0" w:noHBand="0" w:lastColumn="0" w:firstColumn="0" w:lastRow="0" w:firstRow="0"/>
                      </w:tblPr>
                      <w:tblGrid>
                        <w:gridCol w:w="999"/>
                        <w:gridCol w:w="521"/>
                        <w:gridCol w:w="621"/>
                        <w:gridCol w:w="499"/>
                        <w:gridCol w:w="673"/>
                      </w:tblGrid>
                      <w:tr>
                        <w:trPr>
                          <w:trHeight w:val="3832" w:hRule="atLeast"/>
                        </w:trPr>
                        <w:tc>
                          <w:tcPr>
                            <w:tcW w:w="999" w:type="dxa"/>
                            <w:tcBorders/>
                            <w:shd w:color="auto" w:fill="auto" w:val="clear"/>
                            <w:vAlign w:val="center"/>
                          </w:tcPr>
                          <w:p>
                            <w:pPr>
                              <w:pStyle w:val="FrameContents"/>
                              <w:spacing w:lineRule="auto" w:line="240" w:before="0" w:after="60"/>
                              <w:jc w:val="center"/>
                              <w:rPr/>
                            </w:pPr>
                            <w:bookmarkStart w:id="3415" w:name="__UnoMark__20207_118561941"/>
                            <w:bookmarkEnd w:id="3415"/>
                            <w:r>
                              <w:rPr>
                                <w:color w:val="00000A"/>
                                <w:sz w:val="18"/>
                                <w:szCs w:val="18"/>
                              </w:rPr>
                              <w:t>Algoritmos</w:t>
                            </w:r>
                          </w:p>
                        </w:tc>
                        <w:tc>
                          <w:tcPr>
                            <w:tcW w:w="1142" w:type="dxa"/>
                            <w:gridSpan w:val="2"/>
                            <w:tcBorders/>
                            <w:shd w:color="auto" w:fill="auto" w:val="clear"/>
                          </w:tcPr>
                          <w:p>
                            <w:pPr>
                              <w:pStyle w:val="FrameContents"/>
                              <w:spacing w:lineRule="auto" w:line="240" w:before="0" w:after="60"/>
                              <w:ind w:left="60" w:right="60" w:hanging="0"/>
                              <w:jc w:val="center"/>
                              <w:rPr/>
                            </w:pPr>
                            <w:bookmarkStart w:id="3416" w:name="__UnoMark__20208_118561941"/>
                            <w:bookmarkEnd w:id="3416"/>
                            <w:r>
                              <w:rPr>
                                <w:color w:val="00000A"/>
                                <w:sz w:val="18"/>
                                <w:szCs w:val="18"/>
                              </w:rPr>
                              <w:t>Kolmogorov-Smirnov</w:t>
                            </w:r>
                            <w:r>
                              <w:rPr>
                                <w:color w:val="00000A"/>
                                <w:sz w:val="18"/>
                                <w:szCs w:val="18"/>
                                <w:vertAlign w:val="superscript"/>
                              </w:rPr>
                              <w:t>a</w:t>
                            </w:r>
                            <w:bookmarkStart w:id="3417" w:name="__UnoMark__20209_118561941"/>
                            <w:bookmarkEnd w:id="3417"/>
                            <w:r>
                              <w:rPr>
                                <w:color w:val="00000A"/>
                                <w:sz w:val="18"/>
                                <w:szCs w:val="18"/>
                              </w:rPr>
                              <w:t xml:space="preserve"> Sig.</w:t>
                            </w:r>
                          </w:p>
                        </w:tc>
                        <w:tc>
                          <w:tcPr>
                            <w:tcW w:w="1172" w:type="dxa"/>
                            <w:gridSpan w:val="2"/>
                            <w:tcBorders/>
                            <w:shd w:color="auto" w:fill="auto" w:val="clear"/>
                          </w:tcPr>
                          <w:p>
                            <w:pPr>
                              <w:pStyle w:val="FrameContents"/>
                              <w:spacing w:lineRule="auto" w:line="240" w:before="0" w:after="60"/>
                              <w:ind w:left="60" w:right="60" w:hanging="0"/>
                              <w:jc w:val="center"/>
                              <w:rPr/>
                            </w:pPr>
                            <w:bookmarkStart w:id="3418" w:name="__UnoMark__20211_118561941"/>
                            <w:bookmarkStart w:id="3419" w:name="__UnoMark__20210_118561941"/>
                            <w:bookmarkEnd w:id="3418"/>
                            <w:bookmarkEnd w:id="3419"/>
                            <w:r>
                              <w:rPr>
                                <w:color w:val="00000A"/>
                                <w:sz w:val="18"/>
                                <w:szCs w:val="18"/>
                              </w:rPr>
                              <w:t>Shapiro-Wilk Sig.</w:t>
                            </w:r>
                          </w:p>
                        </w:tc>
                      </w:tr>
                      <w:tr>
                        <w:trPr>
                          <w:cantSplit w:val="true"/>
                        </w:trPr>
                        <w:tc>
                          <w:tcPr>
                            <w:tcW w:w="1520" w:type="dxa"/>
                            <w:gridSpan w:val="2"/>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3420" w:name="__UnoMark__20213_118561941"/>
                            <w:bookmarkStart w:id="3421" w:name="__UnoMark__20212_118561941"/>
                            <w:bookmarkEnd w:id="3420"/>
                            <w:bookmarkEnd w:id="3421"/>
                            <w:r>
                              <w:rPr>
                                <w:color w:val="00000A"/>
                                <w:sz w:val="18"/>
                                <w:szCs w:val="18"/>
                              </w:rPr>
                              <w:t>RST_LDS</w:t>
                            </w:r>
                          </w:p>
                        </w:tc>
                        <w:tc>
                          <w:tcPr>
                            <w:tcW w:w="1120" w:type="dxa"/>
                            <w:gridSpan w:val="2"/>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3422" w:name="__UnoMark__20215_118561941"/>
                            <w:bookmarkStart w:id="3423" w:name="__UnoMark__20214_118561941"/>
                            <w:bookmarkEnd w:id="3422"/>
                            <w:bookmarkEnd w:id="3423"/>
                            <w:r>
                              <w:rPr>
                                <w:color w:val="00000A"/>
                                <w:sz w:val="18"/>
                                <w:szCs w:val="18"/>
                              </w:rPr>
                              <w:t>.017</w:t>
                            </w:r>
                          </w:p>
                        </w:tc>
                        <w:tc>
                          <w:tcPr>
                            <w:tcW w:w="673" w:type="dxa"/>
                            <w:tcBorders>
                              <w:top w:val="single" w:sz="2" w:space="0" w:color="00000A"/>
                              <w:bottom w:val="single" w:sz="2" w:space="0" w:color="00000A"/>
                              <w:insideH w:val="single" w:sz="2" w:space="0" w:color="00000A"/>
                            </w:tcBorders>
                            <w:shd w:color="auto" w:fill="FFFFFF" w:val="clear"/>
                            <w:vAlign w:val="center"/>
                          </w:tcPr>
                          <w:p>
                            <w:pPr>
                              <w:pStyle w:val="FrameContents"/>
                              <w:spacing w:lineRule="auto" w:line="240" w:before="0" w:after="60"/>
                              <w:ind w:left="60" w:right="60" w:hanging="0"/>
                              <w:jc w:val="center"/>
                              <w:rPr/>
                            </w:pPr>
                            <w:bookmarkStart w:id="3424" w:name="__UnoMark__20217_118561941"/>
                            <w:bookmarkStart w:id="3425" w:name="__UnoMark__20216_118561941"/>
                            <w:bookmarkEnd w:id="3424"/>
                            <w:bookmarkEnd w:id="3425"/>
                            <w:r>
                              <w:rPr>
                                <w:color w:val="00000A"/>
                                <w:sz w:val="18"/>
                                <w:szCs w:val="18"/>
                              </w:rPr>
                              <w:t>.000</w:t>
                            </w:r>
                          </w:p>
                        </w:tc>
                      </w:tr>
                      <w:tr>
                        <w:trPr>
                          <w:cantSplit w:val="true"/>
                        </w:trPr>
                        <w:tc>
                          <w:tcPr>
                            <w:tcW w:w="1520" w:type="dxa"/>
                            <w:gridSpan w:val="2"/>
                            <w:tcBorders>
                              <w:top w:val="single" w:sz="2" w:space="0" w:color="00000A"/>
                            </w:tcBorders>
                            <w:shd w:color="auto" w:fill="auto" w:val="clear"/>
                          </w:tcPr>
                          <w:p>
                            <w:pPr>
                              <w:pStyle w:val="FrameContents"/>
                              <w:spacing w:lineRule="auto" w:line="240" w:before="0" w:after="60"/>
                              <w:ind w:left="60" w:right="60" w:hanging="0"/>
                              <w:jc w:val="center"/>
                              <w:rPr/>
                            </w:pPr>
                            <w:bookmarkStart w:id="3426" w:name="__UnoMark__20219_118561941"/>
                            <w:bookmarkStart w:id="3427" w:name="__UnoMark__20218_118561941"/>
                            <w:bookmarkEnd w:id="3426"/>
                            <w:bookmarkEnd w:id="3427"/>
                            <w:r>
                              <w:rPr>
                                <w:color w:val="00000A"/>
                                <w:sz w:val="18"/>
                                <w:szCs w:val="18"/>
                              </w:rPr>
                              <w:t>LPA_LDS</w:t>
                            </w:r>
                          </w:p>
                        </w:tc>
                        <w:tc>
                          <w:tcPr>
                            <w:tcW w:w="1120" w:type="dxa"/>
                            <w:gridSpan w:val="2"/>
                            <w:tcBorders>
                              <w:top w:val="single" w:sz="2" w:space="0" w:color="00000A"/>
                            </w:tcBorders>
                            <w:shd w:color="auto" w:fill="FFFFFF" w:val="clear"/>
                          </w:tcPr>
                          <w:p>
                            <w:pPr>
                              <w:pStyle w:val="FrameContents"/>
                              <w:spacing w:lineRule="auto" w:line="240" w:before="0" w:after="60"/>
                              <w:ind w:left="60" w:right="60" w:hanging="0"/>
                              <w:jc w:val="center"/>
                              <w:rPr/>
                            </w:pPr>
                            <w:bookmarkStart w:id="3428" w:name="__UnoMark__20221_118561941"/>
                            <w:bookmarkStart w:id="3429" w:name="__UnoMark__20220_118561941"/>
                            <w:bookmarkEnd w:id="3428"/>
                            <w:bookmarkEnd w:id="3429"/>
                            <w:r>
                              <w:rPr>
                                <w:color w:val="00000A"/>
                                <w:sz w:val="18"/>
                                <w:szCs w:val="18"/>
                              </w:rPr>
                              <w:t>.000</w:t>
                            </w:r>
                          </w:p>
                        </w:tc>
                        <w:tc>
                          <w:tcPr>
                            <w:tcW w:w="673" w:type="dxa"/>
                            <w:tcBorders>
                              <w:top w:val="single" w:sz="2" w:space="0" w:color="00000A"/>
                            </w:tcBorders>
                            <w:shd w:color="auto" w:fill="FFFFFF" w:val="clear"/>
                          </w:tcPr>
                          <w:p>
                            <w:pPr>
                              <w:pStyle w:val="FrameContents"/>
                              <w:spacing w:lineRule="auto" w:line="240" w:before="0" w:after="60"/>
                              <w:ind w:left="60" w:right="60" w:hanging="0"/>
                              <w:jc w:val="center"/>
                              <w:rPr/>
                            </w:pPr>
                            <w:bookmarkStart w:id="3430" w:name="__UnoMark__20223_118561941"/>
                            <w:bookmarkStart w:id="3431" w:name="__UnoMark__20222_118561941"/>
                            <w:bookmarkEnd w:id="3430"/>
                            <w:bookmarkEnd w:id="3431"/>
                            <w:r>
                              <w:rPr>
                                <w:color w:val="00000A"/>
                                <w:sz w:val="18"/>
                                <w:szCs w:val="18"/>
                              </w:rPr>
                              <w:t>.000</w:t>
                            </w:r>
                          </w:p>
                        </w:tc>
                      </w:tr>
                      <w:tr>
                        <w:trPr>
                          <w:cantSplit w:val="true"/>
                        </w:trPr>
                        <w:tc>
                          <w:tcPr>
                            <w:tcW w:w="1520" w:type="dxa"/>
                            <w:gridSpan w:val="2"/>
                            <w:tcBorders/>
                            <w:shd w:color="auto" w:fill="auto" w:val="clear"/>
                          </w:tcPr>
                          <w:p>
                            <w:pPr>
                              <w:pStyle w:val="FrameContents"/>
                              <w:spacing w:lineRule="auto" w:line="240" w:before="0" w:after="60"/>
                              <w:ind w:left="60" w:right="60" w:hanging="0"/>
                              <w:jc w:val="center"/>
                              <w:rPr/>
                            </w:pPr>
                            <w:bookmarkStart w:id="3432" w:name="__UnoMark__20225_118561941"/>
                            <w:bookmarkStart w:id="3433" w:name="__UnoMark__20224_118561941"/>
                            <w:bookmarkEnd w:id="3432"/>
                            <w:bookmarkEnd w:id="3433"/>
                            <w:r>
                              <w:rPr>
                                <w:color w:val="00000A"/>
                                <w:sz w:val="18"/>
                                <w:szCs w:val="18"/>
                              </w:rPr>
                              <w:t>Apriori_LDS</w:t>
                            </w:r>
                          </w:p>
                        </w:tc>
                        <w:tc>
                          <w:tcPr>
                            <w:tcW w:w="1120" w:type="dxa"/>
                            <w:gridSpan w:val="2"/>
                            <w:tcBorders/>
                            <w:shd w:color="auto" w:fill="FFFFFF" w:val="clear"/>
                          </w:tcPr>
                          <w:p>
                            <w:pPr>
                              <w:pStyle w:val="FrameContents"/>
                              <w:spacing w:lineRule="auto" w:line="240" w:before="0" w:after="60"/>
                              <w:ind w:left="60" w:right="60" w:hanging="0"/>
                              <w:jc w:val="center"/>
                              <w:rPr/>
                            </w:pPr>
                            <w:bookmarkStart w:id="3434" w:name="__UnoMark__20227_118561941"/>
                            <w:bookmarkStart w:id="3435" w:name="__UnoMark__20226_118561941"/>
                            <w:bookmarkEnd w:id="3434"/>
                            <w:bookmarkEnd w:id="3435"/>
                            <w:r>
                              <w:rPr>
                                <w:color w:val="00000A"/>
                                <w:sz w:val="18"/>
                                <w:szCs w:val="18"/>
                              </w:rPr>
                              <w:t>.044</w:t>
                            </w:r>
                          </w:p>
                        </w:tc>
                        <w:tc>
                          <w:tcPr>
                            <w:tcW w:w="673" w:type="dxa"/>
                            <w:tcBorders/>
                            <w:shd w:color="auto" w:fill="FFFFFF" w:val="clear"/>
                          </w:tcPr>
                          <w:p>
                            <w:pPr>
                              <w:pStyle w:val="FrameContents"/>
                              <w:spacing w:lineRule="auto" w:line="240" w:before="0" w:after="60"/>
                              <w:ind w:left="60" w:right="60" w:hanging="0"/>
                              <w:jc w:val="center"/>
                              <w:rPr/>
                            </w:pPr>
                            <w:bookmarkStart w:id="3436" w:name="__UnoMark__20229_118561941"/>
                            <w:bookmarkStart w:id="3437" w:name="__UnoMark__20228_118561941"/>
                            <w:bookmarkEnd w:id="3436"/>
                            <w:bookmarkEnd w:id="3437"/>
                            <w:r>
                              <w:rPr>
                                <w:color w:val="00000A"/>
                                <w:sz w:val="18"/>
                                <w:szCs w:val="18"/>
                              </w:rPr>
                              <w:t>.002</w:t>
                            </w:r>
                          </w:p>
                        </w:tc>
                      </w:tr>
                      <w:tr>
                        <w:trPr>
                          <w:cantSplit w:val="true"/>
                        </w:trPr>
                        <w:tc>
                          <w:tcPr>
                            <w:tcW w:w="1520" w:type="dxa"/>
                            <w:gridSpan w:val="2"/>
                            <w:tcBorders/>
                            <w:shd w:color="auto" w:fill="auto" w:val="clear"/>
                          </w:tcPr>
                          <w:p>
                            <w:pPr>
                              <w:pStyle w:val="FrameContents"/>
                              <w:spacing w:lineRule="auto" w:line="240" w:before="0" w:after="60"/>
                              <w:ind w:left="60" w:right="60" w:hanging="0"/>
                              <w:jc w:val="center"/>
                              <w:rPr/>
                            </w:pPr>
                            <w:bookmarkStart w:id="3438" w:name="__UnoMark__20231_118561941"/>
                            <w:bookmarkStart w:id="3439" w:name="__UnoMark__20230_118561941"/>
                            <w:bookmarkEnd w:id="3438"/>
                            <w:bookmarkEnd w:id="3439"/>
                            <w:r>
                              <w:rPr>
                                <w:color w:val="00000A"/>
                                <w:sz w:val="18"/>
                                <w:szCs w:val="18"/>
                              </w:rPr>
                              <w:t>ACO_LDS</w:t>
                            </w:r>
                          </w:p>
                        </w:tc>
                        <w:tc>
                          <w:tcPr>
                            <w:tcW w:w="1120" w:type="dxa"/>
                            <w:gridSpan w:val="2"/>
                            <w:tcBorders/>
                            <w:shd w:color="auto" w:fill="FFFFFF" w:val="clear"/>
                          </w:tcPr>
                          <w:p>
                            <w:pPr>
                              <w:pStyle w:val="FrameContents"/>
                              <w:spacing w:lineRule="auto" w:line="240" w:before="0" w:after="60"/>
                              <w:ind w:left="60" w:right="60" w:hanging="0"/>
                              <w:jc w:val="center"/>
                              <w:rPr/>
                            </w:pPr>
                            <w:bookmarkStart w:id="3440" w:name="__UnoMark__20233_118561941"/>
                            <w:bookmarkStart w:id="3441" w:name="__UnoMark__20232_118561941"/>
                            <w:bookmarkEnd w:id="3440"/>
                            <w:bookmarkEnd w:id="3441"/>
                            <w:r>
                              <w:rPr>
                                <w:color w:val="00000A"/>
                                <w:sz w:val="18"/>
                                <w:szCs w:val="18"/>
                              </w:rPr>
                              <w:t>.006</w:t>
                            </w:r>
                          </w:p>
                        </w:tc>
                        <w:tc>
                          <w:tcPr>
                            <w:tcW w:w="673" w:type="dxa"/>
                            <w:tcBorders/>
                            <w:shd w:color="auto" w:fill="FFFFFF" w:val="clear"/>
                          </w:tcPr>
                          <w:p>
                            <w:pPr>
                              <w:pStyle w:val="FrameContents"/>
                              <w:spacing w:lineRule="auto" w:line="240" w:before="0" w:after="60"/>
                              <w:ind w:left="60" w:right="60" w:hanging="0"/>
                              <w:jc w:val="center"/>
                              <w:rPr/>
                            </w:pPr>
                            <w:bookmarkStart w:id="3442" w:name="__UnoMark__20235_118561941"/>
                            <w:bookmarkStart w:id="3443" w:name="__UnoMark__20234_118561941"/>
                            <w:bookmarkEnd w:id="3442"/>
                            <w:bookmarkEnd w:id="3443"/>
                            <w:r>
                              <w:rPr>
                                <w:color w:val="00000A"/>
                                <w:sz w:val="18"/>
                                <w:szCs w:val="18"/>
                              </w:rPr>
                              <w:t>.003</w:t>
                            </w:r>
                          </w:p>
                        </w:tc>
                      </w:tr>
                      <w:tr>
                        <w:trPr>
                          <w:cantSplit w:val="true"/>
                        </w:trPr>
                        <w:tc>
                          <w:tcPr>
                            <w:tcW w:w="1520" w:type="dxa"/>
                            <w:gridSpan w:val="2"/>
                            <w:tcBorders/>
                            <w:shd w:color="auto" w:fill="auto" w:val="clear"/>
                          </w:tcPr>
                          <w:p>
                            <w:pPr>
                              <w:pStyle w:val="FrameContents"/>
                              <w:spacing w:lineRule="auto" w:line="240" w:before="0" w:after="60"/>
                              <w:ind w:left="60" w:right="60" w:hanging="0"/>
                              <w:jc w:val="center"/>
                              <w:rPr/>
                            </w:pPr>
                            <w:bookmarkStart w:id="3444" w:name="__UnoMark__20237_118561941"/>
                            <w:bookmarkStart w:id="3445" w:name="__UnoMark__20236_118561941"/>
                            <w:bookmarkEnd w:id="3444"/>
                            <w:bookmarkEnd w:id="3445"/>
                            <w:r>
                              <w:rPr>
                                <w:color w:val="00000A"/>
                                <w:sz w:val="18"/>
                                <w:szCs w:val="18"/>
                              </w:rPr>
                              <w:t>GA_LDS</w:t>
                            </w:r>
                          </w:p>
                        </w:tc>
                        <w:tc>
                          <w:tcPr>
                            <w:tcW w:w="1120" w:type="dxa"/>
                            <w:gridSpan w:val="2"/>
                            <w:tcBorders/>
                            <w:shd w:color="auto" w:fill="FFFFFF" w:val="clear"/>
                          </w:tcPr>
                          <w:p>
                            <w:pPr>
                              <w:pStyle w:val="FrameContents"/>
                              <w:spacing w:lineRule="auto" w:line="240" w:before="0" w:after="60"/>
                              <w:ind w:left="60" w:right="60" w:hanging="0"/>
                              <w:jc w:val="center"/>
                              <w:rPr/>
                            </w:pPr>
                            <w:bookmarkStart w:id="3446" w:name="__UnoMark__20239_118561941"/>
                            <w:bookmarkStart w:id="3447" w:name="__UnoMark__20238_118561941"/>
                            <w:bookmarkEnd w:id="3446"/>
                            <w:bookmarkEnd w:id="3447"/>
                            <w:r>
                              <w:rPr>
                                <w:color w:val="00000A"/>
                                <w:sz w:val="18"/>
                                <w:szCs w:val="18"/>
                              </w:rPr>
                              <w:t>.021</w:t>
                            </w:r>
                          </w:p>
                        </w:tc>
                        <w:tc>
                          <w:tcPr>
                            <w:tcW w:w="673" w:type="dxa"/>
                            <w:tcBorders/>
                            <w:shd w:color="auto" w:fill="FFFFFF" w:val="clear"/>
                          </w:tcPr>
                          <w:p>
                            <w:pPr>
                              <w:pStyle w:val="FrameContents"/>
                              <w:spacing w:lineRule="auto" w:line="240" w:before="0" w:after="60"/>
                              <w:ind w:left="60" w:right="60" w:hanging="0"/>
                              <w:jc w:val="center"/>
                              <w:rPr/>
                            </w:pPr>
                            <w:bookmarkStart w:id="3448" w:name="__UnoMark__20241_118561941"/>
                            <w:bookmarkStart w:id="3449" w:name="__UnoMark__20240_118561941"/>
                            <w:bookmarkEnd w:id="3448"/>
                            <w:bookmarkEnd w:id="3449"/>
                            <w:r>
                              <w:rPr>
                                <w:color w:val="00000A"/>
                                <w:sz w:val="18"/>
                                <w:szCs w:val="18"/>
                              </w:rPr>
                              <w:t>.002</w:t>
                            </w:r>
                          </w:p>
                        </w:tc>
                      </w:tr>
                      <w:tr>
                        <w:trPr>
                          <w:cantSplit w:val="true"/>
                        </w:trPr>
                        <w:tc>
                          <w:tcPr>
                            <w:tcW w:w="1520" w:type="dxa"/>
                            <w:gridSpan w:val="2"/>
                            <w:tcBorders/>
                            <w:shd w:color="auto" w:fill="auto" w:val="clear"/>
                          </w:tcPr>
                          <w:p>
                            <w:pPr>
                              <w:pStyle w:val="FrameContents"/>
                              <w:spacing w:lineRule="auto" w:line="240" w:before="0" w:after="60"/>
                              <w:ind w:left="60" w:right="60" w:hanging="0"/>
                              <w:jc w:val="center"/>
                              <w:rPr/>
                            </w:pPr>
                            <w:bookmarkStart w:id="3450" w:name="__UnoMark__20243_118561941"/>
                            <w:bookmarkStart w:id="3451" w:name="__UnoMark__20242_118561941"/>
                            <w:bookmarkEnd w:id="3450"/>
                            <w:bookmarkEnd w:id="3451"/>
                            <w:r>
                              <w:rPr>
                                <w:color w:val="00000A"/>
                                <w:sz w:val="18"/>
                                <w:szCs w:val="18"/>
                              </w:rPr>
                              <w:t>PCA_LDS</w:t>
                            </w:r>
                          </w:p>
                        </w:tc>
                        <w:tc>
                          <w:tcPr>
                            <w:tcW w:w="1120" w:type="dxa"/>
                            <w:gridSpan w:val="2"/>
                            <w:tcBorders/>
                            <w:shd w:color="auto" w:fill="FFFFFF" w:val="clear"/>
                          </w:tcPr>
                          <w:p>
                            <w:pPr>
                              <w:pStyle w:val="FrameContents"/>
                              <w:spacing w:lineRule="auto" w:line="240" w:before="0" w:after="60"/>
                              <w:ind w:left="60" w:right="60" w:hanging="0"/>
                              <w:jc w:val="center"/>
                              <w:rPr/>
                            </w:pPr>
                            <w:bookmarkStart w:id="3452" w:name="__UnoMark__20245_118561941"/>
                            <w:bookmarkStart w:id="3453" w:name="__UnoMark__20244_118561941"/>
                            <w:bookmarkEnd w:id="3452"/>
                            <w:bookmarkEnd w:id="3453"/>
                            <w:r>
                              <w:rPr>
                                <w:color w:val="00000A"/>
                                <w:sz w:val="18"/>
                                <w:szCs w:val="18"/>
                              </w:rPr>
                              <w:t>.024</w:t>
                            </w:r>
                          </w:p>
                        </w:tc>
                        <w:tc>
                          <w:tcPr>
                            <w:tcW w:w="673" w:type="dxa"/>
                            <w:tcBorders/>
                            <w:shd w:color="auto" w:fill="FFFFFF" w:val="clear"/>
                          </w:tcPr>
                          <w:p>
                            <w:pPr>
                              <w:pStyle w:val="FrameContents"/>
                              <w:spacing w:lineRule="auto" w:line="240" w:before="0" w:after="60"/>
                              <w:ind w:left="60" w:right="60" w:hanging="0"/>
                              <w:jc w:val="center"/>
                              <w:rPr/>
                            </w:pPr>
                            <w:bookmarkStart w:id="3454" w:name="__UnoMark__20246_118561941"/>
                            <w:bookmarkEnd w:id="3454"/>
                            <w:r>
                              <w:rPr>
                                <w:color w:val="00000A"/>
                                <w:sz w:val="18"/>
                                <w:szCs w:val="18"/>
                              </w:rPr>
                              <w:t>.010</w:t>
                            </w:r>
                          </w:p>
                        </w:tc>
                      </w:tr>
                    </w:tbl>
                    <w:p>
                      <w:pPr>
                        <w:pStyle w:val="FrameContents"/>
                        <w:spacing w:before="80" w:after="60"/>
                        <w:rPr>
                          <w:color w:val="000000"/>
                        </w:rPr>
                      </w:pPr>
                      <w:r>
                        <w:rPr>
                          <w:color w:val="000000"/>
                        </w:rPr>
                      </w:r>
                    </w:p>
                  </w:txbxContent>
                </v:textbox>
              </v:rect>
            </w:pict>
          </mc:Fallback>
        </mc:AlternateContent>
      </w:r>
    </w:p>
    <w:p>
      <w:pPr>
        <w:pStyle w:val="Caption1"/>
        <w:keepNext/>
        <w:rPr/>
      </w:pPr>
      <w:r>
        <w:rPr/>
      </w:r>
    </w:p>
    <w:p>
      <w:pPr>
        <w:pStyle w:val="Normal"/>
        <w:rPr>
          <w:lang w:val="en-US"/>
        </w:rPr>
      </w:pPr>
      <w:r>
        <w:rPr>
          <w:lang w:val="en-US"/>
        </w:rPr>
        <mc:AlternateContent>
          <mc:Choice Requires="wps">
            <w:drawing>
              <wp:anchor behindDoc="0" distT="0" distB="0" distL="114300" distR="114300" simplePos="0" locked="0" layoutInCell="1" allowOverlap="1" relativeHeight="58">
                <wp:simplePos x="0" y="0"/>
                <wp:positionH relativeFrom="margin">
                  <wp:align>center</wp:align>
                </wp:positionH>
                <wp:positionV relativeFrom="paragraph">
                  <wp:posOffset>-83185</wp:posOffset>
                </wp:positionV>
                <wp:extent cx="4504055" cy="2792730"/>
                <wp:effectExtent l="0" t="0" r="0" b="0"/>
                <wp:wrapSquare wrapText="bothSides"/>
                <wp:docPr id="112" name="Frame41"/>
                <a:graphic xmlns:a="http://schemas.openxmlformats.org/drawingml/2006/main">
                  <a:graphicData uri="http://schemas.microsoft.com/office/word/2010/wordprocessingShape">
                    <wps:wsp>
                      <wps:cNvSpPr/>
                      <wps:spPr>
                        <a:xfrm>
                          <a:off x="0" y="0"/>
                          <a:ext cx="4503600" cy="2792160"/>
                        </a:xfrm>
                        <a:prstGeom prst="rect">
                          <a:avLst/>
                        </a:prstGeom>
                        <a:noFill/>
                        <a:ln>
                          <a:noFill/>
                        </a:ln>
                      </wps:spPr>
                      <wps:style>
                        <a:lnRef idx="0"/>
                        <a:fillRef idx="0"/>
                        <a:effectRef idx="0"/>
                        <a:fontRef idx="minor"/>
                      </wps:style>
                      <wps:txbx>
                        <w:txbxContent>
                          <w:tbl>
                            <w:tblPr>
                              <w:tblW w:w="5000" w:type="pct"/>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3545"/>
                              <w:gridCol w:w="1267"/>
                              <w:gridCol w:w="2282"/>
                            </w:tblGrid>
                            <w:tr>
                              <w:trPr>
                                <w:cantSplit w:val="true"/>
                              </w:trPr>
                              <w:tc>
                                <w:tcPr>
                                  <w:tcW w:w="3545"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left"/>
                                    <w:rPr>
                                      <w:color w:val="00000A"/>
                                    </w:rPr>
                                  </w:pPr>
                                  <w:bookmarkStart w:id="3455" w:name="__UnoMark__20325_118561941"/>
                                  <w:bookmarkEnd w:id="3455"/>
                                  <w:r>
                                    <w:rPr>
                                      <w:color w:val="00000A"/>
                                      <w:sz w:val="18"/>
                                      <w:szCs w:val="18"/>
                                      <w:lang w:val="en-US"/>
                                    </w:rPr>
                                    <w:t>Algoritmos</w:t>
                                  </w:r>
                                </w:p>
                              </w:tc>
                              <w:tc>
                                <w:tcPr>
                                  <w:tcW w:w="126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3456" w:name="__UnoMark__20327_118561941"/>
                                  <w:bookmarkStart w:id="3457" w:name="__UnoMark__20326_118561941"/>
                                  <w:bookmarkEnd w:id="3456"/>
                                  <w:bookmarkEnd w:id="3457"/>
                                  <w:r>
                                    <w:rPr>
                                      <w:color w:val="00000A"/>
                                      <w:sz w:val="18"/>
                                      <w:szCs w:val="18"/>
                                      <w:lang w:val="en-US"/>
                                    </w:rPr>
                                    <w:t>p-value</w:t>
                                  </w:r>
                                </w:p>
                              </w:tc>
                              <w:tc>
                                <w:tcPr>
                                  <w:tcW w:w="228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3458" w:name="__UnoMark__20329_118561941"/>
                                  <w:bookmarkStart w:id="3459" w:name="__UnoMark__20328_118561941"/>
                                  <w:bookmarkEnd w:id="3458"/>
                                  <w:bookmarkEnd w:id="3459"/>
                                  <w:r>
                                    <w:rPr>
                                      <w:color w:val="00000A"/>
                                      <w:sz w:val="18"/>
                                      <w:szCs w:val="18"/>
                                      <w:lang w:val="en-US"/>
                                    </w:rPr>
                                    <w:t>Resultados</w:t>
                                  </w:r>
                                </w:p>
                              </w:tc>
                            </w:tr>
                            <w:tr>
                              <w:trPr>
                                <w:trHeight w:val="801" w:hRule="atLeast"/>
                                <w:cantSplit w:val="true"/>
                              </w:trPr>
                              <w:tc>
                                <w:tcPr>
                                  <w:tcW w:w="3545"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left"/>
                                    <w:rPr>
                                      <w:color w:val="00000A"/>
                                    </w:rPr>
                                  </w:pPr>
                                  <w:bookmarkStart w:id="3460" w:name="__UnoMark__20330_118561941"/>
                                  <w:bookmarkEnd w:id="3460"/>
                                  <w:r>
                                    <w:rPr>
                                      <w:i/>
                                      <w:color w:val="00000A"/>
                                      <w:sz w:val="18"/>
                                      <w:szCs w:val="18"/>
                                      <w:lang w:val="en-US"/>
                                    </w:rPr>
                                    <w:t xml:space="preserve">Wilcoxon test </w:t>
                                  </w:r>
                                </w:p>
                                <w:p>
                                  <w:pPr>
                                    <w:pStyle w:val="FrameContents"/>
                                    <w:spacing w:lineRule="auto" w:line="240"/>
                                    <w:jc w:val="left"/>
                                    <w:rPr>
                                      <w:color w:val="00000A"/>
                                    </w:rPr>
                                  </w:pPr>
                                  <w:r>
                                    <w:rPr>
                                      <w:color w:val="00000A"/>
                                      <w:sz w:val="18"/>
                                      <w:szCs w:val="18"/>
                                      <w:lang w:val="en-US"/>
                                    </w:rPr>
                                    <w:t xml:space="preserve">RST_LDS (grupo A) – </w:t>
                                  </w:r>
                                </w:p>
                                <w:p>
                                  <w:pPr>
                                    <w:pStyle w:val="FrameContents"/>
                                    <w:spacing w:lineRule="auto" w:line="240" w:before="80" w:after="60"/>
                                    <w:jc w:val="left"/>
                                    <w:rPr>
                                      <w:color w:val="00000A"/>
                                    </w:rPr>
                                  </w:pPr>
                                  <w:bookmarkStart w:id="3461" w:name="__UnoMark__20331_118561941"/>
                                  <w:bookmarkEnd w:id="3461"/>
                                  <w:r>
                                    <w:rPr>
                                      <w:color w:val="00000A"/>
                                      <w:sz w:val="18"/>
                                      <w:szCs w:val="18"/>
                                      <w:lang w:val="en-US"/>
                                    </w:rPr>
                                    <w:t>PCA_LDS (grupo B)</w:t>
                                  </w:r>
                                </w:p>
                              </w:tc>
                              <w:tc>
                                <w:tcPr>
                                  <w:tcW w:w="1267"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80" w:after="60"/>
                                    <w:jc w:val="center"/>
                                    <w:rPr>
                                      <w:color w:val="00000A"/>
                                    </w:rPr>
                                  </w:pPr>
                                  <w:bookmarkStart w:id="3462" w:name="__UnoMark__20333_118561941"/>
                                  <w:bookmarkStart w:id="3463" w:name="__UnoMark__20332_118561941"/>
                                  <w:bookmarkEnd w:id="3462"/>
                                  <w:bookmarkEnd w:id="3463"/>
                                  <w:r>
                                    <w:rPr>
                                      <w:color w:val="00000A"/>
                                      <w:sz w:val="18"/>
                                      <w:szCs w:val="18"/>
                                      <w:lang w:val="en-US"/>
                                    </w:rPr>
                                    <w:t>0.002</w:t>
                                  </w:r>
                                </w:p>
                              </w:tc>
                              <w:tc>
                                <w:tcPr>
                                  <w:tcW w:w="228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3464" w:name="__UnoMark__20335_118561941"/>
                                  <w:bookmarkStart w:id="3465" w:name="__UnoMark__20334_118561941"/>
                                  <w:bookmarkEnd w:id="3464"/>
                                  <w:bookmarkEnd w:id="3465"/>
                                  <w:r>
                                    <w:rPr>
                                      <w:color w:val="00000A"/>
                                      <w:sz w:val="18"/>
                                      <w:szCs w:val="18"/>
                                      <w:lang w:val="en-US"/>
                                    </w:rPr>
                                    <w:t>Hay diferencias significativas</w:t>
                                  </w:r>
                                </w:p>
                              </w:tc>
                            </w:tr>
                            <w:tr>
                              <w:trPr>
                                <w:trHeight w:val="702" w:hRule="atLeast"/>
                                <w:cantSplit w:val="true"/>
                              </w:trPr>
                              <w:tc>
                                <w:tcPr>
                                  <w:tcW w:w="3545"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left"/>
                                    <w:rPr>
                                      <w:color w:val="00000A"/>
                                    </w:rPr>
                                  </w:pPr>
                                  <w:bookmarkStart w:id="3466" w:name="__UnoMark__20336_118561941"/>
                                  <w:bookmarkEnd w:id="3466"/>
                                  <w:r>
                                    <w:rPr>
                                      <w:i/>
                                      <w:color w:val="00000A"/>
                                      <w:sz w:val="18"/>
                                      <w:szCs w:val="18"/>
                                      <w:lang w:val="en-US"/>
                                    </w:rPr>
                                    <w:t>Wilcoxon test</w:t>
                                  </w:r>
                                  <w:r>
                                    <w:rPr>
                                      <w:color w:val="00000A"/>
                                      <w:sz w:val="18"/>
                                      <w:szCs w:val="18"/>
                                      <w:lang w:val="en-US"/>
                                    </w:rPr>
                                    <w:t xml:space="preserve"> (grupo B)</w:t>
                                  </w:r>
                                </w:p>
                                <w:p>
                                  <w:pPr>
                                    <w:pStyle w:val="FrameContents"/>
                                    <w:spacing w:lineRule="auto" w:line="240"/>
                                    <w:jc w:val="left"/>
                                    <w:rPr>
                                      <w:color w:val="00000A"/>
                                    </w:rPr>
                                  </w:pPr>
                                  <w:r>
                                    <w:rPr>
                                      <w:color w:val="00000A"/>
                                      <w:sz w:val="18"/>
                                      <w:szCs w:val="18"/>
                                      <w:lang w:val="en-US"/>
                                    </w:rPr>
                                    <w:t>PCA_LDS - Apriori_LDS</w:t>
                                  </w:r>
                                </w:p>
                                <w:p>
                                  <w:pPr>
                                    <w:pStyle w:val="FrameContents"/>
                                    <w:spacing w:lineRule="auto" w:line="240" w:before="80" w:after="60"/>
                                    <w:jc w:val="left"/>
                                    <w:rPr>
                                      <w:color w:val="00000A"/>
                                    </w:rPr>
                                  </w:pPr>
                                  <w:bookmarkStart w:id="3467" w:name="__UnoMark__20337_118561941"/>
                                  <w:bookmarkEnd w:id="3467"/>
                                  <w:r>
                                    <w:rPr>
                                      <w:color w:val="00000A"/>
                                      <w:sz w:val="18"/>
                                      <w:szCs w:val="18"/>
                                      <w:lang w:val="en-US"/>
                                    </w:rPr>
                                    <w:t>PCA_LDS - LPA_LDS</w:t>
                                  </w:r>
                                </w:p>
                              </w:tc>
                              <w:tc>
                                <w:tcPr>
                                  <w:tcW w:w="126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sz w:val="18"/>
                                      <w:szCs w:val="18"/>
                                      <w:lang w:val="en-US"/>
                                    </w:rPr>
                                  </w:pPr>
                                  <w:bookmarkStart w:id="3468" w:name="__UnoMark__20338_118561941"/>
                                  <w:bookmarkStart w:id="3469" w:name="__UnoMark__20338_118561941"/>
                                  <w:bookmarkEnd w:id="3469"/>
                                  <w:r>
                                    <w:rPr>
                                      <w:color w:val="00000A"/>
                                      <w:sz w:val="18"/>
                                      <w:szCs w:val="18"/>
                                      <w:lang w:val="en-US"/>
                                    </w:rPr>
                                  </w:r>
                                </w:p>
                                <w:p>
                                  <w:pPr>
                                    <w:pStyle w:val="FrameContents"/>
                                    <w:spacing w:lineRule="auto" w:line="240"/>
                                    <w:jc w:val="center"/>
                                    <w:rPr>
                                      <w:color w:val="00000A"/>
                                    </w:rPr>
                                  </w:pPr>
                                  <w:r>
                                    <w:rPr>
                                      <w:color w:val="00000A"/>
                                      <w:sz w:val="18"/>
                                      <w:szCs w:val="18"/>
                                      <w:lang w:val="en-US"/>
                                    </w:rPr>
                                    <w:t>0.158</w:t>
                                  </w:r>
                                </w:p>
                                <w:p>
                                  <w:pPr>
                                    <w:pStyle w:val="FrameContents"/>
                                    <w:spacing w:lineRule="auto" w:line="240" w:before="80" w:after="60"/>
                                    <w:jc w:val="center"/>
                                    <w:rPr>
                                      <w:color w:val="00000A"/>
                                    </w:rPr>
                                  </w:pPr>
                                  <w:bookmarkStart w:id="3470" w:name="__UnoMark__20339_118561941"/>
                                  <w:bookmarkEnd w:id="3470"/>
                                  <w:r>
                                    <w:rPr>
                                      <w:color w:val="00000A"/>
                                      <w:sz w:val="18"/>
                                      <w:szCs w:val="18"/>
                                      <w:lang w:val="en-US"/>
                                    </w:rPr>
                                    <w:t>0.814</w:t>
                                  </w:r>
                                </w:p>
                              </w:tc>
                              <w:tc>
                                <w:tcPr>
                                  <w:tcW w:w="228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3471" w:name="__UnoMark__20341_118561941"/>
                                  <w:bookmarkStart w:id="3472" w:name="__UnoMark__20340_118561941"/>
                                  <w:bookmarkEnd w:id="3471"/>
                                  <w:bookmarkEnd w:id="3472"/>
                                  <w:r>
                                    <w:rPr>
                                      <w:color w:val="00000A"/>
                                      <w:sz w:val="18"/>
                                      <w:szCs w:val="18"/>
                                      <w:lang w:val="en-US"/>
                                    </w:rPr>
                                    <w:t>No hay diferencias significativas</w:t>
                                  </w:r>
                                </w:p>
                              </w:tc>
                            </w:tr>
                            <w:tr>
                              <w:trPr>
                                <w:trHeight w:val="702" w:hRule="atLeast"/>
                                <w:cantSplit w:val="true"/>
                              </w:trPr>
                              <w:tc>
                                <w:tcPr>
                                  <w:tcW w:w="3545"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left"/>
                                    <w:rPr>
                                      <w:color w:val="00000A"/>
                                    </w:rPr>
                                  </w:pPr>
                                  <w:bookmarkStart w:id="3473" w:name="__UnoMark__20342_118561941"/>
                                  <w:bookmarkEnd w:id="3473"/>
                                  <w:r>
                                    <w:rPr>
                                      <w:i/>
                                      <w:color w:val="00000A"/>
                                      <w:sz w:val="18"/>
                                      <w:szCs w:val="18"/>
                                      <w:lang w:val="en-US"/>
                                    </w:rPr>
                                    <w:t xml:space="preserve">Wilcoxon test </w:t>
                                  </w:r>
                                </w:p>
                                <w:p>
                                  <w:pPr>
                                    <w:pStyle w:val="FrameContents"/>
                                    <w:spacing w:lineRule="auto" w:line="240"/>
                                    <w:jc w:val="left"/>
                                    <w:rPr>
                                      <w:color w:val="00000A"/>
                                    </w:rPr>
                                  </w:pPr>
                                  <w:r>
                                    <w:rPr>
                                      <w:color w:val="00000A"/>
                                      <w:sz w:val="18"/>
                                      <w:szCs w:val="18"/>
                                      <w:lang w:val="en-US"/>
                                    </w:rPr>
                                    <w:t xml:space="preserve">PCA_LDS (grupo B) – </w:t>
                                  </w:r>
                                </w:p>
                                <w:p>
                                  <w:pPr>
                                    <w:pStyle w:val="FrameContents"/>
                                    <w:spacing w:lineRule="auto" w:line="240" w:before="80" w:after="60"/>
                                    <w:jc w:val="left"/>
                                    <w:rPr>
                                      <w:color w:val="00000A"/>
                                    </w:rPr>
                                  </w:pPr>
                                  <w:bookmarkStart w:id="3474" w:name="__UnoMark__20343_118561941"/>
                                  <w:bookmarkEnd w:id="3474"/>
                                  <w:r>
                                    <w:rPr>
                                      <w:color w:val="00000A"/>
                                      <w:sz w:val="18"/>
                                      <w:szCs w:val="18"/>
                                      <w:lang w:val="en-US"/>
                                    </w:rPr>
                                    <w:t>GA_LDS (grupo C)</w:t>
                                  </w:r>
                                </w:p>
                              </w:tc>
                              <w:tc>
                                <w:tcPr>
                                  <w:tcW w:w="1267" w:type="dxa"/>
                                  <w:tcBorders>
                                    <w:top w:val="single" w:sz="2" w:space="0" w:color="00000A"/>
                                    <w:bottom w:val="single" w:sz="4" w:space="0" w:color="00000A"/>
                                    <w:insideH w:val="single" w:sz="4" w:space="0" w:color="00000A"/>
                                  </w:tcBorders>
                                  <w:shd w:color="auto" w:fill="FFFF00" w:val="clear"/>
                                  <w:vAlign w:val="center"/>
                                </w:tcPr>
                                <w:p>
                                  <w:pPr>
                                    <w:pStyle w:val="FrameContents"/>
                                    <w:spacing w:lineRule="auto" w:line="240" w:before="80" w:after="60"/>
                                    <w:jc w:val="center"/>
                                    <w:rPr>
                                      <w:color w:val="00000A"/>
                                    </w:rPr>
                                  </w:pPr>
                                  <w:bookmarkStart w:id="3475" w:name="__UnoMark__20345_118561941"/>
                                  <w:bookmarkStart w:id="3476" w:name="__UnoMark__20344_118561941"/>
                                  <w:bookmarkEnd w:id="3475"/>
                                  <w:bookmarkEnd w:id="3476"/>
                                  <w:r>
                                    <w:rPr>
                                      <w:color w:val="00000A"/>
                                      <w:sz w:val="18"/>
                                      <w:szCs w:val="18"/>
                                      <w:lang w:val="en-US"/>
                                    </w:rPr>
                                    <w:t>0.004</w:t>
                                  </w:r>
                                </w:p>
                              </w:tc>
                              <w:tc>
                                <w:tcPr>
                                  <w:tcW w:w="228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3477" w:name="__UnoMark__20347_118561941"/>
                                  <w:bookmarkStart w:id="3478" w:name="__UnoMark__20346_118561941"/>
                                  <w:bookmarkEnd w:id="3477"/>
                                  <w:bookmarkEnd w:id="3478"/>
                                  <w:r>
                                    <w:rPr>
                                      <w:color w:val="00000A"/>
                                      <w:sz w:val="18"/>
                                      <w:szCs w:val="18"/>
                                      <w:lang w:val="en-US"/>
                                    </w:rPr>
                                    <w:t>Hay diferencias significativas</w:t>
                                  </w:r>
                                </w:p>
                              </w:tc>
                            </w:tr>
                            <w:tr>
                              <w:trPr>
                                <w:trHeight w:val="702" w:hRule="atLeast"/>
                                <w:cantSplit w:val="true"/>
                              </w:trPr>
                              <w:tc>
                                <w:tcPr>
                                  <w:tcW w:w="3545"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left"/>
                                    <w:rPr>
                                      <w:color w:val="00000A"/>
                                    </w:rPr>
                                  </w:pPr>
                                  <w:bookmarkStart w:id="3479" w:name="__UnoMark__20348_118561941"/>
                                  <w:bookmarkEnd w:id="3479"/>
                                  <w:r>
                                    <w:rPr>
                                      <w:i/>
                                      <w:color w:val="00000A"/>
                                      <w:sz w:val="18"/>
                                      <w:szCs w:val="18"/>
                                      <w:lang w:val="en-US"/>
                                    </w:rPr>
                                    <w:t xml:space="preserve">Wilcoxon test </w:t>
                                  </w:r>
                                </w:p>
                                <w:p>
                                  <w:pPr>
                                    <w:pStyle w:val="FrameContents"/>
                                    <w:spacing w:lineRule="auto" w:line="240"/>
                                    <w:jc w:val="left"/>
                                    <w:rPr>
                                      <w:color w:val="00000A"/>
                                    </w:rPr>
                                  </w:pPr>
                                  <w:r>
                                    <w:rPr>
                                      <w:color w:val="00000A"/>
                                      <w:sz w:val="18"/>
                                      <w:szCs w:val="18"/>
                                      <w:lang w:val="en-US"/>
                                    </w:rPr>
                                    <w:t xml:space="preserve">GA_LDS (grupo C) – </w:t>
                                  </w:r>
                                </w:p>
                                <w:p>
                                  <w:pPr>
                                    <w:pStyle w:val="FrameContents"/>
                                    <w:spacing w:lineRule="auto" w:line="240" w:before="80" w:after="60"/>
                                    <w:jc w:val="left"/>
                                    <w:rPr>
                                      <w:color w:val="00000A"/>
                                    </w:rPr>
                                  </w:pPr>
                                  <w:bookmarkStart w:id="3480" w:name="__UnoMark__20349_118561941"/>
                                  <w:bookmarkEnd w:id="3480"/>
                                  <w:r>
                                    <w:rPr>
                                      <w:color w:val="00000A"/>
                                      <w:sz w:val="18"/>
                                      <w:szCs w:val="18"/>
                                    </w:rPr>
                                    <w:t>ACO_LDS (grupo D)</w:t>
                                  </w:r>
                                </w:p>
                              </w:tc>
                              <w:tc>
                                <w:tcPr>
                                  <w:tcW w:w="1267" w:type="dxa"/>
                                  <w:tcBorders>
                                    <w:top w:val="single" w:sz="4" w:space="0" w:color="00000A"/>
                                    <w:bottom w:val="single" w:sz="2" w:space="0" w:color="00000A"/>
                                    <w:insideH w:val="single" w:sz="2" w:space="0" w:color="00000A"/>
                                  </w:tcBorders>
                                  <w:shd w:color="auto" w:fill="FFFF00" w:val="clear"/>
                                  <w:vAlign w:val="center"/>
                                </w:tcPr>
                                <w:p>
                                  <w:pPr>
                                    <w:pStyle w:val="FrameContents"/>
                                    <w:spacing w:lineRule="auto" w:line="240" w:before="80" w:after="60"/>
                                    <w:jc w:val="center"/>
                                    <w:rPr>
                                      <w:color w:val="00000A"/>
                                    </w:rPr>
                                  </w:pPr>
                                  <w:bookmarkStart w:id="3481" w:name="__UnoMark__20351_118561941"/>
                                  <w:bookmarkStart w:id="3482" w:name="__UnoMark__20350_118561941"/>
                                  <w:bookmarkEnd w:id="3481"/>
                                  <w:bookmarkEnd w:id="3482"/>
                                  <w:r>
                                    <w:rPr>
                                      <w:color w:val="00000A"/>
                                      <w:sz w:val="18"/>
                                      <w:szCs w:val="18"/>
                                      <w:lang w:val="en-US"/>
                                    </w:rPr>
                                    <w:t>0.002</w:t>
                                  </w:r>
                                </w:p>
                              </w:tc>
                              <w:tc>
                                <w:tcPr>
                                  <w:tcW w:w="228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3483" w:name="__UnoMark__20352_118561941"/>
                                  <w:bookmarkEnd w:id="3483"/>
                                  <w:r>
                                    <w:rPr>
                                      <w:color w:val="00000A"/>
                                      <w:sz w:val="18"/>
                                      <w:szCs w:val="18"/>
                                      <w:lang w:val="en-US"/>
                                    </w:rPr>
                                    <w:t>Hay diferencias significativas</w:t>
                                  </w:r>
                                </w:p>
                              </w:tc>
                            </w:tr>
                          </w:tbl>
                          <w:p>
                            <w:pPr>
                              <w:pStyle w:val="FrameContents"/>
                              <w:spacing w:before="80" w:after="60"/>
                              <w:rPr>
                                <w:color w:val="000000"/>
                              </w:rPr>
                            </w:pPr>
                            <w:r>
                              <w:rPr>
                                <w:color w:val="000000"/>
                              </w:rPr>
                            </w:r>
                          </w:p>
                        </w:txbxContent>
                      </wps:txbx>
                      <wps:bodyPr lIns="0" rIns="0" tIns="0" bIns="0">
                        <a:spAutoFit/>
                      </wps:bodyPr>
                    </wps:wsp>
                  </a:graphicData>
                </a:graphic>
                <wp14:sizeRelH relativeFrom="margin">
                  <wp14:pctWidth>79000</wp14:pctWidth>
                </wp14:sizeRelH>
              </wp:anchor>
            </w:drawing>
          </mc:Choice>
          <mc:Fallback>
            <w:pict>
              <v:rect id="shape_0" ID="Frame41" stroked="f" style="position:absolute;margin-left:47.15pt;margin-top:-6.55pt;width:354.55pt;height:219.8pt;mso-position-horizontal:center;mso-position-horizontal-relative:margin">
                <w10:wrap type="none"/>
                <v:fill o:detectmouseclick="t" on="false"/>
                <v:stroke color="#3465a4" joinstyle="round" endcap="flat"/>
                <v:textbox>
                  <w:txbxContent>
                    <w:tbl>
                      <w:tblPr>
                        <w:tblW w:w="5000" w:type="pct"/>
                        <w:jc w:val="center"/>
                        <w:tblInd w:w="0" w:type="dxa"/>
                        <w:tblBorders>
                          <w:top w:val="single" w:sz="2" w:space="0" w:color="00000A"/>
                          <w:bottom w:val="single" w:sz="2" w:space="0" w:color="00000A"/>
                          <w:insideH w:val="single" w:sz="2" w:space="0" w:color="00000A"/>
                        </w:tblBorders>
                        <w:tblCellMar>
                          <w:top w:w="0" w:type="dxa"/>
                          <w:left w:w="0" w:type="dxa"/>
                          <w:bottom w:w="0" w:type="dxa"/>
                          <w:right w:w="0" w:type="dxa"/>
                        </w:tblCellMar>
                        <w:tblLook w:val="0000" w:noVBand="0" w:noHBand="0" w:lastColumn="0" w:firstColumn="0" w:lastRow="0" w:firstRow="0"/>
                      </w:tblPr>
                      <w:tblGrid>
                        <w:gridCol w:w="3545"/>
                        <w:gridCol w:w="1267"/>
                        <w:gridCol w:w="2282"/>
                      </w:tblGrid>
                      <w:tr>
                        <w:trPr>
                          <w:cantSplit w:val="true"/>
                        </w:trPr>
                        <w:tc>
                          <w:tcPr>
                            <w:tcW w:w="3545"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left"/>
                              <w:rPr>
                                <w:color w:val="00000A"/>
                              </w:rPr>
                            </w:pPr>
                            <w:bookmarkStart w:id="3484" w:name="__UnoMark__20325_118561941"/>
                            <w:bookmarkEnd w:id="3484"/>
                            <w:r>
                              <w:rPr>
                                <w:color w:val="00000A"/>
                                <w:sz w:val="18"/>
                                <w:szCs w:val="18"/>
                                <w:lang w:val="en-US"/>
                              </w:rPr>
                              <w:t>Algoritmos</w:t>
                            </w:r>
                          </w:p>
                        </w:tc>
                        <w:tc>
                          <w:tcPr>
                            <w:tcW w:w="126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3485" w:name="__UnoMark__20327_118561941"/>
                            <w:bookmarkStart w:id="3486" w:name="__UnoMark__20326_118561941"/>
                            <w:bookmarkEnd w:id="3485"/>
                            <w:bookmarkEnd w:id="3486"/>
                            <w:r>
                              <w:rPr>
                                <w:color w:val="00000A"/>
                                <w:sz w:val="18"/>
                                <w:szCs w:val="18"/>
                                <w:lang w:val="en-US"/>
                              </w:rPr>
                              <w:t>p-value</w:t>
                            </w:r>
                          </w:p>
                        </w:tc>
                        <w:tc>
                          <w:tcPr>
                            <w:tcW w:w="228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3487" w:name="__UnoMark__20329_118561941"/>
                            <w:bookmarkStart w:id="3488" w:name="__UnoMark__20328_118561941"/>
                            <w:bookmarkEnd w:id="3487"/>
                            <w:bookmarkEnd w:id="3488"/>
                            <w:r>
                              <w:rPr>
                                <w:color w:val="00000A"/>
                                <w:sz w:val="18"/>
                                <w:szCs w:val="18"/>
                                <w:lang w:val="en-US"/>
                              </w:rPr>
                              <w:t>Resultados</w:t>
                            </w:r>
                          </w:p>
                        </w:tc>
                      </w:tr>
                      <w:tr>
                        <w:trPr>
                          <w:trHeight w:val="801" w:hRule="atLeast"/>
                          <w:cantSplit w:val="true"/>
                        </w:trPr>
                        <w:tc>
                          <w:tcPr>
                            <w:tcW w:w="3545"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left"/>
                              <w:rPr>
                                <w:color w:val="00000A"/>
                              </w:rPr>
                            </w:pPr>
                            <w:bookmarkStart w:id="3489" w:name="__UnoMark__20330_118561941"/>
                            <w:bookmarkEnd w:id="3489"/>
                            <w:r>
                              <w:rPr>
                                <w:i/>
                                <w:color w:val="00000A"/>
                                <w:sz w:val="18"/>
                                <w:szCs w:val="18"/>
                                <w:lang w:val="en-US"/>
                              </w:rPr>
                              <w:t xml:space="preserve">Wilcoxon test </w:t>
                            </w:r>
                          </w:p>
                          <w:p>
                            <w:pPr>
                              <w:pStyle w:val="FrameContents"/>
                              <w:spacing w:lineRule="auto" w:line="240"/>
                              <w:jc w:val="left"/>
                              <w:rPr>
                                <w:color w:val="00000A"/>
                              </w:rPr>
                            </w:pPr>
                            <w:r>
                              <w:rPr>
                                <w:color w:val="00000A"/>
                                <w:sz w:val="18"/>
                                <w:szCs w:val="18"/>
                                <w:lang w:val="en-US"/>
                              </w:rPr>
                              <w:t xml:space="preserve">RST_LDS (grupo A) – </w:t>
                            </w:r>
                          </w:p>
                          <w:p>
                            <w:pPr>
                              <w:pStyle w:val="FrameContents"/>
                              <w:spacing w:lineRule="auto" w:line="240" w:before="80" w:after="60"/>
                              <w:jc w:val="left"/>
                              <w:rPr>
                                <w:color w:val="00000A"/>
                              </w:rPr>
                            </w:pPr>
                            <w:bookmarkStart w:id="3490" w:name="__UnoMark__20331_118561941"/>
                            <w:bookmarkEnd w:id="3490"/>
                            <w:r>
                              <w:rPr>
                                <w:color w:val="00000A"/>
                                <w:sz w:val="18"/>
                                <w:szCs w:val="18"/>
                                <w:lang w:val="en-US"/>
                              </w:rPr>
                              <w:t>PCA_LDS (grupo B)</w:t>
                            </w:r>
                          </w:p>
                        </w:tc>
                        <w:tc>
                          <w:tcPr>
                            <w:tcW w:w="1267" w:type="dxa"/>
                            <w:tcBorders>
                              <w:top w:val="single" w:sz="2" w:space="0" w:color="00000A"/>
                              <w:bottom w:val="single" w:sz="2" w:space="0" w:color="00000A"/>
                              <w:insideH w:val="single" w:sz="2" w:space="0" w:color="00000A"/>
                            </w:tcBorders>
                            <w:shd w:color="auto" w:fill="FFFF00" w:val="clear"/>
                            <w:vAlign w:val="center"/>
                          </w:tcPr>
                          <w:p>
                            <w:pPr>
                              <w:pStyle w:val="FrameContents"/>
                              <w:spacing w:lineRule="auto" w:line="240" w:before="80" w:after="60"/>
                              <w:jc w:val="center"/>
                              <w:rPr>
                                <w:color w:val="00000A"/>
                              </w:rPr>
                            </w:pPr>
                            <w:bookmarkStart w:id="3491" w:name="__UnoMark__20333_118561941"/>
                            <w:bookmarkStart w:id="3492" w:name="__UnoMark__20332_118561941"/>
                            <w:bookmarkEnd w:id="3491"/>
                            <w:bookmarkEnd w:id="3492"/>
                            <w:r>
                              <w:rPr>
                                <w:color w:val="00000A"/>
                                <w:sz w:val="18"/>
                                <w:szCs w:val="18"/>
                                <w:lang w:val="en-US"/>
                              </w:rPr>
                              <w:t>0.002</w:t>
                            </w:r>
                          </w:p>
                        </w:tc>
                        <w:tc>
                          <w:tcPr>
                            <w:tcW w:w="228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3493" w:name="__UnoMark__20335_118561941"/>
                            <w:bookmarkStart w:id="3494" w:name="__UnoMark__20334_118561941"/>
                            <w:bookmarkEnd w:id="3493"/>
                            <w:bookmarkEnd w:id="3494"/>
                            <w:r>
                              <w:rPr>
                                <w:color w:val="00000A"/>
                                <w:sz w:val="18"/>
                                <w:szCs w:val="18"/>
                                <w:lang w:val="en-US"/>
                              </w:rPr>
                              <w:t>Hay diferencias significativas</w:t>
                            </w:r>
                          </w:p>
                        </w:tc>
                      </w:tr>
                      <w:tr>
                        <w:trPr>
                          <w:trHeight w:val="702" w:hRule="atLeast"/>
                          <w:cantSplit w:val="true"/>
                        </w:trPr>
                        <w:tc>
                          <w:tcPr>
                            <w:tcW w:w="3545"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left"/>
                              <w:rPr>
                                <w:color w:val="00000A"/>
                              </w:rPr>
                            </w:pPr>
                            <w:bookmarkStart w:id="3495" w:name="__UnoMark__20336_118561941"/>
                            <w:bookmarkEnd w:id="3495"/>
                            <w:r>
                              <w:rPr>
                                <w:i/>
                                <w:color w:val="00000A"/>
                                <w:sz w:val="18"/>
                                <w:szCs w:val="18"/>
                                <w:lang w:val="en-US"/>
                              </w:rPr>
                              <w:t>Wilcoxon test</w:t>
                            </w:r>
                            <w:r>
                              <w:rPr>
                                <w:color w:val="00000A"/>
                                <w:sz w:val="18"/>
                                <w:szCs w:val="18"/>
                                <w:lang w:val="en-US"/>
                              </w:rPr>
                              <w:t xml:space="preserve"> (grupo B)</w:t>
                            </w:r>
                          </w:p>
                          <w:p>
                            <w:pPr>
                              <w:pStyle w:val="FrameContents"/>
                              <w:spacing w:lineRule="auto" w:line="240"/>
                              <w:jc w:val="left"/>
                              <w:rPr>
                                <w:color w:val="00000A"/>
                              </w:rPr>
                            </w:pPr>
                            <w:r>
                              <w:rPr>
                                <w:color w:val="00000A"/>
                                <w:sz w:val="18"/>
                                <w:szCs w:val="18"/>
                                <w:lang w:val="en-US"/>
                              </w:rPr>
                              <w:t>PCA_LDS - Apriori_LDS</w:t>
                            </w:r>
                          </w:p>
                          <w:p>
                            <w:pPr>
                              <w:pStyle w:val="FrameContents"/>
                              <w:spacing w:lineRule="auto" w:line="240" w:before="80" w:after="60"/>
                              <w:jc w:val="left"/>
                              <w:rPr>
                                <w:color w:val="00000A"/>
                              </w:rPr>
                            </w:pPr>
                            <w:bookmarkStart w:id="3496" w:name="__UnoMark__20337_118561941"/>
                            <w:bookmarkEnd w:id="3496"/>
                            <w:r>
                              <w:rPr>
                                <w:color w:val="00000A"/>
                                <w:sz w:val="18"/>
                                <w:szCs w:val="18"/>
                                <w:lang w:val="en-US"/>
                              </w:rPr>
                              <w:t>PCA_LDS - LPA_LDS</w:t>
                            </w:r>
                          </w:p>
                        </w:tc>
                        <w:tc>
                          <w:tcPr>
                            <w:tcW w:w="1267"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sz w:val="18"/>
                                <w:szCs w:val="18"/>
                                <w:lang w:val="en-US"/>
                              </w:rPr>
                            </w:pPr>
                            <w:bookmarkStart w:id="3497" w:name="__UnoMark__20338_118561941"/>
                            <w:bookmarkStart w:id="3498" w:name="__UnoMark__20338_118561941"/>
                            <w:bookmarkEnd w:id="3498"/>
                            <w:r>
                              <w:rPr>
                                <w:color w:val="00000A"/>
                                <w:sz w:val="18"/>
                                <w:szCs w:val="18"/>
                                <w:lang w:val="en-US"/>
                              </w:rPr>
                            </w:r>
                          </w:p>
                          <w:p>
                            <w:pPr>
                              <w:pStyle w:val="FrameContents"/>
                              <w:spacing w:lineRule="auto" w:line="240"/>
                              <w:jc w:val="center"/>
                              <w:rPr>
                                <w:color w:val="00000A"/>
                              </w:rPr>
                            </w:pPr>
                            <w:r>
                              <w:rPr>
                                <w:color w:val="00000A"/>
                                <w:sz w:val="18"/>
                                <w:szCs w:val="18"/>
                                <w:lang w:val="en-US"/>
                              </w:rPr>
                              <w:t>0.158</w:t>
                            </w:r>
                          </w:p>
                          <w:p>
                            <w:pPr>
                              <w:pStyle w:val="FrameContents"/>
                              <w:spacing w:lineRule="auto" w:line="240" w:before="80" w:after="60"/>
                              <w:jc w:val="center"/>
                              <w:rPr>
                                <w:color w:val="00000A"/>
                              </w:rPr>
                            </w:pPr>
                            <w:bookmarkStart w:id="3499" w:name="__UnoMark__20339_118561941"/>
                            <w:bookmarkEnd w:id="3499"/>
                            <w:r>
                              <w:rPr>
                                <w:color w:val="00000A"/>
                                <w:sz w:val="18"/>
                                <w:szCs w:val="18"/>
                                <w:lang w:val="en-US"/>
                              </w:rPr>
                              <w:t>0.814</w:t>
                            </w:r>
                          </w:p>
                        </w:tc>
                        <w:tc>
                          <w:tcPr>
                            <w:tcW w:w="228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3500" w:name="__UnoMark__20341_118561941"/>
                            <w:bookmarkStart w:id="3501" w:name="__UnoMark__20340_118561941"/>
                            <w:bookmarkEnd w:id="3500"/>
                            <w:bookmarkEnd w:id="3501"/>
                            <w:r>
                              <w:rPr>
                                <w:color w:val="00000A"/>
                                <w:sz w:val="18"/>
                                <w:szCs w:val="18"/>
                                <w:lang w:val="en-US"/>
                              </w:rPr>
                              <w:t>No hay diferencias significativas</w:t>
                            </w:r>
                          </w:p>
                        </w:tc>
                      </w:tr>
                      <w:tr>
                        <w:trPr>
                          <w:trHeight w:val="702" w:hRule="atLeast"/>
                          <w:cantSplit w:val="true"/>
                        </w:trPr>
                        <w:tc>
                          <w:tcPr>
                            <w:tcW w:w="3545"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left"/>
                              <w:rPr>
                                <w:color w:val="00000A"/>
                              </w:rPr>
                            </w:pPr>
                            <w:bookmarkStart w:id="3502" w:name="__UnoMark__20342_118561941"/>
                            <w:bookmarkEnd w:id="3502"/>
                            <w:r>
                              <w:rPr>
                                <w:i/>
                                <w:color w:val="00000A"/>
                                <w:sz w:val="18"/>
                                <w:szCs w:val="18"/>
                                <w:lang w:val="en-US"/>
                              </w:rPr>
                              <w:t xml:space="preserve">Wilcoxon test </w:t>
                            </w:r>
                          </w:p>
                          <w:p>
                            <w:pPr>
                              <w:pStyle w:val="FrameContents"/>
                              <w:spacing w:lineRule="auto" w:line="240"/>
                              <w:jc w:val="left"/>
                              <w:rPr>
                                <w:color w:val="00000A"/>
                              </w:rPr>
                            </w:pPr>
                            <w:r>
                              <w:rPr>
                                <w:color w:val="00000A"/>
                                <w:sz w:val="18"/>
                                <w:szCs w:val="18"/>
                                <w:lang w:val="en-US"/>
                              </w:rPr>
                              <w:t xml:space="preserve">PCA_LDS (grupo B) – </w:t>
                            </w:r>
                          </w:p>
                          <w:p>
                            <w:pPr>
                              <w:pStyle w:val="FrameContents"/>
                              <w:spacing w:lineRule="auto" w:line="240" w:before="80" w:after="60"/>
                              <w:jc w:val="left"/>
                              <w:rPr>
                                <w:color w:val="00000A"/>
                              </w:rPr>
                            </w:pPr>
                            <w:bookmarkStart w:id="3503" w:name="__UnoMark__20343_118561941"/>
                            <w:bookmarkEnd w:id="3503"/>
                            <w:r>
                              <w:rPr>
                                <w:color w:val="00000A"/>
                                <w:sz w:val="18"/>
                                <w:szCs w:val="18"/>
                                <w:lang w:val="en-US"/>
                              </w:rPr>
                              <w:t>GA_LDS (grupo C)</w:t>
                            </w:r>
                          </w:p>
                        </w:tc>
                        <w:tc>
                          <w:tcPr>
                            <w:tcW w:w="1267" w:type="dxa"/>
                            <w:tcBorders>
                              <w:top w:val="single" w:sz="2" w:space="0" w:color="00000A"/>
                              <w:bottom w:val="single" w:sz="4" w:space="0" w:color="00000A"/>
                              <w:insideH w:val="single" w:sz="4" w:space="0" w:color="00000A"/>
                            </w:tcBorders>
                            <w:shd w:color="auto" w:fill="FFFF00" w:val="clear"/>
                            <w:vAlign w:val="center"/>
                          </w:tcPr>
                          <w:p>
                            <w:pPr>
                              <w:pStyle w:val="FrameContents"/>
                              <w:spacing w:lineRule="auto" w:line="240" w:before="80" w:after="60"/>
                              <w:jc w:val="center"/>
                              <w:rPr>
                                <w:color w:val="00000A"/>
                              </w:rPr>
                            </w:pPr>
                            <w:bookmarkStart w:id="3504" w:name="__UnoMark__20345_118561941"/>
                            <w:bookmarkStart w:id="3505" w:name="__UnoMark__20344_118561941"/>
                            <w:bookmarkEnd w:id="3504"/>
                            <w:bookmarkEnd w:id="3505"/>
                            <w:r>
                              <w:rPr>
                                <w:color w:val="00000A"/>
                                <w:sz w:val="18"/>
                                <w:szCs w:val="18"/>
                                <w:lang w:val="en-US"/>
                              </w:rPr>
                              <w:t>0.004</w:t>
                            </w:r>
                          </w:p>
                        </w:tc>
                        <w:tc>
                          <w:tcPr>
                            <w:tcW w:w="228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3506" w:name="__UnoMark__20347_118561941"/>
                            <w:bookmarkStart w:id="3507" w:name="__UnoMark__20346_118561941"/>
                            <w:bookmarkEnd w:id="3506"/>
                            <w:bookmarkEnd w:id="3507"/>
                            <w:r>
                              <w:rPr>
                                <w:color w:val="00000A"/>
                                <w:sz w:val="18"/>
                                <w:szCs w:val="18"/>
                                <w:lang w:val="en-US"/>
                              </w:rPr>
                              <w:t>Hay diferencias significativas</w:t>
                            </w:r>
                          </w:p>
                        </w:tc>
                      </w:tr>
                      <w:tr>
                        <w:trPr>
                          <w:trHeight w:val="702" w:hRule="atLeast"/>
                          <w:cantSplit w:val="true"/>
                        </w:trPr>
                        <w:tc>
                          <w:tcPr>
                            <w:tcW w:w="3545"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left"/>
                              <w:rPr>
                                <w:color w:val="00000A"/>
                              </w:rPr>
                            </w:pPr>
                            <w:bookmarkStart w:id="3508" w:name="__UnoMark__20348_118561941"/>
                            <w:bookmarkEnd w:id="3508"/>
                            <w:r>
                              <w:rPr>
                                <w:i/>
                                <w:color w:val="00000A"/>
                                <w:sz w:val="18"/>
                                <w:szCs w:val="18"/>
                                <w:lang w:val="en-US"/>
                              </w:rPr>
                              <w:t xml:space="preserve">Wilcoxon test </w:t>
                            </w:r>
                          </w:p>
                          <w:p>
                            <w:pPr>
                              <w:pStyle w:val="FrameContents"/>
                              <w:spacing w:lineRule="auto" w:line="240"/>
                              <w:jc w:val="left"/>
                              <w:rPr>
                                <w:color w:val="00000A"/>
                              </w:rPr>
                            </w:pPr>
                            <w:r>
                              <w:rPr>
                                <w:color w:val="00000A"/>
                                <w:sz w:val="18"/>
                                <w:szCs w:val="18"/>
                                <w:lang w:val="en-US"/>
                              </w:rPr>
                              <w:t xml:space="preserve">GA_LDS (grupo C) – </w:t>
                            </w:r>
                          </w:p>
                          <w:p>
                            <w:pPr>
                              <w:pStyle w:val="FrameContents"/>
                              <w:spacing w:lineRule="auto" w:line="240" w:before="80" w:after="60"/>
                              <w:jc w:val="left"/>
                              <w:rPr>
                                <w:color w:val="00000A"/>
                              </w:rPr>
                            </w:pPr>
                            <w:bookmarkStart w:id="3509" w:name="__UnoMark__20349_118561941"/>
                            <w:bookmarkEnd w:id="3509"/>
                            <w:r>
                              <w:rPr>
                                <w:color w:val="00000A"/>
                                <w:sz w:val="18"/>
                                <w:szCs w:val="18"/>
                              </w:rPr>
                              <w:t>ACO_LDS (grupo D)</w:t>
                            </w:r>
                          </w:p>
                        </w:tc>
                        <w:tc>
                          <w:tcPr>
                            <w:tcW w:w="1267" w:type="dxa"/>
                            <w:tcBorders>
                              <w:top w:val="single" w:sz="4" w:space="0" w:color="00000A"/>
                              <w:bottom w:val="single" w:sz="2" w:space="0" w:color="00000A"/>
                              <w:insideH w:val="single" w:sz="2" w:space="0" w:color="00000A"/>
                            </w:tcBorders>
                            <w:shd w:color="auto" w:fill="FFFF00" w:val="clear"/>
                            <w:vAlign w:val="center"/>
                          </w:tcPr>
                          <w:p>
                            <w:pPr>
                              <w:pStyle w:val="FrameContents"/>
                              <w:spacing w:lineRule="auto" w:line="240" w:before="80" w:after="60"/>
                              <w:jc w:val="center"/>
                              <w:rPr>
                                <w:color w:val="00000A"/>
                              </w:rPr>
                            </w:pPr>
                            <w:bookmarkStart w:id="3510" w:name="__UnoMark__20351_118561941"/>
                            <w:bookmarkStart w:id="3511" w:name="__UnoMark__20350_118561941"/>
                            <w:bookmarkEnd w:id="3510"/>
                            <w:bookmarkEnd w:id="3511"/>
                            <w:r>
                              <w:rPr>
                                <w:color w:val="00000A"/>
                                <w:sz w:val="18"/>
                                <w:szCs w:val="18"/>
                                <w:lang w:val="en-US"/>
                              </w:rPr>
                              <w:t>0.002</w:t>
                            </w:r>
                          </w:p>
                        </w:tc>
                        <w:tc>
                          <w:tcPr>
                            <w:tcW w:w="2282" w:type="dxa"/>
                            <w:tcBorders>
                              <w:top w:val="single" w:sz="2" w:space="0" w:color="00000A"/>
                              <w:bottom w:val="single" w:sz="2" w:space="0" w:color="00000A"/>
                              <w:insideH w:val="single" w:sz="2" w:space="0" w:color="00000A"/>
                            </w:tcBorders>
                            <w:shd w:color="auto" w:fill="auto" w:val="clear"/>
                            <w:vAlign w:val="center"/>
                          </w:tcPr>
                          <w:p>
                            <w:pPr>
                              <w:pStyle w:val="FrameContents"/>
                              <w:spacing w:lineRule="auto" w:line="240" w:before="80" w:after="60"/>
                              <w:jc w:val="center"/>
                              <w:rPr>
                                <w:color w:val="00000A"/>
                              </w:rPr>
                            </w:pPr>
                            <w:bookmarkStart w:id="3512" w:name="__UnoMark__20352_118561941"/>
                            <w:bookmarkEnd w:id="3512"/>
                            <w:r>
                              <w:rPr>
                                <w:color w:val="00000A"/>
                                <w:sz w:val="18"/>
                                <w:szCs w:val="18"/>
                                <w:lang w:val="en-US"/>
                              </w:rPr>
                              <w:t>Hay diferencias significativas</w:t>
                            </w:r>
                          </w:p>
                        </w:tc>
                      </w:tr>
                    </w:tbl>
                    <w:p>
                      <w:pPr>
                        <w:pStyle w:val="FrameContents"/>
                        <w:spacing w:before="80" w:after="60"/>
                        <w:rPr>
                          <w:color w:val="000000"/>
                        </w:rPr>
                      </w:pPr>
                      <w:r>
                        <w:rPr>
                          <w:color w:val="000000"/>
                        </w:rPr>
                      </w:r>
                    </w:p>
                  </w:txbxContent>
                </v:textbox>
              </v:rect>
            </w:pict>
          </mc:Fallback>
        </mc:AlternateContent>
      </w:r>
    </w:p>
    <w:p>
      <w:pPr>
        <w:pStyle w:val="Normal"/>
        <w:rPr>
          <w:lang w:val="en-US"/>
        </w:rPr>
      </w:pPr>
      <w:r>
        <w:rPr>
          <w:lang w:val="en-US"/>
        </w:rPr>
        <w:t xml:space="preserve">En la comparación de los algoritmos, se aplicaron pruebas no paramétricas y se demuestra que existen diferencias significativas entre ellos, donde el algoritmo </w:t>
      </w:r>
      <w:r>
        <w:rPr>
          <w:rFonts w:cs="Courier New" w:ascii="Courier New" w:hAnsi="Courier New"/>
        </w:rPr>
        <w:t>RST_LDS</w:t>
      </w:r>
      <w:r>
        <w:rPr>
          <w:lang w:val="en-US"/>
        </w:rPr>
        <w:t xml:space="preserve"> está ubicado en el “grupo A” reportando mejores tiempos de ejecución. Los algoritmos </w:t>
      </w:r>
      <w:r>
        <w:rPr>
          <w:rFonts w:cs="Courier New" w:ascii="Courier New" w:hAnsi="Courier New"/>
        </w:rPr>
        <w:t>PCA_LDS</w:t>
      </w:r>
      <w:r>
        <w:rPr>
          <w:lang w:val="en-US"/>
        </w:rPr>
        <w:t xml:space="preserve">, </w:t>
      </w:r>
      <w:r>
        <w:rPr>
          <w:rFonts w:cs="Courier New" w:ascii="Courier New" w:hAnsi="Courier New"/>
        </w:rPr>
        <w:t>Apriori_LDS</w:t>
      </w:r>
      <w:r>
        <w:rPr>
          <w:lang w:val="en-US"/>
        </w:rPr>
        <w:t xml:space="preserve"> y </w:t>
      </w:r>
      <w:r>
        <w:rPr>
          <w:rFonts w:cs="Courier New" w:ascii="Courier New" w:hAnsi="Courier New"/>
        </w:rPr>
        <w:t>LPA_LDS</w:t>
      </w:r>
      <w:r>
        <w:rPr>
          <w:lang w:val="en-US"/>
        </w:rPr>
        <w:t xml:space="preserve"> sin diferencias significativas entre ellos en el “grupo B”. Posteriormente el </w:t>
      </w:r>
      <w:r>
        <w:rPr>
          <w:rFonts w:cs="Courier New" w:ascii="Courier New" w:hAnsi="Courier New"/>
        </w:rPr>
        <w:t>GA_LDS</w:t>
      </w:r>
      <w:r>
        <w:rPr>
          <w:lang w:val="en-US"/>
        </w:rPr>
        <w:t xml:space="preserve"> en el “grupo C” y el </w:t>
      </w:r>
      <w:r>
        <w:rPr>
          <w:rFonts w:cs="Courier New" w:ascii="Courier New" w:hAnsi="Courier New"/>
        </w:rPr>
        <w:t>ACO_LDS</w:t>
      </w:r>
      <w:r>
        <w:rPr>
          <w:lang w:val="en-US"/>
        </w:rPr>
        <w:t xml:space="preserve"> en el “grupo D” reportando los peores resultados.</w:t>
      </w:r>
    </w:p>
    <w:p>
      <w:pPr>
        <w:pStyle w:val="Normal"/>
        <w:rPr/>
      </w:pPr>
      <w:r>
        <w:rPr/>
        <w:t xml:space="preserve">En la </w:t>
      </w:r>
      <w:r>
        <w:rPr/>
        <w:fldChar w:fldCharType="begin"/>
      </w:r>
      <w:r>
        <w:instrText> REF _Ref76617430 \h </w:instrText>
      </w:r>
      <w:r>
        <w:fldChar w:fldCharType="separate"/>
      </w:r>
      <w:r>
        <w:t>Tabla 21</w:t>
      </w:r>
      <w:r>
        <w:fldChar w:fldCharType="end"/>
      </w:r>
      <w:r>
        <w:rPr/>
        <w:t xml:space="preserve"> se muestra la complejidad computacional de los algoritmos propuestos en la investigación y de los reportados en la bibliografía utilizados en la validación. En ella se observa que los algoritmos propuestos mejoran la complejidad computacional de los reportados en la bibliografía. Existe una correspondencia entre la complejidad computacional de los algoritmos con el tiempo de ejecución. </w:t>
      </w:r>
    </w:p>
    <w:p>
      <w:pPr>
        <w:pStyle w:val="Caption1"/>
        <w:keepNext/>
        <w:ind w:left="993" w:hanging="170"/>
        <w:jc w:val="left"/>
        <w:rPr/>
      </w:pPr>
      <w:bookmarkStart w:id="3513" w:name="_Toc84598991"/>
      <w:bookmarkStart w:id="3514" w:name="_Ref76617430"/>
      <w:r>
        <w:rPr/>
        <w:t xml:space="preserve">Tabla </w:t>
      </w:r>
      <w:r>
        <w:rPr/>
        <w:fldChar w:fldCharType="begin"/>
      </w:r>
      <w:r>
        <w:instrText> SEQ Tabla \* ARABIC </w:instrText>
      </w:r>
      <w:r>
        <w:fldChar w:fldCharType="separate"/>
      </w:r>
      <w:r>
        <w:t>21</w:t>
      </w:r>
      <w:r>
        <w:fldChar w:fldCharType="end"/>
      </w:r>
      <w:bookmarkEnd w:id="3513"/>
      <w:bookmarkEnd w:id="3514"/>
      <w:r>
        <w:rPr/>
        <w:t>: Complejidad de los algoritmos.</w:t>
      </w:r>
    </w:p>
    <w:tbl>
      <w:tblPr>
        <w:tblW w:w="8981" w:type="dxa"/>
        <w:jc w:val="center"/>
        <w:tblInd w:w="0" w:type="dxa"/>
        <w:tblBorders/>
        <w:tblCellMar>
          <w:top w:w="0" w:type="dxa"/>
          <w:left w:w="0" w:type="dxa"/>
          <w:bottom w:w="0" w:type="dxa"/>
          <w:right w:w="0" w:type="dxa"/>
        </w:tblCellMar>
        <w:tblLook w:val="0420" w:noVBand="1" w:noHBand="0" w:lastColumn="0" w:firstColumn="0" w:lastRow="0" w:firstRow="1"/>
      </w:tblPr>
      <w:tblGrid>
        <w:gridCol w:w="1833"/>
        <w:gridCol w:w="413"/>
        <w:gridCol w:w="1843"/>
        <w:gridCol w:w="402"/>
        <w:gridCol w:w="804"/>
        <w:gridCol w:w="1441"/>
        <w:gridCol w:w="2244"/>
      </w:tblGrid>
      <w:tr>
        <w:trPr>
          <w:trHeight w:val="3832" w:hRule="atLeast"/>
        </w:trPr>
        <w:tc>
          <w:tcPr>
            <w:tcW w:w="2246" w:type="dxa"/>
            <w:gridSpan w:val="2"/>
            <w:tcBorders/>
            <w:shd w:color="auto" w:fill="auto" w:val="clear"/>
            <w:vAlign w:val="center"/>
          </w:tcPr>
          <w:p>
            <w:pPr>
              <w:pStyle w:val="Normal"/>
              <w:spacing w:lineRule="auto" w:line="240" w:before="0" w:after="60"/>
              <w:jc w:val="center"/>
              <w:rPr/>
            </w:pPr>
            <w:r>
              <w:rPr/>
              <w:t>Algoritmos</w:t>
            </w:r>
          </w:p>
        </w:tc>
        <w:tc>
          <w:tcPr>
            <w:tcW w:w="2245" w:type="dxa"/>
            <w:gridSpan w:val="2"/>
            <w:tcBorders/>
            <w:shd w:color="auto" w:fill="auto" w:val="clear"/>
          </w:tcPr>
          <w:p>
            <w:pPr>
              <w:pStyle w:val="Normal"/>
              <w:spacing w:lineRule="auto" w:line="240" w:before="0" w:after="60"/>
              <w:jc w:val="center"/>
              <w:rPr/>
            </w:pPr>
            <w:r>
              <w:rPr/>
              <w:t>Complejidad</w:t>
            </w:r>
          </w:p>
        </w:tc>
        <w:tc>
          <w:tcPr>
            <w:tcW w:w="2245" w:type="dxa"/>
            <w:gridSpan w:val="2"/>
            <w:tcBorders/>
            <w:shd w:color="auto" w:fill="auto" w:val="clear"/>
          </w:tcPr>
          <w:p>
            <w:pPr>
              <w:pStyle w:val="Normal"/>
              <w:spacing w:lineRule="auto" w:line="240" w:before="0" w:after="60"/>
              <w:jc w:val="center"/>
              <w:rPr/>
            </w:pPr>
            <w:r>
              <w:rPr/>
              <w:t>Media T. (Ɐ BD)</w:t>
            </w:r>
          </w:p>
        </w:tc>
        <w:tc>
          <w:tcPr>
            <w:tcW w:w="2244" w:type="dxa"/>
            <w:tcBorders/>
            <w:shd w:color="auto" w:fill="auto" w:val="clear"/>
          </w:tcPr>
          <w:p>
            <w:pPr>
              <w:pStyle w:val="Normal"/>
              <w:spacing w:before="0" w:after="60"/>
              <w:ind w:left="240" w:hanging="0"/>
              <w:rPr/>
            </w:pPr>
            <w:r>
              <w:rPr/>
              <w:t>Donde:</w:t>
            </w:r>
          </w:p>
          <w:p>
            <w:pPr>
              <w:pStyle w:val="Normal"/>
              <w:spacing w:before="0" w:after="60"/>
              <w:ind w:left="240" w:hanging="0"/>
              <w:rPr/>
            </w:pPr>
            <w:r>
              <w:rPr>
                <w:i/>
                <w:iCs/>
              </w:rPr>
              <w:t xml:space="preserve">n: </w:t>
            </w:r>
            <w:r>
              <w:rPr/>
              <w:t>tamaño de la base de datos</w:t>
            </w:r>
            <w:r>
              <w:rPr>
                <w:i/>
                <w:iCs/>
              </w:rPr>
              <w:t>.</w:t>
            </w:r>
          </w:p>
          <w:p>
            <w:pPr>
              <w:pStyle w:val="Normal"/>
              <w:spacing w:before="0" w:after="60"/>
              <w:ind w:left="240" w:hanging="0"/>
              <w:rPr/>
            </w:pPr>
            <w:r>
              <w:rPr>
                <w:i/>
                <w:iCs/>
              </w:rPr>
              <w:t xml:space="preserve">p: </w:t>
            </w:r>
            <w:r>
              <w:rPr/>
              <w:t>cantidad de variables</w:t>
            </w:r>
            <w:r>
              <w:rPr>
                <w:i/>
                <w:iCs/>
              </w:rPr>
              <w:t>.</w:t>
            </w:r>
          </w:p>
          <w:p>
            <w:pPr>
              <w:pStyle w:val="Normal"/>
              <w:spacing w:before="0" w:after="60"/>
              <w:ind w:left="469" w:hanging="217"/>
              <w:rPr/>
            </w:pPr>
            <w:r>
              <w:rPr>
                <w:i/>
                <w:iCs/>
              </w:rPr>
              <w:t xml:space="preserve">k: </w:t>
            </w:r>
            <w:r>
              <w:rPr/>
              <w:t xml:space="preserve">tamaño medio de los resúmenes, </w:t>
            </w:r>
            <w:r>
              <w:rPr>
                <w:i/>
                <w:iCs/>
              </w:rPr>
              <w:t xml:space="preserve">k&lt;p. </w:t>
            </w:r>
          </w:p>
          <w:p>
            <w:pPr>
              <w:pStyle w:val="Normal"/>
              <w:spacing w:before="0" w:after="60"/>
              <w:ind w:left="240" w:hanging="0"/>
              <w:rPr/>
            </w:pPr>
            <w:r>
              <w:rPr>
                <w:i/>
                <w:iCs/>
              </w:rPr>
              <w:t xml:space="preserve">g: </w:t>
            </w:r>
            <w:r>
              <w:rPr/>
              <w:t>generaciones del algoritmo</w:t>
            </w:r>
            <w:r>
              <w:rPr>
                <w:i/>
                <w:iCs/>
              </w:rPr>
              <w:t>.</w:t>
            </w:r>
          </w:p>
          <w:p>
            <w:pPr>
              <w:pStyle w:val="Normal"/>
              <w:spacing w:before="0" w:after="60"/>
              <w:ind w:left="240" w:hanging="0"/>
              <w:rPr/>
            </w:pPr>
            <w:r>
              <w:rPr>
                <w:i/>
                <w:iCs/>
              </w:rPr>
              <w:t xml:space="preserve">d: </w:t>
            </w:r>
            <w:r>
              <w:rPr/>
              <w:t>número de individuos.</w:t>
            </w:r>
          </w:p>
          <w:p>
            <w:pPr>
              <w:pStyle w:val="Normal"/>
              <w:spacing w:before="0" w:after="60"/>
              <w:ind w:left="469" w:hanging="229"/>
              <w:rPr/>
            </w:pPr>
            <w:r>
              <w:rPr>
                <w:i/>
                <w:iCs/>
              </w:rPr>
              <w:t xml:space="preserve">z: </w:t>
            </w:r>
            <w:r>
              <w:rPr/>
              <w:t>cantidad de resúmenes por individuos</w:t>
            </w:r>
            <w:r>
              <w:rPr>
                <w:i/>
                <w:iCs/>
              </w:rPr>
              <w:t>.</w:t>
            </w:r>
          </w:p>
        </w:tc>
      </w:tr>
      <w:tr>
        <w:trPr>
          <w:trHeight w:val="209" w:hRule="atLeast"/>
        </w:trPr>
        <w:tc>
          <w:tcPr>
            <w:tcW w:w="1833" w:type="dxa"/>
            <w:tcBorders>
              <w:top w:val="single" w:sz="4" w:space="0" w:color="00000A"/>
              <w:bottom w:val="single" w:sz="4" w:space="0" w:color="00000A"/>
              <w:insideH w:val="single" w:sz="4" w:space="0" w:color="00000A"/>
            </w:tcBorders>
            <w:shd w:color="auto" w:fill="auto" w:val="clear"/>
            <w:tcMar>
              <w:top w:w="72" w:type="dxa"/>
              <w:left w:w="144" w:type="dxa"/>
              <w:bottom w:w="72" w:type="dxa"/>
              <w:right w:w="144" w:type="dxa"/>
            </w:tcMar>
            <w:vAlign w:val="center"/>
          </w:tcPr>
          <w:p>
            <w:pPr>
              <w:pStyle w:val="Normal"/>
              <w:spacing w:lineRule="auto" w:line="240" w:before="0" w:after="60"/>
              <w:jc w:val="center"/>
              <w:rPr/>
            </w:pPr>
            <w:r>
              <w:rPr>
                <w:lang w:val="en-US"/>
              </w:rPr>
              <w:t>RST_LDS (A)</w:t>
            </w:r>
          </w:p>
        </w:tc>
        <w:tc>
          <w:tcPr>
            <w:tcW w:w="2256" w:type="dxa"/>
            <w:gridSpan w:val="2"/>
            <w:tcBorders>
              <w:top w:val="single" w:sz="4" w:space="0" w:color="00000A"/>
              <w:bottom w:val="single" w:sz="4" w:space="0" w:color="00000A"/>
              <w:insideH w:val="single" w:sz="4" w:space="0" w:color="00000A"/>
            </w:tcBorders>
            <w:shd w:color="auto" w:fill="auto" w:val="clear"/>
            <w:tcMar>
              <w:top w:w="72" w:type="dxa"/>
              <w:left w:w="144" w:type="dxa"/>
              <w:bottom w:w="72" w:type="dxa"/>
              <w:right w:w="144" w:type="dxa"/>
            </w:tcMar>
            <w:vAlign w:val="center"/>
          </w:tcPr>
          <w:p>
            <w:pPr>
              <w:pStyle w:val="Normal"/>
              <w:spacing w:lineRule="auto" w:line="240" w:before="0" w:after="60"/>
              <w:jc w:val="center"/>
              <w:rPr/>
            </w:pPr>
            <w:r>
              <w:rPr>
                <w:i/>
                <w:iCs/>
              </w:rPr>
              <w:t>O(n</w:t>
            </w:r>
            <w:r>
              <w:rPr>
                <w:i/>
                <w:iCs/>
                <w:vertAlign w:val="superscript"/>
              </w:rPr>
              <w:t>2</w:t>
            </w:r>
            <w:r>
              <w:rPr>
                <w:i/>
                <w:iCs/>
              </w:rPr>
              <w:t>·p)</w:t>
            </w:r>
          </w:p>
        </w:tc>
        <w:tc>
          <w:tcPr>
            <w:tcW w:w="1206" w:type="dxa"/>
            <w:gridSpan w:val="2"/>
            <w:tcBorders>
              <w:top w:val="single" w:sz="4" w:space="0" w:color="00000A"/>
              <w:bottom w:val="single" w:sz="4" w:space="0" w:color="00000A"/>
              <w:insideH w:val="single" w:sz="4" w:space="0" w:color="00000A"/>
            </w:tcBorders>
            <w:shd w:color="auto" w:fill="auto" w:val="clear"/>
            <w:tcMar>
              <w:top w:w="72" w:type="dxa"/>
              <w:left w:w="144" w:type="dxa"/>
              <w:bottom w:w="72" w:type="dxa"/>
              <w:right w:w="144" w:type="dxa"/>
            </w:tcMar>
            <w:vAlign w:val="center"/>
          </w:tcPr>
          <w:p>
            <w:pPr>
              <w:pStyle w:val="Normal"/>
              <w:spacing w:lineRule="auto" w:line="240" w:before="0" w:after="60"/>
              <w:jc w:val="center"/>
              <w:rPr/>
            </w:pPr>
            <w:r>
              <w:rPr/>
              <w:t>2,11</w:t>
            </w:r>
          </w:p>
        </w:tc>
        <w:tc>
          <w:tcPr>
            <w:tcW w:w="3685" w:type="dxa"/>
            <w:gridSpan w:val="2"/>
            <w:tcBorders/>
            <w:shd w:color="auto" w:fill="auto" w:val="clear"/>
          </w:tcPr>
          <w:p>
            <w:pPr>
              <w:pStyle w:val="Normal"/>
              <w:spacing w:lineRule="auto" w:line="240" w:before="0" w:after="60"/>
              <w:jc w:val="center"/>
              <w:rPr/>
            </w:pPr>
            <w:r>
              <w:rPr/>
            </w:r>
          </w:p>
        </w:tc>
      </w:tr>
      <w:tr>
        <w:trPr>
          <w:trHeight w:val="178" w:hRule="atLeast"/>
        </w:trPr>
        <w:tc>
          <w:tcPr>
            <w:tcW w:w="1833" w:type="dxa"/>
            <w:tcBorders>
              <w:top w:val="single" w:sz="4" w:space="0" w:color="00000A"/>
            </w:tcBorders>
            <w:shd w:color="auto" w:fill="auto" w:val="clear"/>
            <w:tcMar>
              <w:top w:w="72" w:type="dxa"/>
              <w:left w:w="144" w:type="dxa"/>
              <w:bottom w:w="72" w:type="dxa"/>
              <w:right w:w="144" w:type="dxa"/>
            </w:tcMar>
            <w:vAlign w:val="center"/>
          </w:tcPr>
          <w:p>
            <w:pPr>
              <w:pStyle w:val="Normal"/>
              <w:spacing w:lineRule="auto" w:line="240" w:before="0" w:after="60"/>
              <w:jc w:val="center"/>
              <w:rPr/>
            </w:pPr>
            <w:r>
              <w:rPr>
                <w:lang w:val="en-US"/>
              </w:rPr>
              <w:t>PCA_LDS (B)</w:t>
            </w:r>
          </w:p>
        </w:tc>
        <w:tc>
          <w:tcPr>
            <w:tcW w:w="2256" w:type="dxa"/>
            <w:gridSpan w:val="2"/>
            <w:tcBorders>
              <w:top w:val="single" w:sz="4" w:space="0" w:color="00000A"/>
            </w:tcBorders>
            <w:shd w:color="auto" w:fill="auto" w:val="clear"/>
            <w:tcMar>
              <w:top w:w="72" w:type="dxa"/>
              <w:left w:w="144" w:type="dxa"/>
              <w:bottom w:w="72" w:type="dxa"/>
              <w:right w:w="144" w:type="dxa"/>
            </w:tcMar>
            <w:vAlign w:val="center"/>
          </w:tcPr>
          <w:p>
            <w:pPr>
              <w:pStyle w:val="Normal"/>
              <w:spacing w:lineRule="auto" w:line="240" w:before="0" w:after="60"/>
              <w:jc w:val="center"/>
              <w:rPr/>
            </w:pPr>
            <w:r>
              <w:rPr>
                <w:i/>
                <w:iCs/>
              </w:rPr>
              <w:t>O(max(p·2</w:t>
            </w:r>
            <w:r>
              <w:rPr>
                <w:i/>
                <w:iCs/>
                <w:vertAlign w:val="superscript"/>
              </w:rPr>
              <w:t>p+1</w:t>
            </w:r>
            <w:r>
              <w:rPr>
                <w:i/>
                <w:iCs/>
              </w:rPr>
              <w:t>, n</w:t>
            </w:r>
            <w:r>
              <w:rPr>
                <w:i/>
                <w:iCs/>
                <w:vertAlign w:val="superscript"/>
              </w:rPr>
              <w:t>2</w:t>
            </w:r>
            <w:r>
              <w:rPr>
                <w:i/>
                <w:iCs/>
              </w:rPr>
              <w:t>·p))</w:t>
            </w:r>
          </w:p>
        </w:tc>
        <w:tc>
          <w:tcPr>
            <w:tcW w:w="1206" w:type="dxa"/>
            <w:gridSpan w:val="2"/>
            <w:tcBorders>
              <w:top w:val="single" w:sz="4" w:space="0" w:color="00000A"/>
            </w:tcBorders>
            <w:shd w:color="auto" w:fill="auto" w:val="clear"/>
            <w:tcMar>
              <w:top w:w="72" w:type="dxa"/>
              <w:left w:w="144" w:type="dxa"/>
              <w:bottom w:w="72" w:type="dxa"/>
              <w:right w:w="144" w:type="dxa"/>
            </w:tcMar>
            <w:vAlign w:val="center"/>
          </w:tcPr>
          <w:p>
            <w:pPr>
              <w:pStyle w:val="Normal"/>
              <w:spacing w:lineRule="auto" w:line="240" w:before="0" w:after="60"/>
              <w:jc w:val="center"/>
              <w:rPr/>
            </w:pPr>
            <w:r>
              <w:rPr/>
              <w:t>43,99</w:t>
            </w:r>
          </w:p>
        </w:tc>
        <w:tc>
          <w:tcPr>
            <w:tcW w:w="3685" w:type="dxa"/>
            <w:gridSpan w:val="2"/>
            <w:tcBorders/>
            <w:shd w:color="auto" w:fill="auto" w:val="clear"/>
          </w:tcPr>
          <w:p>
            <w:pPr>
              <w:pStyle w:val="Normal"/>
              <w:spacing w:lineRule="auto" w:line="240" w:before="0" w:after="60"/>
              <w:jc w:val="center"/>
              <w:rPr/>
            </w:pPr>
            <w:r>
              <w:rPr/>
            </w:r>
          </w:p>
        </w:tc>
      </w:tr>
      <w:tr>
        <w:trPr>
          <w:trHeight w:val="290" w:hRule="atLeast"/>
        </w:trPr>
        <w:tc>
          <w:tcPr>
            <w:tcW w:w="1833" w:type="dxa"/>
            <w:tcBorders/>
            <w:shd w:color="auto" w:fill="auto" w:val="clear"/>
            <w:tcMar>
              <w:top w:w="72" w:type="dxa"/>
              <w:left w:w="144" w:type="dxa"/>
              <w:bottom w:w="72" w:type="dxa"/>
              <w:right w:w="144" w:type="dxa"/>
            </w:tcMar>
            <w:vAlign w:val="center"/>
          </w:tcPr>
          <w:p>
            <w:pPr>
              <w:pStyle w:val="Normal"/>
              <w:spacing w:lineRule="auto" w:line="240" w:before="0" w:after="60"/>
              <w:jc w:val="center"/>
              <w:rPr/>
            </w:pPr>
            <w:r>
              <w:rPr>
                <w:lang w:val="en-US"/>
              </w:rPr>
              <w:t>Apriori_LDS (B)</w:t>
            </w:r>
          </w:p>
        </w:tc>
        <w:tc>
          <w:tcPr>
            <w:tcW w:w="2256" w:type="dxa"/>
            <w:gridSpan w:val="2"/>
            <w:tcBorders/>
            <w:shd w:color="auto" w:fill="auto" w:val="clear"/>
            <w:tcMar>
              <w:top w:w="72" w:type="dxa"/>
              <w:left w:w="144" w:type="dxa"/>
              <w:bottom w:w="72" w:type="dxa"/>
              <w:right w:w="144" w:type="dxa"/>
            </w:tcMar>
            <w:vAlign w:val="center"/>
          </w:tcPr>
          <w:p>
            <w:pPr>
              <w:pStyle w:val="Normal"/>
              <w:spacing w:lineRule="auto" w:line="240" w:before="0" w:after="60"/>
              <w:jc w:val="center"/>
              <w:rPr/>
            </w:pPr>
            <w:r>
              <w:rPr>
                <w:i/>
                <w:iCs/>
              </w:rPr>
              <w:t>O(2</w:t>
            </w:r>
            <w:r>
              <w:rPr>
                <w:i/>
                <w:iCs/>
                <w:vertAlign w:val="superscript"/>
              </w:rPr>
              <w:t>p+1</w:t>
            </w:r>
            <w:r>
              <w:rPr>
                <w:i/>
                <w:iCs/>
              </w:rPr>
              <w:t>)</w:t>
            </w:r>
          </w:p>
        </w:tc>
        <w:tc>
          <w:tcPr>
            <w:tcW w:w="1206" w:type="dxa"/>
            <w:gridSpan w:val="2"/>
            <w:tcBorders/>
            <w:shd w:color="auto" w:fill="auto" w:val="clear"/>
            <w:tcMar>
              <w:top w:w="72" w:type="dxa"/>
              <w:left w:w="144" w:type="dxa"/>
              <w:bottom w:w="72" w:type="dxa"/>
              <w:right w:w="144" w:type="dxa"/>
            </w:tcMar>
            <w:vAlign w:val="center"/>
          </w:tcPr>
          <w:p>
            <w:pPr>
              <w:pStyle w:val="Normal"/>
              <w:spacing w:lineRule="auto" w:line="240" w:before="0" w:after="60"/>
              <w:jc w:val="center"/>
              <w:rPr/>
            </w:pPr>
            <w:r>
              <w:rPr/>
              <w:t>45,94</w:t>
            </w:r>
          </w:p>
        </w:tc>
        <w:tc>
          <w:tcPr>
            <w:tcW w:w="3685" w:type="dxa"/>
            <w:gridSpan w:val="2"/>
            <w:tcBorders/>
            <w:shd w:color="auto" w:fill="auto" w:val="clear"/>
          </w:tcPr>
          <w:p>
            <w:pPr>
              <w:pStyle w:val="Normal"/>
              <w:spacing w:lineRule="auto" w:line="240" w:before="0" w:after="60"/>
              <w:jc w:val="center"/>
              <w:rPr/>
            </w:pPr>
            <w:r>
              <w:rPr/>
            </w:r>
          </w:p>
        </w:tc>
      </w:tr>
      <w:tr>
        <w:trPr>
          <w:trHeight w:val="195" w:hRule="atLeast"/>
        </w:trPr>
        <w:tc>
          <w:tcPr>
            <w:tcW w:w="1833" w:type="dxa"/>
            <w:tcBorders/>
            <w:shd w:color="auto" w:fill="auto" w:val="clear"/>
            <w:tcMar>
              <w:top w:w="72" w:type="dxa"/>
              <w:left w:w="144" w:type="dxa"/>
              <w:bottom w:w="72" w:type="dxa"/>
              <w:right w:w="144" w:type="dxa"/>
            </w:tcMar>
            <w:vAlign w:val="center"/>
          </w:tcPr>
          <w:p>
            <w:pPr>
              <w:pStyle w:val="Normal"/>
              <w:spacing w:lineRule="auto" w:line="240" w:before="0" w:after="60"/>
              <w:jc w:val="center"/>
              <w:rPr/>
            </w:pPr>
            <w:r>
              <w:rPr>
                <w:lang w:val="en-US"/>
              </w:rPr>
              <w:t>LPA_LDS (B)</w:t>
            </w:r>
          </w:p>
        </w:tc>
        <w:tc>
          <w:tcPr>
            <w:tcW w:w="2256" w:type="dxa"/>
            <w:gridSpan w:val="2"/>
            <w:tcBorders/>
            <w:shd w:color="auto" w:fill="auto" w:val="clear"/>
            <w:tcMar>
              <w:top w:w="72" w:type="dxa"/>
              <w:left w:w="144" w:type="dxa"/>
              <w:bottom w:w="72" w:type="dxa"/>
              <w:right w:w="144" w:type="dxa"/>
            </w:tcMar>
            <w:vAlign w:val="center"/>
          </w:tcPr>
          <w:p>
            <w:pPr>
              <w:pStyle w:val="Normal"/>
              <w:spacing w:lineRule="auto" w:line="240" w:before="0" w:after="60"/>
              <w:jc w:val="center"/>
              <w:rPr/>
            </w:pPr>
            <w:r>
              <w:rPr>
                <w:i/>
                <w:iCs/>
              </w:rPr>
              <w:t>O(n</w:t>
            </w:r>
            <w:r>
              <w:rPr>
                <w:i/>
                <w:iCs/>
                <w:vertAlign w:val="superscript"/>
              </w:rPr>
              <w:t>3</w:t>
            </w:r>
            <w:r>
              <w:rPr>
                <w:i/>
                <w:iCs/>
              </w:rPr>
              <w:t>)</w:t>
            </w:r>
          </w:p>
        </w:tc>
        <w:tc>
          <w:tcPr>
            <w:tcW w:w="1206" w:type="dxa"/>
            <w:gridSpan w:val="2"/>
            <w:tcBorders/>
            <w:shd w:color="auto" w:fill="auto" w:val="clear"/>
            <w:tcMar>
              <w:top w:w="72" w:type="dxa"/>
              <w:left w:w="144" w:type="dxa"/>
              <w:bottom w:w="72" w:type="dxa"/>
              <w:right w:w="144" w:type="dxa"/>
            </w:tcMar>
            <w:vAlign w:val="center"/>
          </w:tcPr>
          <w:p>
            <w:pPr>
              <w:pStyle w:val="Normal"/>
              <w:spacing w:lineRule="auto" w:line="240" w:before="0" w:after="60"/>
              <w:jc w:val="center"/>
              <w:rPr/>
            </w:pPr>
            <w:r>
              <w:rPr/>
              <w:t>52,76</w:t>
            </w:r>
          </w:p>
        </w:tc>
        <w:tc>
          <w:tcPr>
            <w:tcW w:w="3685" w:type="dxa"/>
            <w:gridSpan w:val="2"/>
            <w:tcBorders/>
            <w:shd w:color="auto" w:fill="auto" w:val="clear"/>
          </w:tcPr>
          <w:p>
            <w:pPr>
              <w:pStyle w:val="Normal"/>
              <w:spacing w:lineRule="auto" w:line="240" w:before="0" w:after="60"/>
              <w:jc w:val="center"/>
              <w:rPr/>
            </w:pPr>
            <w:r>
              <w:rPr/>
            </w:r>
          </w:p>
        </w:tc>
      </w:tr>
      <w:tr>
        <w:trPr>
          <w:trHeight w:val="195" w:hRule="atLeast"/>
        </w:trPr>
        <w:tc>
          <w:tcPr>
            <w:tcW w:w="1833" w:type="dxa"/>
            <w:tcBorders/>
            <w:shd w:color="auto" w:fill="auto" w:val="clear"/>
            <w:tcMar>
              <w:top w:w="72" w:type="dxa"/>
              <w:left w:w="144" w:type="dxa"/>
              <w:bottom w:w="72" w:type="dxa"/>
              <w:right w:w="144" w:type="dxa"/>
            </w:tcMar>
            <w:vAlign w:val="center"/>
          </w:tcPr>
          <w:p>
            <w:pPr>
              <w:pStyle w:val="Normal"/>
              <w:spacing w:lineRule="auto" w:line="240" w:before="0" w:after="60"/>
              <w:jc w:val="center"/>
              <w:rPr/>
            </w:pPr>
            <w:r>
              <w:rPr>
                <w:lang w:val="en-US"/>
              </w:rPr>
              <w:t>GA_LDS (C)</w:t>
            </w:r>
          </w:p>
        </w:tc>
        <w:tc>
          <w:tcPr>
            <w:tcW w:w="2256" w:type="dxa"/>
            <w:gridSpan w:val="2"/>
            <w:tcBorders/>
            <w:shd w:color="auto" w:fill="auto" w:val="clear"/>
            <w:tcMar>
              <w:top w:w="72" w:type="dxa"/>
              <w:left w:w="144" w:type="dxa"/>
              <w:bottom w:w="72" w:type="dxa"/>
              <w:right w:w="144" w:type="dxa"/>
            </w:tcMar>
            <w:vAlign w:val="center"/>
          </w:tcPr>
          <w:p>
            <w:pPr>
              <w:pStyle w:val="Normal"/>
              <w:spacing w:lineRule="auto" w:line="240" w:before="0" w:after="60"/>
              <w:jc w:val="center"/>
              <w:rPr/>
            </w:pPr>
            <w:r>
              <w:rPr>
                <w:i/>
                <w:iCs/>
              </w:rPr>
              <w:t>O(kgnd)</w:t>
            </w:r>
          </w:p>
        </w:tc>
        <w:tc>
          <w:tcPr>
            <w:tcW w:w="1206" w:type="dxa"/>
            <w:gridSpan w:val="2"/>
            <w:tcBorders/>
            <w:shd w:color="auto" w:fill="auto" w:val="clear"/>
            <w:tcMar>
              <w:top w:w="72" w:type="dxa"/>
              <w:left w:w="144" w:type="dxa"/>
              <w:bottom w:w="72" w:type="dxa"/>
              <w:right w:w="144" w:type="dxa"/>
            </w:tcMar>
            <w:vAlign w:val="center"/>
          </w:tcPr>
          <w:p>
            <w:pPr>
              <w:pStyle w:val="Normal"/>
              <w:spacing w:lineRule="auto" w:line="240" w:before="0" w:after="60"/>
              <w:jc w:val="center"/>
              <w:rPr/>
            </w:pPr>
            <w:r>
              <w:rPr/>
              <w:t>1212,62</w:t>
            </w:r>
          </w:p>
        </w:tc>
        <w:tc>
          <w:tcPr>
            <w:tcW w:w="3685" w:type="dxa"/>
            <w:gridSpan w:val="2"/>
            <w:tcBorders/>
            <w:shd w:color="auto" w:fill="auto" w:val="clear"/>
          </w:tcPr>
          <w:p>
            <w:pPr>
              <w:pStyle w:val="Normal"/>
              <w:spacing w:lineRule="auto" w:line="240" w:before="0" w:after="60"/>
              <w:jc w:val="center"/>
              <w:rPr/>
            </w:pPr>
            <w:r>
              <w:rPr/>
            </w:r>
          </w:p>
        </w:tc>
      </w:tr>
      <w:tr>
        <w:trPr>
          <w:trHeight w:val="272" w:hRule="atLeast"/>
        </w:trPr>
        <w:tc>
          <w:tcPr>
            <w:tcW w:w="1833" w:type="dxa"/>
            <w:tcBorders/>
            <w:shd w:color="auto" w:fill="auto" w:val="clear"/>
            <w:tcMar>
              <w:top w:w="72" w:type="dxa"/>
              <w:left w:w="144" w:type="dxa"/>
              <w:bottom w:w="72" w:type="dxa"/>
              <w:right w:w="144" w:type="dxa"/>
            </w:tcMar>
            <w:vAlign w:val="center"/>
          </w:tcPr>
          <w:p>
            <w:pPr>
              <w:pStyle w:val="Normal"/>
              <w:spacing w:lineRule="auto" w:line="240" w:before="0" w:after="60"/>
              <w:rPr/>
            </w:pPr>
            <w:r>
              <w:rPr/>
              <w:t>ACO_LDS (D)</w:t>
            </w:r>
          </w:p>
        </w:tc>
        <w:tc>
          <w:tcPr>
            <w:tcW w:w="2256" w:type="dxa"/>
            <w:gridSpan w:val="2"/>
            <w:tcBorders/>
            <w:shd w:color="auto" w:fill="auto" w:val="clear"/>
            <w:tcMar>
              <w:top w:w="72" w:type="dxa"/>
              <w:left w:w="144" w:type="dxa"/>
              <w:bottom w:w="72" w:type="dxa"/>
              <w:right w:w="144" w:type="dxa"/>
            </w:tcMar>
            <w:vAlign w:val="center"/>
          </w:tcPr>
          <w:p>
            <w:pPr>
              <w:pStyle w:val="Normal"/>
              <w:spacing w:lineRule="auto" w:line="240" w:before="0" w:after="60"/>
              <w:jc w:val="center"/>
              <w:rPr/>
            </w:pPr>
            <w:r>
              <w:rPr>
                <w:i/>
                <w:iCs/>
              </w:rPr>
              <w:t>O(zgnd</w:t>
            </w:r>
            <w:r>
              <w:rPr>
                <w:i/>
                <w:iCs/>
                <w:vertAlign w:val="superscript"/>
              </w:rPr>
              <w:t>2</w:t>
            </w:r>
            <w:r>
              <w:rPr>
                <w:i/>
                <w:iCs/>
              </w:rPr>
              <w:t>)</w:t>
            </w:r>
          </w:p>
        </w:tc>
        <w:tc>
          <w:tcPr>
            <w:tcW w:w="1206" w:type="dxa"/>
            <w:gridSpan w:val="2"/>
            <w:tcBorders/>
            <w:shd w:color="auto" w:fill="auto" w:val="clear"/>
            <w:tcMar>
              <w:top w:w="72" w:type="dxa"/>
              <w:left w:w="144" w:type="dxa"/>
              <w:bottom w:w="72" w:type="dxa"/>
              <w:right w:w="144" w:type="dxa"/>
            </w:tcMar>
            <w:vAlign w:val="center"/>
          </w:tcPr>
          <w:p>
            <w:pPr>
              <w:pStyle w:val="Normal"/>
              <w:spacing w:lineRule="auto" w:line="240" w:before="0" w:after="60"/>
              <w:jc w:val="center"/>
              <w:rPr/>
            </w:pPr>
            <w:r>
              <w:rPr/>
              <w:t>19692,03</w:t>
            </w:r>
          </w:p>
        </w:tc>
        <w:tc>
          <w:tcPr>
            <w:tcW w:w="3685" w:type="dxa"/>
            <w:gridSpan w:val="2"/>
            <w:tcBorders/>
            <w:shd w:color="auto" w:fill="auto" w:val="clear"/>
          </w:tcPr>
          <w:p>
            <w:pPr>
              <w:pStyle w:val="Normal"/>
              <w:spacing w:lineRule="auto" w:line="240" w:before="0" w:after="60"/>
              <w:jc w:val="center"/>
              <w:rPr/>
            </w:pPr>
            <w:r>
              <w:rPr/>
            </w:r>
          </w:p>
        </w:tc>
      </w:tr>
    </w:tbl>
    <w:p>
      <w:pPr>
        <w:pStyle w:val="Normal"/>
        <w:rPr/>
      </w:pPr>
      <w:r>
        <w:rPr>
          <w:lang w:val="en-US"/>
        </w:rPr>
        <w:t xml:space="preserve">Con el análisis anterior, se demuestra que los algoritmos propuestos mejoran la eficiencia respecto a los reportados en la bibliografía empleados en la experimentación. El algoritmo que mostró una mejor eficiencia fue </w:t>
      </w:r>
      <w:r>
        <w:rPr>
          <w:rFonts w:cs="Courier New" w:ascii="Courier New" w:hAnsi="Courier New"/>
        </w:rPr>
        <w:t>RST_LDS</w:t>
      </w:r>
      <w:r>
        <w:rPr>
          <w:lang w:val="en-US"/>
        </w:rPr>
        <w:t>, mientras que los algoritmos basados en metaheurísticas son los menos eficientes.</w:t>
      </w:r>
    </w:p>
    <w:p>
      <w:pPr>
        <w:pStyle w:val="Heading2"/>
        <w:numPr>
          <w:ilvl w:val="1"/>
          <w:numId w:val="80"/>
        </w:numPr>
        <w:rPr/>
      </w:pPr>
      <w:bookmarkStart w:id="3515" w:name="_Toc84598946"/>
      <w:bookmarkStart w:id="3516" w:name="_Hlk809647541"/>
      <w:bookmarkEnd w:id="3516"/>
      <w:r>
        <w:rPr/>
        <w:t xml:space="preserve">Conjunto de pruebas 4: validación de la variable independiente en la </w:t>
      </w:r>
      <w:r>
        <w:rPr>
          <w:lang w:val="en-US"/>
        </w:rPr>
        <w:t>dimensión “D</w:t>
      </w:r>
      <w:r>
        <w:rPr/>
        <w:t>esempeño global de los algoritmos</w:t>
      </w:r>
      <w:bookmarkEnd w:id="3515"/>
      <w:r>
        <w:rPr>
          <w:lang w:val="en-US"/>
        </w:rPr>
        <w:t>”</w:t>
      </w:r>
    </w:p>
    <w:p>
      <w:pPr>
        <w:pStyle w:val="Normal"/>
        <w:rPr/>
      </w:pPr>
      <w:r>
        <w:rPr/>
        <w:t xml:space="preserve">En esta sección se analizan todos los algoritmos a partir de su comportamiento global, considerando todos los indicadores empleados en las comparaciones de las secciones anteriores. Como parte del análisis del desempeño global de los algoritmos, se utilizó el método </w:t>
      </w:r>
      <w:r>
        <w:rPr>
          <w:i/>
        </w:rPr>
        <w:t xml:space="preserve">Page’s L Test </w:t>
      </w:r>
      <w:r>
        <w:fldChar w:fldCharType="begin"/>
      </w:r>
      <w:r>
        <w:instrText>ADDIN ZOTERO_ITEM CSL_CITATION {"citationID":"a49sqgsrf","properties":{"formattedCitation":"(Bartz-Beielstein et\\uc0\\u160{}al. 2020)","plainCitation":"(Bartz-Beielstein et al. 2020)","noteIndex":0},"citationItems":[{"id":3468,"uris":["http://zotero.org/users/local/EJ15hJE2/items/J4RT9GBD"],"uri":["http://zotero.org/users/local/EJ15hJE2/items/J4RT9GBD"],"itemData":{"id":3468,"type":"article-journal","abstract":"This survey compiles ideas and recommendations from more than a dozen researchers with different backgrounds and from different institutes around the world. Promoting best practice in benchmarking is its main goal. The article discusses eight essential topics in benchmarking: clearly stated goals, well-specified problems, suitable algorithms, adequate performance measures, thoughtful analysis, effective and efficient designs, comprehensible presentations, and guaranteed reproducibility. The final goal is to provide well-accepted guidelines (rules) that might be useful for authors and reviewers. As benchmarking in optimization is an active and evolving field of research this manuscript is meant to co-evolve over time by means of periodic updates.","container-title":"arXiv:2007.03488 [cs, math, stat]","note":"arXiv: 2007.03488","source":"arXiv.org","title":"Benchmarking in Optimization: Best Practice and Open Issues","title-short":"Benchmarking in Optimization","URL":"http://arxiv.org/abs/2007.03488","author":[{"family":"Bartz-Beielstein","given":"Thomas"},{"family":"Doerr","given":"Carola"},{"family":"Berg","given":"Daan","dropping-particle":"van den"},{"family":"Bossek","given":"Jakob"},{"family":"Chandrasekaran","given":"Sowmya"},{"family":"Eftimov","given":"Tome"},{"family":"Fischbach","given":"Andreas"},{"family":"Kerschke","given":"Pascal"},{"family":"La Cava","given":"William"},{"family":"Lopez-Ibanez","given":"Manuel"},{"family":"Malan","given":"Katherine M."},{"family":"Moore","given":"Jason H."},{"family":"Naujoks","given":"Boris"},{"family":"Orzechowski","given":"Patryk"},{"family":"Volz","given":"Vanessa"},{"family":"Wagner","given":"Markus"},{"family":"Weise","given":"Thomas"}],"accessed":{"date-parts":[["2021",8,12]]},"issued":{"date-parts":[["2020"]]}}}],"schema":"https://github.com/citation-style-language/schema/raw/master/csl-citation.json"}</w:instrText>
      </w:r>
      <w:r>
        <w:fldChar w:fldCharType="separate"/>
      </w:r>
      <w:bookmarkStart w:id="3517" w:name="__Fieldmark__18815_2067855929"/>
      <w:r>
        <w:rPr>
          <w:i/>
        </w:rPr>
      </w:r>
      <w:r>
        <w:rPr>
          <w:i/>
          <w:szCs w:val="24"/>
        </w:rPr>
        <w:t>(</w:t>
      </w:r>
      <w:bookmarkStart w:id="3518" w:name="__Fieldmark__17222_498839314"/>
      <w:r>
        <w:rPr>
          <w:i/>
          <w:szCs w:val="24"/>
        </w:rPr>
        <w:t>B</w:t>
      </w:r>
      <w:bookmarkStart w:id="3519" w:name="__Fieldmark__16154_998588997"/>
      <w:r>
        <w:rPr>
          <w:i/>
          <w:szCs w:val="24"/>
        </w:rPr>
        <w:t>a</w:t>
      </w:r>
      <w:bookmarkStart w:id="3520" w:name="__Fieldmark__20537_118561941"/>
      <w:r>
        <w:rPr>
          <w:i/>
          <w:szCs w:val="24"/>
        </w:rPr>
        <w:t>rtz-Beielstein et al. 2020)</w:t>
      </w:r>
      <w:r>
        <w:rPr>
          <w:i/>
        </w:rPr>
      </w:r>
      <w:r>
        <w:fldChar w:fldCharType="end"/>
      </w:r>
      <w:bookmarkEnd w:id="3517"/>
      <w:bookmarkEnd w:id="3518"/>
      <w:bookmarkEnd w:id="3519"/>
      <w:bookmarkEnd w:id="3520"/>
      <w:r>
        <w:rPr>
          <w:i/>
        </w:rPr>
        <w:t xml:space="preserve">, </w:t>
      </w:r>
      <w:r>
        <w:rPr/>
        <w:t>el cual demuestra, por varias vías, la posición o ranking de estos algoritmos. A continuación, se explica este procesamiento.</w:t>
      </w:r>
    </w:p>
    <w:p>
      <w:pPr>
        <w:pStyle w:val="Normal"/>
        <w:rPr/>
      </w:pPr>
      <w:r>
        <w:rPr>
          <w:b/>
        </w:rPr>
        <w:t xml:space="preserve">Procedimiento para la aplicación del </w:t>
      </w:r>
      <w:r>
        <w:rPr>
          <w:b/>
          <w:i/>
          <w:iCs/>
        </w:rPr>
        <w:t>Page’s L Test</w:t>
      </w:r>
      <w:r>
        <w:rPr>
          <w:b/>
        </w:rPr>
        <w:t>:</w:t>
      </w:r>
    </w:p>
    <w:p>
      <w:pPr>
        <w:pStyle w:val="ListParagraph"/>
        <w:numPr>
          <w:ilvl w:val="0"/>
          <w:numId w:val="27"/>
        </w:numPr>
        <w:spacing w:before="0" w:after="60"/>
        <w:rPr>
          <w:lang w:val="es-ES"/>
        </w:rPr>
      </w:pPr>
      <w:r>
        <w:rPr>
          <w:lang w:val="es-ES"/>
        </w:rPr>
        <w:t xml:space="preserve">Selección del criterio para el establecimiento del ranking, en nuestro caso son los indicadores </w:t>
      </w:r>
      <w:r>
        <w:rPr>
          <w:i/>
          <w:lang w:val="es-ES"/>
        </w:rPr>
        <w:t>T</w:t>
      </w:r>
      <w:r>
        <w:rPr>
          <w:i/>
          <w:vertAlign w:val="subscript"/>
          <w:lang w:val="es-ES"/>
        </w:rPr>
        <w:t>1</w:t>
      </w:r>
      <w:r>
        <w:rPr>
          <w:lang w:val="es-ES"/>
        </w:rPr>
        <w:t xml:space="preserve">, </w:t>
      </w:r>
      <w:r>
        <w:rPr>
          <w:i/>
          <w:lang w:val="es-ES"/>
        </w:rPr>
        <w:t>T</w:t>
      </w:r>
      <w:r>
        <w:rPr>
          <w:i/>
          <w:vertAlign w:val="subscript"/>
          <w:lang w:val="es-ES"/>
        </w:rPr>
        <w:t>2</w:t>
      </w:r>
      <w:r>
        <w:rPr>
          <w:lang w:val="es-ES"/>
        </w:rPr>
        <w:t xml:space="preserve">, </w:t>
      </w:r>
      <w:r>
        <w:rPr>
          <w:i/>
          <w:lang w:val="es-ES"/>
        </w:rPr>
        <w:t>T</w:t>
      </w:r>
      <w:r>
        <w:rPr>
          <w:i/>
          <w:vertAlign w:val="subscript"/>
          <w:lang w:val="es-ES"/>
        </w:rPr>
        <w:t>3</w:t>
      </w:r>
      <w:r>
        <w:rPr>
          <w:lang w:val="es-ES"/>
        </w:rPr>
        <w:t xml:space="preserve">, </w:t>
      </w:r>
      <w:r>
        <w:rPr>
          <w:i/>
          <w:lang w:val="es-ES"/>
        </w:rPr>
        <w:t>T</w:t>
      </w:r>
      <w:r>
        <w:rPr>
          <w:i/>
          <w:vertAlign w:val="subscript"/>
          <w:lang w:val="es-ES"/>
        </w:rPr>
        <w:t>4</w:t>
      </w:r>
      <w:r>
        <w:rPr>
          <w:lang w:val="es-ES"/>
        </w:rPr>
        <w:t xml:space="preserve">, </w:t>
      </w:r>
      <w:r>
        <w:rPr>
          <w:i/>
          <w:lang w:val="es-ES"/>
        </w:rPr>
        <w:t>T</w:t>
      </w:r>
      <w:r>
        <w:rPr>
          <w:i/>
          <w:vertAlign w:val="subscript"/>
          <w:lang w:val="es-ES"/>
        </w:rPr>
        <w:t>5</w:t>
      </w:r>
      <w:r>
        <w:rPr>
          <w:lang w:val="es-ES"/>
        </w:rPr>
        <w:t xml:space="preserve">, </w:t>
      </w:r>
      <w:r>
        <w:rPr>
          <w:i/>
          <w:lang w:val="es-ES"/>
        </w:rPr>
        <w:t>Te</w:t>
      </w:r>
      <w:r>
        <w:rPr>
          <w:i/>
          <w:vertAlign w:val="subscript"/>
          <w:lang w:val="es-ES"/>
        </w:rPr>
        <w:t>1a</w:t>
      </w:r>
      <w:r>
        <w:rPr>
          <w:lang w:val="es-ES"/>
        </w:rPr>
        <w:t xml:space="preserve">, </w:t>
      </w:r>
      <w:r>
        <w:rPr>
          <w:i/>
          <w:lang w:val="es-ES"/>
        </w:rPr>
        <w:t>Te</w:t>
      </w:r>
      <w:r>
        <w:rPr>
          <w:i/>
          <w:vertAlign w:val="subscript"/>
          <w:lang w:val="es-ES"/>
        </w:rPr>
        <w:t>1b</w:t>
      </w:r>
      <w:r>
        <w:rPr>
          <w:lang w:val="es-ES"/>
        </w:rPr>
        <w:t xml:space="preserve">, </w:t>
      </w:r>
      <w:r>
        <w:rPr>
          <w:i/>
          <w:lang w:val="es-ES"/>
        </w:rPr>
        <w:t>Te</w:t>
      </w:r>
      <w:r>
        <w:rPr>
          <w:i/>
          <w:vertAlign w:val="subscript"/>
          <w:lang w:val="es-ES"/>
        </w:rPr>
        <w:t>3</w:t>
      </w:r>
      <w:r>
        <w:rPr>
          <w:lang w:val="es-ES"/>
        </w:rPr>
        <w:t xml:space="preserve">, </w:t>
      </w:r>
      <w:r>
        <w:rPr>
          <w:i/>
          <w:lang w:val="es-ES"/>
        </w:rPr>
        <w:t>Te</w:t>
      </w:r>
      <w:r>
        <w:rPr>
          <w:i/>
          <w:vertAlign w:val="subscript"/>
          <w:lang w:val="es-ES"/>
        </w:rPr>
        <w:t>4</w:t>
      </w:r>
      <w:r>
        <w:rPr>
          <w:lang w:val="es-ES"/>
        </w:rPr>
        <w:t xml:space="preserve">, </w:t>
      </w:r>
      <w:r>
        <w:rPr>
          <w:i/>
          <w:lang w:val="es-ES"/>
        </w:rPr>
        <w:t>Te</w:t>
      </w:r>
      <w:r>
        <w:rPr>
          <w:i/>
          <w:vertAlign w:val="subscript"/>
          <w:lang w:val="es-ES"/>
        </w:rPr>
        <w:t>5</w:t>
      </w:r>
      <w:r>
        <w:rPr>
          <w:lang w:val="es-ES"/>
        </w:rPr>
        <w:t>, el “Cubrimiento de diferentes situaciones en la base de datos”, la “Fortaleza de las dependencias descubiertas” y el tiempo de ejecución.</w:t>
      </w:r>
    </w:p>
    <w:p>
      <w:pPr>
        <w:pStyle w:val="ListParagraph"/>
        <w:numPr>
          <w:ilvl w:val="0"/>
          <w:numId w:val="27"/>
        </w:numPr>
        <w:spacing w:before="0" w:after="60"/>
        <w:rPr>
          <w:lang w:val="es-ES"/>
        </w:rPr>
      </w:pPr>
      <w:r>
        <w:rPr>
          <w:lang w:val="es-ES"/>
        </w:rPr>
        <w:t>Asignación de los valores del ranking, de forma tal que se asigna la posición a cada algoritmo respecto a su resultado en cada una de las pruebas de comparación realizadas anteriormente considerando los elementos siguientes:</w:t>
      </w:r>
    </w:p>
    <w:p>
      <w:pPr>
        <w:pStyle w:val="ListParagraph"/>
        <w:numPr>
          <w:ilvl w:val="1"/>
          <w:numId w:val="27"/>
        </w:numPr>
        <w:spacing w:before="0" w:after="60"/>
        <w:ind w:left="993" w:hanging="284"/>
        <w:rPr>
          <w:lang w:val="es-ES"/>
        </w:rPr>
      </w:pPr>
      <w:r>
        <w:rPr>
          <w:lang w:val="es-ES"/>
        </w:rPr>
        <w:t>Por cada indicador, a cada algoritmo se le asigna un valor de ranking que se corresponde con la posición donde quedó ubicado según cada indicador. El mejor algoritmo queda ubicado en el primer lugar y luego se ubica el resto según los resultados.</w:t>
      </w:r>
    </w:p>
    <w:p>
      <w:pPr>
        <w:pStyle w:val="ListParagraph"/>
        <w:numPr>
          <w:ilvl w:val="1"/>
          <w:numId w:val="27"/>
        </w:numPr>
        <w:spacing w:before="0" w:after="60"/>
        <w:ind w:left="993" w:hanging="284"/>
        <w:rPr>
          <w:lang w:val="es-ES"/>
        </w:rPr>
      </w:pPr>
      <w:r>
        <w:rPr>
          <w:lang w:val="es-ES"/>
        </w:rPr>
        <w:t xml:space="preserve">Si </w:t>
      </w:r>
      <w:r>
        <w:rPr>
          <w:lang w:val="es-ES"/>
        </w:rPr>
      </w:r>
      <m:oMath xmlns:m="http://schemas.openxmlformats.org/officeDocument/2006/math">
        <m:r>
          <w:rPr>
            <w:rFonts w:ascii="Cambria Math" w:hAnsi="Cambria Math"/>
          </w:rPr>
          <m:t xml:space="preserve">n</m:t>
        </m:r>
      </m:oMath>
      <w:r>
        <w:rPr>
          <w:i/>
          <w:lang w:val="es-ES"/>
        </w:rPr>
        <w:t xml:space="preserve"> </w:t>
      </w:r>
      <w:r>
        <w:rPr>
          <w:lang w:val="es-ES"/>
        </w:rPr>
        <w:t xml:space="preserve">algoritmos, respecto a un mismo indicador, quedaron ubicados en el mismo lugar, se les asignan a todos el mismo valor correspondiente al punto medio de las </w:t>
      </w:r>
      <w:r>
        <w:rPr>
          <w:lang w:val="es-ES"/>
        </w:rPr>
      </w:r>
      <m:oMath xmlns:m="http://schemas.openxmlformats.org/officeDocument/2006/math">
        <m:r>
          <w:rPr>
            <w:rFonts w:ascii="Cambria Math" w:hAnsi="Cambria Math"/>
          </w:rPr>
          <m:t xml:space="preserve">n</m:t>
        </m:r>
      </m:oMath>
      <w:r>
        <w:rPr>
          <w:lang w:val="es-ES"/>
        </w:rPr>
        <w:t>posiciones que ocuparían si tuvieran diferencias significativas. Por ejemplo, si dos algoritmos están en el primer lugar respecto a un determinado indicador, se le asigna a cada uno el valor de 1.5.</w:t>
      </w:r>
    </w:p>
    <w:p>
      <w:pPr>
        <w:pStyle w:val="ListParagraph"/>
        <w:numPr>
          <w:ilvl w:val="0"/>
          <w:numId w:val="27"/>
        </w:numPr>
        <w:spacing w:before="0" w:after="60"/>
        <w:rPr>
          <w:lang w:val="es-ES"/>
        </w:rPr>
      </w:pPr>
      <w:r>
        <w:rPr>
          <w:lang w:val="es-ES"/>
        </w:rPr>
        <w:t>Ordenamiento de las muestras a partir de las sumas de los rankings.</w:t>
      </w:r>
    </w:p>
    <w:p>
      <w:pPr>
        <w:pStyle w:val="ListParagraph"/>
        <w:numPr>
          <w:ilvl w:val="0"/>
          <w:numId w:val="27"/>
        </w:numPr>
        <w:spacing w:before="0" w:after="60"/>
        <w:rPr/>
      </w:pPr>
      <w:r>
        <w:rPr>
          <w:lang w:val="es-ES"/>
        </w:rPr>
        <w:t xml:space="preserve">Aplicación del test no paramétrico </w:t>
      </w:r>
      <w:r>
        <w:rPr>
          <w:i/>
          <w:lang w:val="es-ES"/>
        </w:rPr>
        <w:t xml:space="preserve">Page’s L Test. </w:t>
      </w:r>
      <w:r>
        <w:rPr>
          <w:iCs/>
          <w:lang w:val="es-ES"/>
        </w:rPr>
        <w:t xml:space="preserve">En todos los casos, el nivel de significación estadística es de 0.05, lo que significa que la hipótesis nula se rechazará siempre que el resultado sea </w:t>
      </w:r>
      <w:r>
        <w:rPr>
          <w:iCs/>
          <w:lang w:val="es-ES"/>
        </w:rPr>
      </w:r>
      <m:oMath xmlns:m="http://schemas.openxmlformats.org/officeDocument/2006/math">
        <m:r>
          <w:rPr>
            <w:rFonts w:ascii="Cambria Math" w:hAnsi="Cambria Math"/>
          </w:rPr>
          <m:t xml:space="preserve">≤</m:t>
        </m:r>
        <m:r>
          <w:rPr>
            <w:rFonts w:ascii="Cambria Math" w:hAnsi="Cambria Math"/>
          </w:rPr>
          <m:t xml:space="preserve">0.05</m:t>
        </m:r>
      </m:oMath>
      <w:r>
        <w:rPr>
          <w:lang w:val="es-ES"/>
        </w:rPr>
        <w:t>, en este paso se emplea la</w:t>
      </w:r>
      <w:r>
        <w:rPr>
          <w:i/>
          <w:lang w:val="es-ES"/>
        </w:rPr>
        <w:t xml:space="preserve"> </w:t>
      </w:r>
      <w:r>
        <w:rPr>
          <w:lang w:val="es-ES"/>
        </w:rPr>
        <w:t xml:space="preserve">herramienta </w:t>
      </w:r>
      <w:r>
        <w:rPr>
          <w:i/>
          <w:lang w:val="es-ES"/>
        </w:rPr>
        <w:t xml:space="preserve">Statex </w:t>
      </w:r>
      <w:r>
        <w:fldChar w:fldCharType="begin"/>
      </w:r>
      <w:r>
        <w:instrText>ADDIN ZOTERO_ITEM CSL_CITATION {"citationID":"spsITf6b","properties":{"formattedCitation":"(Mandel 2020)","plainCitation":"(Mandel 2020)","noteIndex":0},"citationItems":[{"id":"NJclqhNX/bZsnVxk3","uris":["http://zotero.org/users/local/rsuvzjK6/items/KWPAY4VC"],"uri":["http://zotero.org/users/local/rsuvzjK6/items/KWPAY4VC"],"itemData":{"id":3463,"type":"report","abstract":"The article provides a summary of a statistical expert system, STATEX, developed by a group of statisticians and programmers in Almaty, Kazakhstan, in 1989-1993. STATEX was designed as a user-friendly tool for advanced data analysis that could be used by non-statistical experts. The software was distributed broadly in several countries of the former Soviet Union. I describe the history of the project, outline the key features of STATEX and compare the software with other statistical packages, both of the past and modern times. This comparison, besides its historical value, suggests that some of the ideas behind STATEX are not obsolete and could be re-applied now in a very different computational environment. The article provides a reference to the pdf file of STATEX User’s guide and reproduces its table of contents.","event-place":"Rochester, NY","genre":"SSRN Scholarly Paper","language":"en","number":"ID 3664990","publisher":"Social Science Research Network","publisher-place":"Rochester, NY","source":"papers.ssrn.com","title":"Expert system for Statistics STATEX – 30 years after","URL":"https://papers.ssrn.com/abstract=3664990","author":[{"family":"Mandel","given":"Igor"}],"accessed":{"date-parts":[["2021",3,29]]},"issued":{"date-parts":[["2020",7,31]]}}}],"schema":"https://github.com/citation-style-language/schema/raw/master/csl-citation.json"}</w:instrText>
      </w:r>
      <w:r>
        <w:fldChar w:fldCharType="separate"/>
      </w:r>
      <w:bookmarkStart w:id="3521" w:name="__Fieldmark__18889_2067855929"/>
      <w:r>
        <w:rPr>
          <w:i/>
          <w:lang w:val="es-ES"/>
        </w:rPr>
      </w:r>
      <w:r>
        <w:rPr>
          <w:rFonts w:cs="Arial"/>
          <w:i/>
          <w:lang w:val="es-ES"/>
        </w:rPr>
        <w:t>(</w:t>
      </w:r>
      <w:bookmarkStart w:id="3522" w:name="__Fieldmark__17286_498839314"/>
      <w:r>
        <w:rPr>
          <w:rFonts w:cs="Arial"/>
          <w:i/>
          <w:lang w:val="es-ES"/>
        </w:rPr>
        <w:t>M</w:t>
      </w:r>
      <w:bookmarkStart w:id="3523" w:name="__Fieldmark__16214_998588997"/>
      <w:r>
        <w:rPr>
          <w:rFonts w:cs="Arial"/>
          <w:i/>
          <w:lang w:val="es-ES"/>
        </w:rPr>
        <w:t>a</w:t>
      </w:r>
      <w:bookmarkStart w:id="3524" w:name="__Fieldmark__20668_118561941"/>
      <w:r>
        <w:rPr>
          <w:rFonts w:cs="Arial"/>
          <w:i/>
          <w:lang w:val="es-ES"/>
        </w:rPr>
        <w:t>ndel 2020)</w:t>
      </w:r>
      <w:r>
        <w:rPr>
          <w:i/>
          <w:lang w:val="es-ES"/>
        </w:rPr>
      </w:r>
      <w:r>
        <w:fldChar w:fldCharType="end"/>
      </w:r>
      <w:bookmarkEnd w:id="3521"/>
      <w:bookmarkEnd w:id="3522"/>
      <w:bookmarkEnd w:id="3523"/>
      <w:bookmarkEnd w:id="3524"/>
      <w:r>
        <w:rPr>
          <w:lang w:val="es-ES"/>
        </w:rPr>
        <w:t>.</w:t>
      </w:r>
    </w:p>
    <w:p>
      <w:pPr>
        <w:pStyle w:val="Normal"/>
        <w:rPr>
          <w:b/>
          <w:b/>
        </w:rPr>
      </w:pPr>
      <w:r>
        <w:rPr>
          <w:b/>
        </w:rPr>
        <w:t xml:space="preserve">Aplicación del </w:t>
      </w:r>
      <w:r>
        <w:rPr>
          <w:b/>
          <w:i/>
        </w:rPr>
        <w:t>Page’s L Test</w:t>
      </w:r>
      <w:r>
        <w:rPr>
          <w:b/>
        </w:rPr>
        <w:t>:</w:t>
      </w:r>
    </w:p>
    <w:p>
      <w:pPr>
        <w:pStyle w:val="Normal"/>
        <w:spacing w:before="0" w:after="60"/>
        <w:rPr/>
      </w:pPr>
      <w:r>
        <w:rPr/>
        <w:t xml:space="preserve">Para la aplicación del </w:t>
      </w:r>
      <w:r>
        <w:rPr>
          <w:i/>
        </w:rPr>
        <w:t>Page’s L Test</w:t>
      </w:r>
      <w:r>
        <w:rPr/>
        <w:t xml:space="preserve">, se utilizaron como datos de entrada el resumen global de la posición de cada algoritmo respecto a cada indicador analizado en las comparaciones que se presenta en el </w:t>
      </w:r>
      <w:r>
        <w:rPr/>
        <w:fldChar w:fldCharType="begin"/>
      </w:r>
      <w:r>
        <w:instrText> REF _Ref68938491 \h </w:instrText>
      </w:r>
      <w:r>
        <w:fldChar w:fldCharType="separate"/>
      </w:r>
      <w:r>
        <w:t>Anexo 14</w:t>
      </w:r>
      <w:r>
        <w:fldChar w:fldCharType="end"/>
      </w:r>
      <w:r>
        <w:rPr/>
        <w:t xml:space="preserve">, </w:t>
      </w:r>
      <w:r>
        <w:rPr/>
        <w:fldChar w:fldCharType="begin"/>
      </w:r>
      <w:r>
        <w:instrText> REF _Ref70241634 \h </w:instrText>
      </w:r>
      <w:r>
        <w:fldChar w:fldCharType="separate"/>
      </w:r>
      <w:r>
        <w:t>Tabla 36</w:t>
      </w:r>
      <w:r>
        <w:fldChar w:fldCharType="end"/>
      </w:r>
      <w:r>
        <w:rPr/>
        <w:t>.</w:t>
      </w:r>
    </w:p>
    <w:p>
      <w:pPr>
        <w:pStyle w:val="Normal"/>
        <w:ind w:left="475" w:hanging="0"/>
        <w:rPr>
          <w:rFonts w:ascii="Lucida Console" w:hAnsi="Lucida Console" w:cs="Lucida Console"/>
        </w:rPr>
      </w:pPr>
      <w:r>
        <w:rPr/>
      </w:r>
      <m:oMath xmlns:m="http://schemas.openxmlformats.org/officeDocument/2006/math">
        <m:sSub>
          <m:e>
            <m:r>
              <w:rPr>
                <w:rFonts w:ascii="Cambria Math" w:hAnsi="Cambria Math"/>
              </w:rPr>
              <m:t xml:space="preserve">H</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m</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m</m:t>
            </m:r>
          </m:e>
          <m:sub>
            <m:r>
              <w:rPr>
                <w:rFonts w:ascii="Cambria Math" w:hAnsi="Cambria Math"/>
              </w:rPr>
              <m:t xml:space="preserve">2</m:t>
            </m:r>
          </m:sub>
        </m:sSub>
        <m:r>
          <w:rPr>
            <w:rFonts w:ascii="Cambria Math" w:hAnsi="Cambria Math"/>
          </w:rPr>
          <m:t xml:space="preserve">=</m:t>
        </m:r>
        <m:r>
          <w:rPr>
            <w:rFonts w:ascii="Cambria Math" w:hAnsi="Cambria Math"/>
          </w:rPr>
          <m:t xml:space="preserve">..</m:t>
        </m:r>
        <m:r>
          <w:rPr>
            <w:rFonts w:ascii="Cambria Math" w:hAnsi="Cambria Math"/>
          </w:rPr>
          <m:t xml:space="preserve">.</m:t>
        </m:r>
      </m:oMath>
      <w:r>
        <w:rPr>
          <w:rFonts w:cs="Lucida Console" w:ascii="Lucida Console" w:hAnsi="Lucida Console"/>
        </w:rPr>
        <w:t xml:space="preserve"> </w:t>
      </w:r>
      <w:r>
        <w:rPr>
          <w:rFonts w:cs="Times New Roman"/>
          <w:iCs/>
        </w:rPr>
        <w:t>Hipótesis nula</w:t>
      </w:r>
    </w:p>
    <w:p>
      <w:pPr>
        <w:pStyle w:val="Normal"/>
        <w:ind w:left="475" w:hanging="0"/>
        <w:rPr>
          <w:rFonts w:cs="Times New Roman"/>
          <w:iCs/>
        </w:rPr>
      </w:pPr>
      <w:r>
        <w:rPr/>
      </w:r>
      <m:oMath xmlns:m="http://schemas.openxmlformats.org/officeDocument/2006/math">
        <m:sSub>
          <m:e>
            <m:r>
              <w:rPr>
                <w:rFonts w:ascii="Cambria Math" w:hAnsi="Cambria Math"/>
              </w:rPr>
              <m:t xml:space="preserve">H</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m</m:t>
            </m:r>
          </m:e>
          <m:sub>
            <m:r>
              <w:rPr>
                <w:rFonts w:ascii="Cambria Math" w:hAnsi="Cambria Math"/>
              </w:rPr>
              <m:t xml:space="preserve">1</m:t>
            </m:r>
          </m:sub>
        </m:sSub>
        <m:r>
          <w:rPr>
            <w:rFonts w:ascii="Cambria Math" w:hAnsi="Cambria Math"/>
          </w:rPr>
          <m:t xml:space="preserve">&lt;</m:t>
        </m:r>
        <m:sSub>
          <m:e>
            <m:r>
              <w:rPr>
                <w:rFonts w:ascii="Cambria Math" w:hAnsi="Cambria Math"/>
              </w:rPr>
              <m:t xml:space="preserve">m</m:t>
            </m:r>
          </m:e>
          <m:sub>
            <m:r>
              <w:rPr>
                <w:rFonts w:ascii="Cambria Math" w:hAnsi="Cambria Math"/>
              </w:rPr>
              <m:t xml:space="preserve">2</m:t>
            </m:r>
          </m:sub>
        </m:sSub>
        <m:r>
          <w:rPr>
            <w:rFonts w:ascii="Cambria Math" w:hAnsi="Cambria Math"/>
          </w:rPr>
          <m:t xml:space="preserve">&lt;</m:t>
        </m:r>
        <m:r>
          <w:rPr>
            <w:rFonts w:ascii="Cambria Math" w:hAnsi="Cambria Math"/>
          </w:rPr>
          <m:t xml:space="preserve">..</m:t>
        </m:r>
        <m:r>
          <w:rPr>
            <w:rFonts w:ascii="Cambria Math" w:hAnsi="Cambria Math"/>
          </w:rPr>
          <m:t xml:space="preserve">.</m:t>
        </m:r>
      </m:oMath>
      <w:r>
        <w:rPr>
          <w:rFonts w:cs="Lucida Console" w:ascii="Lucida Console" w:hAnsi="Lucida Console"/>
          <w:sz w:val="20"/>
          <w:szCs w:val="20"/>
        </w:rPr>
        <w:t xml:space="preserve">. </w:t>
      </w:r>
      <w:r>
        <w:rPr>
          <w:rFonts w:cs="Times New Roman"/>
          <w:iCs/>
        </w:rPr>
        <w:t>Hipótesis alternativa</w:t>
      </w:r>
    </w:p>
    <w:p>
      <w:pPr>
        <w:pStyle w:val="Normal"/>
        <w:rPr>
          <w:rFonts w:ascii="Lucida Console" w:hAnsi="Lucida Console" w:cs="Lucida Console"/>
          <w:sz w:val="20"/>
          <w:szCs w:val="20"/>
        </w:rPr>
      </w:pPr>
      <w:r>
        <w:rPr>
          <w:rFonts w:cs="Times New Roman"/>
        </w:rPr>
        <w:t>Los resultados mostraron que sí hay diferencias significativas:</w:t>
      </w:r>
      <w:r>
        <w:rPr>
          <w:rFonts w:cs="Lucida Console" w:ascii="Lucida Console" w:hAnsi="Lucida Console"/>
          <w:sz w:val="20"/>
          <w:szCs w:val="20"/>
        </w:rPr>
        <w:t xml:space="preserve"> </w:t>
      </w:r>
      <w:r>
        <w:rPr>
          <w:rFonts w:cs="Lucida Console" w:ascii="Lucida Console" w:hAnsi="Lucida Console"/>
          <w:sz w:val="20"/>
          <w:szCs w:val="20"/>
        </w:rPr>
      </w:r>
      <m:oMath xmlns:m="http://schemas.openxmlformats.org/officeDocument/2006/math">
        <m:r>
          <w:rPr>
            <w:rFonts w:ascii="Cambria Math" w:hAnsi="Cambria Math"/>
          </w:rPr>
          <m:t xml:space="preserve">L</m:t>
        </m:r>
        <m:r>
          <w:rPr>
            <w:rFonts w:ascii="Cambria Math" w:hAnsi="Cambria Math"/>
          </w:rPr>
          <m:t xml:space="preserve">=</m:t>
        </m:r>
        <m:r>
          <w:rPr>
            <w:rFonts w:ascii="Cambria Math" w:hAnsi="Cambria Math"/>
          </w:rPr>
          <m:t xml:space="preserve">1058</m:t>
        </m:r>
      </m:oMath>
      <w:r>
        <w:rPr>
          <w:rFonts w:cs="Lucida Console" w:ascii="Lucida Console" w:hAnsi="Lucida Console"/>
        </w:rPr>
        <w:t>,</w:t>
      </w:r>
      <w:r>
        <w:rPr>
          <w:rFonts w:cs="Lucida Console" w:ascii="Lucida Console" w:hAnsi="Lucida Console"/>
        </w:rPr>
      </w:r>
      <m:oMath xmlns:m="http://schemas.openxmlformats.org/officeDocument/2006/math">
        <m:r>
          <w:rPr>
            <w:rFonts w:ascii="Cambria Math" w:hAnsi="Cambria Math"/>
          </w:rPr>
          <m:t xml:space="preserve">Z</m:t>
        </m:r>
        <m:r>
          <w:rPr>
            <w:rFonts w:ascii="Cambria Math" w:hAnsi="Cambria Math"/>
          </w:rPr>
          <m:t xml:space="preserve">=</m:t>
        </m:r>
        <m:r>
          <w:rPr>
            <w:rFonts w:ascii="Cambria Math" w:hAnsi="Cambria Math"/>
          </w:rPr>
          <m:t xml:space="preserve">3.632446</m:t>
        </m:r>
      </m:oMath>
      <w:r>
        <w:rPr>
          <w:rFonts w:cs="Lucida Console" w:ascii="Lucida Console" w:hAnsi="Lucida Console"/>
          <w:lang w:bidi="ar-YE"/>
        </w:rPr>
        <w:t xml:space="preserve">, </w:t>
      </w:r>
      <w:r>
        <w:rPr>
          <w:rFonts w:cs="Lucida Console" w:ascii="Lucida Console" w:hAnsi="Lucida Console"/>
          <w:lang w:bidi="ar-YE"/>
        </w:rPr>
      </w:r>
      <m:oMath xmlns:m="http://schemas.openxmlformats.org/officeDocument/2006/math">
        <m:r>
          <w:rPr>
            <w:rFonts w:ascii="Cambria Math" w:hAnsi="Cambria Math"/>
          </w:rPr>
          <m:t xml:space="preserve">P</m:t>
        </m:r>
        <m:d>
          <m:dPr>
            <m:begChr m:val="("/>
            <m:endChr m:val=")"/>
          </m:dPr>
          <m:e>
            <m:r>
              <w:rPr>
                <w:rFonts w:ascii="Cambria Math" w:hAnsi="Cambria Math"/>
              </w:rPr>
              <m:t xml:space="preserve">Z</m:t>
            </m:r>
          </m:e>
        </m:d>
        <m:r>
          <w:rPr>
            <w:rFonts w:ascii="Cambria Math" w:hAnsi="Cambria Math"/>
          </w:rPr>
          <m:t xml:space="preserve">=</m:t>
        </m:r>
        <m:r>
          <w:rPr>
            <w:rFonts w:ascii="Cambria Math" w:hAnsi="Cambria Math"/>
          </w:rPr>
          <m:t xml:space="preserve">0.00014</m:t>
        </m:r>
      </m:oMath>
      <w:r>
        <w:rPr/>
        <w:t xml:space="preserve">, por tanto, se rechaza la hipótesis nula y se demuestra que los datos cumplen con el orden </w:t>
      </w:r>
      <w:r>
        <w:rPr/>
      </w:r>
      <m:oMath xmlns:m="http://schemas.openxmlformats.org/officeDocument/2006/math">
        <m:sSub>
          <m:e>
            <m:r>
              <w:rPr>
                <w:rFonts w:ascii="Cambria Math" w:hAnsi="Cambria Math"/>
              </w:rPr>
              <m:t xml:space="preserve">m</m:t>
            </m:r>
          </m:e>
          <m:sub>
            <m:r>
              <w:rPr>
                <w:rFonts w:ascii="Cambria Math" w:hAnsi="Cambria Math"/>
              </w:rPr>
              <m:t xml:space="preserve">1</m:t>
            </m:r>
          </m:sub>
        </m:sSub>
        <m:r>
          <w:rPr>
            <w:rFonts w:ascii="Cambria Math" w:hAnsi="Cambria Math"/>
          </w:rPr>
          <m:t xml:space="preserve">&lt;</m:t>
        </m:r>
        <m:sSub>
          <m:e>
            <m:r>
              <w:rPr>
                <w:rFonts w:ascii="Cambria Math" w:hAnsi="Cambria Math"/>
              </w:rPr>
              <m:t xml:space="preserve">m</m:t>
            </m:r>
          </m:e>
          <m:sub>
            <m:r>
              <w:rPr>
                <w:rFonts w:ascii="Cambria Math" w:hAnsi="Cambria Math"/>
              </w:rPr>
              <m:t xml:space="preserve">2</m:t>
            </m:r>
          </m:sub>
        </m:sSub>
        <m:r>
          <w:rPr>
            <w:rFonts w:ascii="Cambria Math" w:hAnsi="Cambria Math"/>
          </w:rPr>
          <m:t xml:space="preserve">&lt;</m:t>
        </m:r>
        <m:r>
          <w:rPr>
            <w:rFonts w:ascii="Cambria Math" w:hAnsi="Cambria Math"/>
          </w:rPr>
          <m:t xml:space="preserve">..</m:t>
        </m:r>
        <m:r>
          <w:rPr>
            <w:rFonts w:ascii="Cambria Math" w:hAnsi="Cambria Math"/>
          </w:rPr>
          <m:t xml:space="preserve">.</m:t>
        </m:r>
      </m:oMath>
      <w:r>
        <w:rPr>
          <w:rFonts w:cs="Lucida Console" w:ascii="Lucida Console" w:hAnsi="Lucida Console"/>
          <w:sz w:val="20"/>
          <w:szCs w:val="20"/>
        </w:rPr>
        <w:t>.</w:t>
      </w:r>
    </w:p>
    <w:p>
      <w:pPr>
        <w:pStyle w:val="Normal"/>
        <w:rPr/>
      </w:pPr>
      <w:r>
        <w:rPr/>
        <w:t xml:space="preserve">Como parte de la confirmación de estos resultados, la propia herramienta informática </w:t>
      </w:r>
      <w:r>
        <w:rPr>
          <w:i/>
        </w:rPr>
        <w:t>Statex</w:t>
      </w:r>
      <w:r>
        <w:rPr/>
        <w:t xml:space="preserve"> aplica las técnicas de Chi-Cuadrado y la simulación de Monte Carlo, generando los siguientes resultados.</w:t>
      </w:r>
    </w:p>
    <w:p>
      <w:pPr>
        <w:pStyle w:val="Normal"/>
        <w:rPr>
          <w:bCs w:val="false"/>
        </w:rPr>
      </w:pPr>
      <w:r>
        <w:rPr/>
        <w:t>Resultados del Chi-Cuadrado</w:t>
      </w:r>
      <w:r>
        <w:rPr>
          <w:rStyle w:val="FootnoteAnchor"/>
        </w:rPr>
        <w:footnoteReference w:id="13"/>
      </w:r>
      <w:r>
        <w:rPr/>
        <w:t>:</w:t>
      </w:r>
    </w:p>
    <w:p>
      <w:pPr>
        <w:pStyle w:val="Normal"/>
        <w:rPr/>
      </w:pPr>
      <w:r>
        <w:rPr/>
      </w:r>
      <m:oMath xmlns:m="http://schemas.openxmlformats.org/officeDocument/2006/math">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13.194662</m:t>
        </m:r>
      </m:oMath>
      <w:r>
        <w:rPr>
          <w:i/>
        </w:rPr>
        <w:t>,</w:t>
      </w:r>
      <w:r>
        <w:rPr>
          <w:i/>
        </w:rPr>
      </w:r>
      <m:oMath xmlns:m="http://schemas.openxmlformats.org/officeDocument/2006/math">
        <m:f>
          <m:num>
            <m:r>
              <w:rPr>
                <w:rFonts w:ascii="Cambria Math" w:hAnsi="Cambria Math"/>
              </w:rPr>
              <m:t xml:space="preserve">P</m:t>
            </m:r>
            <m:d>
              <m:dPr>
                <m:begChr m:val="("/>
                <m:endChr m:val=")"/>
              </m:dPr>
              <m:e>
                <m:r>
                  <w:rPr>
                    <w:rFonts w:ascii="Cambria Math" w:hAnsi="Cambria Math"/>
                  </w:rPr>
                  <m:t xml:space="preserve">X</m:t>
                </m:r>
              </m:e>
            </m:d>
          </m:num>
          <m:den>
            <m:r>
              <w:rPr>
                <w:rFonts w:ascii="Cambria Math" w:hAnsi="Cambria Math"/>
              </w:rPr>
              <m:t xml:space="preserve">2</m:t>
            </m:r>
          </m:den>
        </m:f>
        <m:r>
          <w:rPr>
            <w:rFonts w:ascii="Cambria Math" w:hAnsi="Cambria Math"/>
          </w:rPr>
          <m:t xml:space="preserve">=</m:t>
        </m:r>
        <m:r>
          <w:rPr>
            <w:rFonts w:ascii="Cambria Math" w:hAnsi="Cambria Math"/>
          </w:rPr>
          <m:t xml:space="preserve">0.00014</m:t>
        </m:r>
      </m:oMath>
      <w:r>
        <w:rPr>
          <w:i/>
        </w:rPr>
        <w:t xml:space="preserve">. </w:t>
      </w:r>
      <w:r>
        <w:rPr/>
        <w:t xml:space="preserve">Se rechaza la hipótesis nula y se demuestra que los datos cumplen con el orden </w:t>
      </w:r>
      <w:r>
        <w:rPr/>
      </w:r>
      <m:oMath xmlns:m="http://schemas.openxmlformats.org/officeDocument/2006/math">
        <m:d>
          <m:dPr>
            <m:begChr m:val="("/>
            <m:endChr m:val=")"/>
          </m:dPr>
          <m:e>
            <m:r>
              <w:rPr>
                <w:rFonts w:ascii="Cambria Math" w:hAnsi="Cambria Math"/>
              </w:rPr>
              <m:t xml:space="preserve">m</m:t>
            </m:r>
            <m:r>
              <w:rPr>
                <w:rFonts w:ascii="Cambria Math" w:hAnsi="Cambria Math"/>
              </w:rPr>
              <m:t xml:space="preserve">1</m:t>
            </m:r>
            <m:r>
              <w:rPr>
                <w:rFonts w:ascii="Cambria Math" w:hAnsi="Cambria Math"/>
              </w:rPr>
              <m:t xml:space="preserve">&lt;</m:t>
            </m:r>
            <m:r>
              <w:rPr>
                <w:rFonts w:ascii="Cambria Math" w:hAnsi="Cambria Math"/>
              </w:rPr>
              <m:t xml:space="preserve">m</m:t>
            </m:r>
            <m:r>
              <w:rPr>
                <w:rFonts w:ascii="Cambria Math" w:hAnsi="Cambria Math"/>
              </w:rPr>
              <m:t xml:space="preserve">2</m:t>
            </m:r>
            <m:r>
              <w:rPr>
                <w:rFonts w:ascii="Cambria Math" w:hAnsi="Cambria Math"/>
              </w:rPr>
              <m:t xml:space="preserve">&lt;</m:t>
            </m:r>
            <m:r>
              <w:rPr>
                <w:rFonts w:ascii="Cambria Math" w:hAnsi="Cambria Math"/>
              </w:rPr>
              <m:t xml:space="preserve">...</m:t>
            </m:r>
          </m:e>
        </m:d>
      </m:oMath>
      <w:r>
        <w:rPr/>
        <w:t>.</w:t>
      </w:r>
    </w:p>
    <w:p>
      <w:pPr>
        <w:pStyle w:val="Normal"/>
        <w:rPr/>
      </w:pPr>
      <w:r>
        <w:rPr/>
        <w:t>Se demuestra que, respecto a los indicadores analizados,</w:t>
      </w:r>
      <w:r>
        <w:rPr>
          <w:i/>
        </w:rPr>
        <w:t xml:space="preserve"> </w:t>
      </w:r>
      <w:r>
        <w:rPr/>
        <w:t>los algoritmos mantienen el siguiente ranking:</w:t>
      </w:r>
    </w:p>
    <w:tbl>
      <w:tblPr>
        <w:tblStyle w:val="Tablaconcuadrcula"/>
        <w:tblW w:w="5000" w:type="pct"/>
        <w:jc w:val="left"/>
        <w:tblInd w:w="0" w:type="dxa"/>
        <w:tblCellMar>
          <w:top w:w="0" w:type="dxa"/>
          <w:left w:w="123" w:type="dxa"/>
          <w:bottom w:w="0" w:type="dxa"/>
          <w:right w:w="108" w:type="dxa"/>
        </w:tblCellMar>
        <w:tblLook w:val="04a0" w:noVBand="1" w:noHBand="0" w:lastColumn="0" w:firstColumn="1" w:lastRow="0" w:firstRow="1"/>
      </w:tblPr>
      <w:tblGrid>
        <w:gridCol w:w="2775"/>
        <w:gridCol w:w="3592"/>
        <w:gridCol w:w="2612"/>
      </w:tblGrid>
      <w:tr>
        <w:trPr/>
        <w:tc>
          <w:tcPr>
            <w:tcW w:w="2775" w:type="dxa"/>
            <w:tcBorders>
              <w:top w:val="nil"/>
              <w:left w:val="nil"/>
              <w:bottom w:val="nil"/>
              <w:right w:val="nil"/>
              <w:insideH w:val="nil"/>
              <w:insideV w:val="nil"/>
            </w:tcBorders>
            <w:shd w:color="auto" w:fill="auto" w:val="clear"/>
          </w:tcPr>
          <w:p>
            <w:pPr>
              <w:pStyle w:val="ListParagraph"/>
              <w:numPr>
                <w:ilvl w:val="1"/>
                <w:numId w:val="3"/>
              </w:numPr>
              <w:spacing w:before="80" w:after="85"/>
              <w:ind w:left="426" w:hanging="284"/>
              <w:rPr>
                <w:rFonts w:ascii="Courier New" w:hAnsi="Courier New" w:cs="Courier New"/>
              </w:rPr>
            </w:pPr>
            <w:r>
              <w:rPr>
                <w:rFonts w:cs="Courier New" w:ascii="Courier New" w:hAnsi="Courier New"/>
              </w:rPr>
              <w:t>RST_LDS</w:t>
            </w:r>
          </w:p>
          <w:p>
            <w:pPr>
              <w:pStyle w:val="ListParagraph"/>
              <w:numPr>
                <w:ilvl w:val="1"/>
                <w:numId w:val="3"/>
              </w:numPr>
              <w:spacing w:before="80" w:after="85"/>
              <w:ind w:left="426" w:hanging="284"/>
              <w:rPr>
                <w:rFonts w:ascii="Courier New" w:hAnsi="Courier New" w:cs="Courier New"/>
              </w:rPr>
            </w:pPr>
            <w:r>
              <w:rPr>
                <w:rFonts w:cs="Courier New" w:ascii="Courier New" w:hAnsi="Courier New"/>
                <w:lang w:val="es-ES"/>
              </w:rPr>
              <w:t>G</w:t>
            </w:r>
            <w:r>
              <w:rPr>
                <w:rFonts w:cs="Courier New" w:ascii="Courier New" w:hAnsi="Courier New"/>
              </w:rPr>
              <w:t xml:space="preserve">A_LDS </w:t>
            </w:r>
          </w:p>
        </w:tc>
        <w:tc>
          <w:tcPr>
            <w:tcW w:w="3592" w:type="dxa"/>
            <w:tcBorders>
              <w:top w:val="nil"/>
              <w:left w:val="nil"/>
              <w:bottom w:val="nil"/>
              <w:right w:val="nil"/>
              <w:insideH w:val="nil"/>
              <w:insideV w:val="nil"/>
            </w:tcBorders>
            <w:shd w:color="auto" w:fill="auto" w:val="clear"/>
          </w:tcPr>
          <w:p>
            <w:pPr>
              <w:pStyle w:val="ListParagraph"/>
              <w:numPr>
                <w:ilvl w:val="1"/>
                <w:numId w:val="3"/>
              </w:numPr>
              <w:spacing w:before="80" w:after="85"/>
              <w:ind w:left="426" w:hanging="284"/>
              <w:rPr>
                <w:rFonts w:ascii="Courier New" w:hAnsi="Courier New" w:cs="Courier New"/>
              </w:rPr>
            </w:pPr>
            <w:r>
              <w:rPr>
                <w:rFonts w:cs="Courier New" w:ascii="Courier New" w:hAnsi="Courier New"/>
                <w:lang w:val="es-ES"/>
              </w:rPr>
              <w:t>PCA</w:t>
            </w:r>
            <w:r>
              <w:rPr>
                <w:rFonts w:cs="Courier New" w:ascii="Courier New" w:hAnsi="Courier New"/>
              </w:rPr>
              <w:t xml:space="preserve">_LDS </w:t>
            </w:r>
          </w:p>
          <w:p>
            <w:pPr>
              <w:pStyle w:val="ListParagraph"/>
              <w:numPr>
                <w:ilvl w:val="1"/>
                <w:numId w:val="3"/>
              </w:numPr>
              <w:spacing w:before="80" w:after="85"/>
              <w:ind w:left="426" w:hanging="284"/>
              <w:rPr>
                <w:rFonts w:ascii="Courier New" w:hAnsi="Courier New" w:cs="Courier New"/>
              </w:rPr>
            </w:pPr>
            <w:r>
              <w:rPr>
                <w:rFonts w:cs="Courier New" w:ascii="Courier New" w:hAnsi="Courier New"/>
                <w:lang w:val="en-US"/>
              </w:rPr>
              <w:t>Apriori</w:t>
            </w:r>
            <w:r>
              <w:rPr>
                <w:rFonts w:cs="Courier New" w:ascii="Courier New" w:hAnsi="Courier New"/>
              </w:rPr>
              <w:t xml:space="preserve">_LDS </w:t>
            </w:r>
          </w:p>
        </w:tc>
        <w:tc>
          <w:tcPr>
            <w:tcW w:w="2612" w:type="dxa"/>
            <w:tcBorders>
              <w:top w:val="nil"/>
              <w:left w:val="nil"/>
              <w:bottom w:val="nil"/>
              <w:right w:val="nil"/>
              <w:insideH w:val="nil"/>
              <w:insideV w:val="nil"/>
            </w:tcBorders>
            <w:shd w:color="auto" w:fill="auto" w:val="clear"/>
          </w:tcPr>
          <w:p>
            <w:pPr>
              <w:pStyle w:val="ListParagraph"/>
              <w:numPr>
                <w:ilvl w:val="1"/>
                <w:numId w:val="3"/>
              </w:numPr>
              <w:spacing w:before="80" w:after="85"/>
              <w:ind w:left="426" w:hanging="284"/>
              <w:rPr>
                <w:rFonts w:ascii="Courier New" w:hAnsi="Courier New" w:cs="Courier New"/>
              </w:rPr>
            </w:pPr>
            <w:r>
              <w:rPr>
                <w:rFonts w:cs="Courier New" w:ascii="Courier New" w:hAnsi="Courier New"/>
              </w:rPr>
              <w:t xml:space="preserve">LPA_LDS </w:t>
            </w:r>
          </w:p>
          <w:p>
            <w:pPr>
              <w:pStyle w:val="ListParagraph"/>
              <w:numPr>
                <w:ilvl w:val="1"/>
                <w:numId w:val="3"/>
              </w:numPr>
              <w:spacing w:before="80" w:after="85"/>
              <w:ind w:left="426" w:hanging="284"/>
              <w:rPr>
                <w:rFonts w:ascii="Courier New" w:hAnsi="Courier New" w:cs="Courier New"/>
              </w:rPr>
            </w:pPr>
            <w:r>
              <w:rPr>
                <w:rFonts w:cs="Courier New" w:ascii="Courier New" w:hAnsi="Courier New"/>
              </w:rPr>
              <w:t>ACO_LDS</w:t>
            </w:r>
          </w:p>
        </w:tc>
      </w:tr>
    </w:tbl>
    <w:p>
      <w:pPr>
        <w:pStyle w:val="Normal"/>
        <w:rPr/>
      </w:pPr>
      <w:r>
        <w:rPr/>
        <w:t xml:space="preserve">En el análisis global se concluye que el algoritmo propuesto </w:t>
      </w:r>
      <w:r>
        <w:rPr>
          <w:rFonts w:cs="Courier New" w:ascii="Courier New" w:hAnsi="Courier New"/>
        </w:rPr>
        <w:t>RST_LDS</w:t>
      </w:r>
      <w:r>
        <w:rPr/>
        <w:t xml:space="preserve"> obtiene los mejores resultados mientras que el algoritmo </w:t>
      </w:r>
      <w:r>
        <w:rPr>
          <w:rFonts w:cs="Courier New" w:ascii="Courier New" w:hAnsi="Courier New"/>
        </w:rPr>
        <w:t>ACO_LDS</w:t>
      </w:r>
      <w:r>
        <w:rPr/>
        <w:t xml:space="preserve"> es el que obtiene la evaluación más baja. Respecto a la comparación entre los algoritmos </w:t>
      </w:r>
      <w:r>
        <w:rPr>
          <w:rFonts w:cs="Courier New" w:ascii="Courier New" w:hAnsi="Courier New"/>
        </w:rPr>
        <w:t>PCA_LDS</w:t>
      </w:r>
      <w:r>
        <w:rPr/>
        <w:t xml:space="preserve"> y </w:t>
      </w:r>
      <w:r>
        <w:rPr>
          <w:rFonts w:cs="Courier New" w:ascii="Courier New" w:hAnsi="Courier New"/>
        </w:rPr>
        <w:t>Apriori_LDS</w:t>
      </w:r>
      <w:r>
        <w:rPr/>
        <w:t xml:space="preserve"> se demuestra que la extensión propuesta </w:t>
      </w:r>
      <w:r>
        <w:rPr>
          <w:rFonts w:cs="Courier New" w:ascii="Courier New" w:hAnsi="Courier New"/>
        </w:rPr>
        <w:t>PCA_LDS</w:t>
      </w:r>
      <w:r>
        <w:rPr/>
        <w:t xml:space="preserve"> obtiene mejores resultados. Los peores resultados globales son los reportados por </w:t>
      </w:r>
      <w:r>
        <w:rPr>
          <w:rFonts w:cs="Courier New" w:ascii="Courier New" w:hAnsi="Courier New"/>
        </w:rPr>
        <w:t>LPA_LDS</w:t>
      </w:r>
      <w:r>
        <w:rPr/>
        <w:t xml:space="preserve"> y </w:t>
      </w:r>
      <w:r>
        <w:rPr>
          <w:rFonts w:cs="Courier New" w:ascii="Courier New" w:hAnsi="Courier New"/>
        </w:rPr>
        <w:t>ACO_LDS</w:t>
      </w:r>
      <w:r>
        <w:rPr/>
        <w:t>.</w:t>
      </w:r>
    </w:p>
    <w:p>
      <w:pPr>
        <w:pStyle w:val="Heading2"/>
        <w:numPr>
          <w:ilvl w:val="1"/>
          <w:numId w:val="80"/>
        </w:numPr>
        <w:rPr/>
      </w:pPr>
      <w:bookmarkStart w:id="3525" w:name="_Toc84598947"/>
      <w:bookmarkEnd w:id="3525"/>
      <w:r>
        <w:rPr/>
        <w:t>Conjunto de pruebas 5: validación de variable dependiente “Eficacia de los algoritmos para la ayuda a la toma de decisiones”</w:t>
      </w:r>
    </w:p>
    <w:p>
      <w:pPr>
        <w:pStyle w:val="Normal"/>
        <w:rPr/>
      </w:pPr>
      <w:r>
        <w:rPr/>
        <w:t>En esta sección se demuestra la variable dependiente en la dimensión “Aplicabilidad en la toma de decisiones”. Para validar el indicador “Aplicabilidad en diferentes escenarios”, de esta dimensión, se aplican los algoritmos propuesto en los casos de estudio: `toma de decisiones en gestión de proyectos´ y `toma de decisiones en el tratamiento médico de embarazadas cardiópatas´.</w:t>
      </w:r>
    </w:p>
    <w:p>
      <w:pPr>
        <w:pStyle w:val="Normal"/>
        <w:rPr/>
      </w:pPr>
      <w:r>
        <w:rPr/>
        <w:t>Para esta prueba, los algoritmos fueron integrados al subsistema “Análisis de datos (</w:t>
      </w:r>
      <w:r>
        <w:rPr>
          <w:i/>
        </w:rPr>
        <w:t>Prodanalysis</w:t>
      </w:r>
      <w:r>
        <w:rPr/>
        <w:t xml:space="preserve">)” del ecosistema de software Cuadro de Mando para la Toma de Decisiones </w:t>
      </w:r>
      <w:r>
        <w:fldChar w:fldCharType="begin"/>
      </w:r>
      <w:r>
        <w:instrText>ADDIN ZOTERO_ITEM CSL_CITATION {"citationID":"a2n3jc1neu8","properties":{"formattedCitation":"(Pi\\uc0\\u241{}ero P\\uc0\\u233{}rez, P\\uc0\\u233{}rez Pupo y Pi\\uc0\\u241{}ero Cruz 2019)","plainCitation":"(Piñero Pérez, Pérez Pupo y Piñero Cruz 2019)","noteIndex":0},"citationItems":[{"id":3435,"uris":["http://zotero.org/users/local/EJ15hJE2/items/PTVAJJRM"],"uri":["http://zotero.org/users/local/EJ15hJE2/items/PTVAJJRM"],"itemData":{"id":3435,"type":"patent","event-place":"Centro Nacional de Derecho de Autor de Cuba (CENDA)","number":"4076-12-2019","publisher-place":"Centro Nacional de Derecho de Autor de Cuba (CENDA)","title":"Suite BusinessRedmine Sistema para la toma de decisiones empresariales y la gestión de proyectos 19.05","author":[{"family":"Piñero Pérez","given":"Pedro"},{"family":"Pérez Pupo","given":"Iliana"},{"family":"Piñero Cruz","given":"Pedro"}],"issued":{"date-parts":[["2019"]]},"submitted":{"date-parts":[["2019"]]}}}],"schema":"https://github.com/citation-style-language/schema/raw/master/csl-citation.json"}</w:instrText>
      </w:r>
      <w:r>
        <w:fldChar w:fldCharType="separate"/>
      </w:r>
      <w:bookmarkStart w:id="3526" w:name="__Fieldmark__19003_2067855929"/>
      <w:r>
        <w:rPr/>
      </w:r>
      <w:r>
        <w:rPr>
          <w:szCs w:val="24"/>
        </w:rPr>
        <w:t>(</w:t>
      </w:r>
      <w:bookmarkStart w:id="3527" w:name="__Fieldmark__17389_498839314"/>
      <w:r>
        <w:rPr>
          <w:szCs w:val="24"/>
        </w:rPr>
        <w:t>P</w:t>
      </w:r>
      <w:bookmarkStart w:id="3528" w:name="__Fieldmark__16313_998588997"/>
      <w:r>
        <w:rPr>
          <w:szCs w:val="24"/>
        </w:rPr>
        <w:t>i</w:t>
      </w:r>
      <w:bookmarkStart w:id="3529" w:name="__Fieldmark__20847_118561941"/>
      <w:r>
        <w:rPr>
          <w:szCs w:val="24"/>
        </w:rPr>
        <w:t>ñero Pérez, Pérez Pupo y Piñero Cruz 2019)</w:t>
      </w:r>
      <w:r>
        <w:rPr/>
      </w:r>
      <w:r>
        <w:fldChar w:fldCharType="end"/>
      </w:r>
      <w:bookmarkEnd w:id="3526"/>
      <w:bookmarkEnd w:id="3527"/>
      <w:bookmarkEnd w:id="3528"/>
      <w:bookmarkEnd w:id="3529"/>
      <w:r>
        <w:rPr/>
        <w:t xml:space="preserve">, donde también se implementó el </w:t>
      </w:r>
      <w:r>
        <w:rPr>
          <w:lang w:val="en-US"/>
        </w:rPr>
        <w:t>meta-algoritmo</w:t>
      </w:r>
      <w:r>
        <w:rPr/>
        <w:t xml:space="preserve"> </w:t>
      </w:r>
      <w:r>
        <w:rPr>
          <w:i/>
          <w:iCs/>
        </w:rPr>
        <w:t>Hybrid_LDS</w:t>
      </w:r>
      <w:r>
        <w:rPr/>
        <w:t xml:space="preserve"> que aplica los algoritmos propuestos (</w:t>
      </w:r>
      <w:bookmarkStart w:id="3530" w:name="_Hlk78871086"/>
      <w:r>
        <w:rPr>
          <w:i/>
          <w:iCs/>
        </w:rPr>
        <w:t>RST_LDS</w:t>
      </w:r>
      <w:r>
        <w:rPr/>
        <w:t xml:space="preserve">, </w:t>
      </w:r>
      <w:r>
        <w:rPr>
          <w:i/>
          <w:iCs/>
        </w:rPr>
        <w:t xml:space="preserve">LPA_LDS </w:t>
      </w:r>
      <w:r>
        <w:rPr/>
        <w:t>y</w:t>
      </w:r>
      <w:r>
        <w:rPr>
          <w:i/>
          <w:iCs/>
        </w:rPr>
        <w:t xml:space="preserve"> PCA_LDS</w:t>
      </w:r>
      <w:bookmarkEnd w:id="3530"/>
      <w:r>
        <w:rPr/>
        <w:t xml:space="preserve">) para su uso de forma combinada. Con este </w:t>
      </w:r>
      <w:r>
        <w:rPr>
          <w:lang w:val="en-US"/>
        </w:rPr>
        <w:t xml:space="preserve">meta-algoritmo se </w:t>
      </w:r>
      <w:r>
        <w:rPr/>
        <w:t>aprovechan las potencialidades de cada algoritmo generando un único conjunto de resúmenes lingüísticos sin repetición, y en cada caso de estudio se muestran elementos que reflejan su complementariedad. Finalmente, en ambos casos de estudio se aplica el siguiente procedimiento.</w:t>
      </w:r>
    </w:p>
    <w:p>
      <w:pPr>
        <w:pStyle w:val="Caption1"/>
        <w:jc w:val="left"/>
        <w:rPr/>
      </w:pPr>
      <w:bookmarkStart w:id="3531" w:name="_Ref77745107"/>
      <w:r>
        <w:rPr>
          <w:b/>
          <w:bCs w:val="false"/>
          <w:sz w:val="24"/>
          <w:szCs w:val="24"/>
        </w:rPr>
        <w:t xml:space="preserve">Procedimiento </w:t>
      </w:r>
      <w:bookmarkEnd w:id="3531"/>
      <w:r>
        <w:rPr>
          <w:b/>
          <w:bCs w:val="false"/>
          <w:sz w:val="24"/>
          <w:szCs w:val="24"/>
        </w:rPr>
        <w:fldChar w:fldCharType="begin"/>
      </w:r>
      <w:r>
        <w:instrText> SEQ Procedimiento \* ARABIC </w:instrText>
      </w:r>
      <w:r>
        <w:fldChar w:fldCharType="separate"/>
      </w:r>
      <w:r>
        <w:t>1</w:t>
      </w:r>
      <w:r>
        <w:fldChar w:fldCharType="end"/>
      </w:r>
    </w:p>
    <w:p>
      <w:pPr>
        <w:pStyle w:val="ListParagraph"/>
        <w:numPr>
          <w:ilvl w:val="0"/>
          <w:numId w:val="70"/>
        </w:numPr>
        <w:ind w:left="993" w:hanging="786"/>
        <w:rPr/>
      </w:pPr>
      <w:r>
        <w:rPr>
          <w:lang w:val="es-ES"/>
        </w:rPr>
        <w:t xml:space="preserve"> </w:t>
      </w:r>
      <w:r>
        <w:rPr>
          <w:lang w:val="es-ES"/>
        </w:rPr>
        <w:t xml:space="preserve">Se aplica el </w:t>
      </w:r>
      <w:r>
        <w:rPr>
          <w:i/>
          <w:iCs/>
        </w:rPr>
        <w:t>Hybrid_LDS</w:t>
      </w:r>
      <w:r>
        <w:rPr>
          <w:i/>
          <w:iCs/>
          <w:lang w:val="es-ES"/>
        </w:rPr>
        <w:t xml:space="preserve"> </w:t>
      </w:r>
      <w:r>
        <w:rPr>
          <w:lang w:val="es-ES"/>
        </w:rPr>
        <w:t>en las bases de datos de cada caso de estudio.</w:t>
      </w:r>
    </w:p>
    <w:p>
      <w:pPr>
        <w:pStyle w:val="ListParagraph"/>
        <w:numPr>
          <w:ilvl w:val="0"/>
          <w:numId w:val="70"/>
        </w:numPr>
        <w:ind w:left="993" w:hanging="786"/>
        <w:rPr/>
      </w:pPr>
      <w:r>
        <w:rPr>
          <w:i/>
          <w:iCs/>
          <w:lang w:val="es-ES"/>
        </w:rPr>
        <w:t xml:space="preserve"> </w:t>
      </w:r>
      <w:r>
        <w:rPr>
          <w:lang w:val="es-ES"/>
        </w:rPr>
        <w:t xml:space="preserve">Los resúmenes lingüísticos obtenidos, son sometidos a la evaluación de expertos en el área de conocimiento según el caso de estudio, </w:t>
      </w:r>
      <w:r>
        <w:rPr/>
        <w:t>aplica</w:t>
      </w:r>
      <w:r>
        <w:rPr>
          <w:lang w:val="es-ES"/>
        </w:rPr>
        <w:t>ndo</w:t>
      </w:r>
      <w:r>
        <w:rPr/>
        <w:t xml:space="preserve"> </w:t>
      </w:r>
      <w:r>
        <w:rPr>
          <w:lang w:val="es-ES"/>
        </w:rPr>
        <w:t>l</w:t>
      </w:r>
      <w:r>
        <w:rPr/>
        <w:t>a técnica de análisis multicriterio</w:t>
      </w:r>
      <w:r>
        <w:rPr>
          <w:lang w:val="es-ES"/>
        </w:rPr>
        <w:t xml:space="preserve"> </w:t>
      </w:r>
      <w:r>
        <w:fldChar w:fldCharType="begin"/>
      </w:r>
      <w:r>
        <w:instrText>ADDIN ZOTERO_ITEM CSL_CITATION {"citationID":"a2c784ordft","properties":{"formattedCitation":"(Zhang, S. et\\uc0\\u160{}al. 2020)","plainCitation":"(Zhang, S. et al. 2020)","noteIndex":0},"citationItems":[{"id":2964,"uris":["http://zotero.org/users/local/EJ15hJE2/items/UNDEVS67"],"uri":["http://zotero.org/users/local/EJ15hJE2/items/UNDEVS67"],"itemData":{"id":2964,"type":"article-journal","container-title":"Soft Computing","DOI":"10.1007/s00500-019-04364-x","issue":"8","page":"5819–5829","title":"MABAC method for multiple attribute group decision making under picture 2-tuple linguistic environment","volume":"24","author":[{"family":"Zhang","given":"S."},{"family":"Wei","given":"G."},{"family":"Alsaadi","given":"F.E."},{"family":"Hayat","given":"T."},{"family":"Wei","given":"C."},{"family":"Zhang","given":"Z."}],"issued":{"date-parts":[["2020"]]}}}],"schema":"https://github.com/citation-style-language/schema/raw/master/csl-citation.json"}</w:instrText>
      </w:r>
      <w:r>
        <w:fldChar w:fldCharType="separate"/>
      </w:r>
      <w:bookmarkStart w:id="3532" w:name="__Fieldmark__19053_2067855929"/>
      <w:r>
        <w:rPr>
          <w:lang w:val="es-ES"/>
        </w:rPr>
      </w:r>
      <w:r>
        <w:rPr>
          <w:szCs w:val="24"/>
          <w:lang w:val="es-ES"/>
        </w:rPr>
        <w:t>(</w:t>
      </w:r>
      <w:bookmarkStart w:id="3533" w:name="__Fieldmark__17434_498839314"/>
      <w:r>
        <w:rPr>
          <w:szCs w:val="24"/>
          <w:lang w:val="es-ES"/>
        </w:rPr>
        <w:t>Z</w:t>
      </w:r>
      <w:bookmarkStart w:id="3534" w:name="__Fieldmark__16354_998588997"/>
      <w:r>
        <w:rPr>
          <w:szCs w:val="24"/>
          <w:lang w:val="es-ES"/>
        </w:rPr>
        <w:t>h</w:t>
      </w:r>
      <w:bookmarkStart w:id="3535" w:name="__Fieldmark__20903_118561941"/>
      <w:r>
        <w:rPr>
          <w:szCs w:val="24"/>
          <w:lang w:val="es-ES"/>
        </w:rPr>
        <w:t>ang, S. et al. 2020)</w:t>
      </w:r>
      <w:r>
        <w:rPr>
          <w:lang w:val="es-ES"/>
        </w:rPr>
      </w:r>
      <w:r>
        <w:fldChar w:fldCharType="end"/>
      </w:r>
      <w:bookmarkEnd w:id="3532"/>
      <w:bookmarkEnd w:id="3533"/>
      <w:bookmarkEnd w:id="3534"/>
      <w:bookmarkEnd w:id="3535"/>
      <w:r>
        <w:rPr>
          <w:lang w:val="es-ES"/>
        </w:rPr>
        <w:t xml:space="preserve">. En ese sentido se evalúa la variable dependiente en la dimensión “Aplicabilidad en la toma de decisiones” respecto a los indicadores: </w:t>
      </w:r>
      <w:r>
        <w:rPr/>
        <w:t xml:space="preserve">“Interpretabilidad de los resúmenes” y “Facilidad para la toma de decisiones”. </w:t>
      </w:r>
    </w:p>
    <w:p>
      <w:pPr>
        <w:pStyle w:val="ListParagraph"/>
        <w:numPr>
          <w:ilvl w:val="1"/>
          <w:numId w:val="70"/>
        </w:numPr>
        <w:ind w:left="1418" w:hanging="360"/>
        <w:rPr/>
      </w:pPr>
      <w:r>
        <w:rPr>
          <w:lang w:val="es-ES"/>
        </w:rPr>
        <w:t>E</w:t>
      </w:r>
      <w:r>
        <w:rPr/>
        <w:t>n cada caso de estudio</w:t>
      </w:r>
      <w:r>
        <w:rPr>
          <w:lang w:val="es-ES"/>
        </w:rPr>
        <w:t xml:space="preserve"> s</w:t>
      </w:r>
      <w:r>
        <w:rPr/>
        <w:t xml:space="preserve">e aplica una encuesta que recoge las preferencias de los expertos respecto a un conjunto de criterios. </w:t>
      </w:r>
    </w:p>
    <w:p>
      <w:pPr>
        <w:pStyle w:val="ListParagraph"/>
        <w:numPr>
          <w:ilvl w:val="1"/>
          <w:numId w:val="70"/>
        </w:numPr>
        <w:ind w:left="1418" w:hanging="360"/>
        <w:rPr/>
      </w:pPr>
      <w:r>
        <w:rPr>
          <w:lang w:val="es-ES"/>
        </w:rPr>
        <w:t xml:space="preserve">Para la </w:t>
      </w:r>
      <w:r>
        <w:rPr/>
        <w:t>agrega</w:t>
      </w:r>
      <w:r>
        <w:rPr>
          <w:lang w:val="es-ES"/>
        </w:rPr>
        <w:t>ción de</w:t>
      </w:r>
      <w:r>
        <w:rPr/>
        <w:t xml:space="preserve"> las preferencias </w:t>
      </w:r>
      <w:r>
        <w:rPr>
          <w:lang w:val="es-ES"/>
        </w:rPr>
        <w:t xml:space="preserve">de los expertos se aplica </w:t>
      </w:r>
      <w:r>
        <w:rPr/>
        <w:t xml:space="preserve">la técnica de computación con palabras 2-tuplas </w:t>
      </w:r>
      <w:r>
        <w:fldChar w:fldCharType="begin"/>
      </w:r>
      <w:r>
        <w:instrText>ADDIN ZOTERO_ITEM CSL_CITATION {"citationID":"a1scmc2n3u6","properties":{"formattedCitation":"(Herrera y Mart\\uc0\\u237{}nez 2000)","plainCitation":"(Herrera y Martínez 2000)","noteIndex":0},"citationItems":[{"id":18,"uris":["http://zotero.org/users/local/EJ15hJE2/items/753QZKMA"],"uri":["http://zotero.org/users/local/EJ15hJE2/items/753QZKMA"],"itemData":{"id":18,"type":"article-journal","container-title":"IEEE Transactions on fuzzy systems","DOI":"10.1109/91.890332","ISSN":"1063-6706","issue":"6","page":"746–752","title":"A 2-tuple fuzzy linguistic representation model for computing with words","volume":"8","author":[{"family":"Herrera","given":"Francisco"},{"family":"Martínez","given":"Luis"}],"issued":{"date-parts":[["2000"]]}}}],"schema":"https://github.com/citation-style-language/schema/raw/master/csl-citation.json"}</w:instrText>
      </w:r>
      <w:r>
        <w:fldChar w:fldCharType="separate"/>
      </w:r>
      <w:bookmarkStart w:id="3536" w:name="__Fieldmark__19081_2067855929"/>
      <w:r>
        <w:rPr/>
      </w:r>
      <w:r>
        <w:rPr>
          <w:rFonts w:cs="Arial"/>
          <w:szCs w:val="24"/>
        </w:rPr>
        <w:t>(</w:t>
      </w:r>
      <w:bookmarkStart w:id="3537" w:name="__Fieldmark__17457_498839314"/>
      <w:r>
        <w:rPr>
          <w:rFonts w:cs="Arial"/>
          <w:szCs w:val="24"/>
        </w:rPr>
        <w:t>H</w:t>
      </w:r>
      <w:bookmarkStart w:id="3538" w:name="__Fieldmark__16373_998588997"/>
      <w:r>
        <w:rPr>
          <w:rFonts w:cs="Arial"/>
          <w:szCs w:val="24"/>
        </w:rPr>
        <w:t>e</w:t>
      </w:r>
      <w:bookmarkStart w:id="3539" w:name="__Fieldmark__20930_118561941"/>
      <w:r>
        <w:rPr>
          <w:rFonts w:cs="Arial"/>
          <w:szCs w:val="24"/>
        </w:rPr>
        <w:t>rrera y Martínez 2000)</w:t>
      </w:r>
      <w:r>
        <w:rPr/>
      </w:r>
      <w:r>
        <w:fldChar w:fldCharType="end"/>
      </w:r>
      <w:bookmarkEnd w:id="3536"/>
      <w:bookmarkEnd w:id="3537"/>
      <w:bookmarkEnd w:id="3538"/>
      <w:bookmarkEnd w:id="3539"/>
      <w:r>
        <w:rPr/>
        <w:t xml:space="preserve"> </w:t>
      </w:r>
      <w:r>
        <w:fldChar w:fldCharType="begin"/>
      </w:r>
      <w:r>
        <w:instrText>ADDIN ZOTERO_ITEM CSL_CITATION {"citationID":"xnI1LE0j","properties":{"formattedCitation":"(Zhang, S. et\\uc0\\u160{}al. 2020)","plainCitation":"(Zhang, S. et al. 2020)","noteIndex":0},"citationItems":[{"id":2964,"uris":["http://zotero.org/users/local/EJ15hJE2/items/UNDEVS67"],"uri":["http://zotero.org/users/local/EJ15hJE2/items/UNDEVS67"],"itemData":{"id":2964,"type":"article-journal","container-title":"Soft Computing","DOI":"10.1007/s00500-019-04364-x","issue":"8","page":"5819–5829","title":"MABAC method for multiple attribute group decision making under picture 2-tuple linguistic environment","volume":"24","author":[{"family":"Zhang","given":"S."},{"family":"Wei","given":"G."},{"family":"Alsaadi","given":"F.E."},{"family":"Hayat","given":"T."},{"family":"Wei","given":"C."},{"family":"Zhang","given":"Z."}],"issued":{"date-parts":[["2020"]]}}}],"schema":"https://github.com/citation-style-language/schema/raw/master/csl-citation.json"}</w:instrText>
      </w:r>
      <w:r>
        <w:fldChar w:fldCharType="separate"/>
      </w:r>
      <w:bookmarkStart w:id="3540" w:name="__Fieldmark__19096_2067855929"/>
      <w:r>
        <w:rPr/>
      </w:r>
      <w:r>
        <w:rPr>
          <w:szCs w:val="24"/>
        </w:rPr>
        <w:t>(</w:t>
      </w:r>
      <w:bookmarkStart w:id="3541" w:name="__Fieldmark__17468_498839314"/>
      <w:r>
        <w:rPr>
          <w:szCs w:val="24"/>
        </w:rPr>
        <w:t>Z</w:t>
      </w:r>
      <w:bookmarkStart w:id="3542" w:name="__Fieldmark__16380_998588997"/>
      <w:r>
        <w:rPr>
          <w:szCs w:val="24"/>
        </w:rPr>
        <w:t>h</w:t>
      </w:r>
      <w:bookmarkStart w:id="3543" w:name="__Fieldmark__20935_118561941"/>
      <w:r>
        <w:rPr>
          <w:szCs w:val="24"/>
        </w:rPr>
        <w:t>ang, S. et al. 2020)</w:t>
      </w:r>
      <w:r>
        <w:rPr/>
      </w:r>
      <w:r>
        <w:fldChar w:fldCharType="end"/>
      </w:r>
      <w:bookmarkEnd w:id="3540"/>
      <w:bookmarkEnd w:id="3541"/>
      <w:bookmarkEnd w:id="3542"/>
      <w:bookmarkEnd w:id="3543"/>
      <w:r>
        <w:rPr/>
        <w:t xml:space="preserve"> con el siguiente conjunto de términos lingüísticos </w:t>
      </w:r>
      <w:r>
        <w:rPr>
          <w:i/>
        </w:rPr>
        <w:t xml:space="preserve">LBTL = {Muy bajo, Bajo, Medio, Alto, Muy alto}. </w:t>
      </w:r>
      <w:r>
        <w:rPr/>
        <w:t>Se decide aplicar esta técnica porque no tiene pérdida de información</w:t>
      </w:r>
      <w:r>
        <w:rPr>
          <w:lang w:val="es-ES"/>
        </w:rPr>
        <w:t>,</w:t>
      </w:r>
      <w:r>
        <w:rPr/>
        <w:t xml:space="preserve"> a diferencia de otras técnicas de computación con palabras como escala de ordinales y el principio de extensión </w:t>
      </w:r>
      <w:r>
        <w:fldChar w:fldCharType="begin"/>
      </w:r>
      <w:r>
        <w:instrText>ADDIN ZOTERO_ITEM CSL_CITATION {"citationID":"ag1j6dfvr0","properties":{"formattedCitation":"(Tong y Bonissone 1980)","plainCitation":"(Tong y Bonissone 1980)","noteIndex":0},"citationItems":[{"id":2768,"uris":["http://zotero.org/users/local/EJ15hJE2/items/KIJKHIKE"],"uri":["http://zotero.org/users/local/EJ15hJE2/items/KIJKHIKE"],"itemData":{"id":2768,"type":"article-journal","container-title":"IEEE Transactions on Systems, Man, and Cybernetics","issue":"11","page":"716–723","title":"A linguistic approach to decisionmaking with fuzzy sets","volume":"10","author":[{"family":"Tong","given":"Richard M"},{"family":"Bonissone","given":"Piero P"}],"issued":{"date-parts":[["1980"]]}}}],"schema":"https://github.com/citation-style-language/schema/raw/master/csl-citation.json"}</w:instrText>
      </w:r>
      <w:r>
        <w:fldChar w:fldCharType="separate"/>
      </w:r>
      <w:bookmarkStart w:id="3544" w:name="__Fieldmark__19117_2067855929"/>
      <w:r>
        <w:rPr/>
      </w:r>
      <w:r>
        <w:rPr>
          <w:szCs w:val="24"/>
        </w:rPr>
        <w:t>(</w:t>
      </w:r>
      <w:bookmarkStart w:id="3545" w:name="__Fieldmark__17483_498839314"/>
      <w:r>
        <w:rPr>
          <w:szCs w:val="24"/>
        </w:rPr>
        <w:t>T</w:t>
      </w:r>
      <w:bookmarkStart w:id="3546" w:name="__Fieldmark__16391_998588997"/>
      <w:r>
        <w:rPr>
          <w:szCs w:val="24"/>
        </w:rPr>
        <w:t>o</w:t>
      </w:r>
      <w:bookmarkStart w:id="3547" w:name="__Fieldmark__20947_118561941"/>
      <w:r>
        <w:rPr>
          <w:szCs w:val="24"/>
        </w:rPr>
        <w:t>ng y Bonissone 1980)</w:t>
      </w:r>
      <w:r>
        <w:rPr/>
      </w:r>
      <w:r>
        <w:fldChar w:fldCharType="end"/>
      </w:r>
      <w:bookmarkEnd w:id="3544"/>
      <w:bookmarkEnd w:id="3545"/>
      <w:bookmarkEnd w:id="3546"/>
      <w:bookmarkEnd w:id="3547"/>
      <w:r>
        <w:rPr/>
        <w:t xml:space="preserve"> </w:t>
      </w:r>
      <w:r>
        <w:fldChar w:fldCharType="begin"/>
      </w:r>
      <w:r>
        <w:instrText>ADDIN ZOTERO_ITEM CSL_CITATION {"citationID":"a2o0qr9985j","properties":{"formattedCitation":"(Bonissone y Decker 1986)","plainCitation":"(Bonissone y Decker 1986)","noteIndex":0},"citationItems":[{"id":2769,"uris":["http://zotero.org/users/local/EJ15hJE2/items/DECVJ39Z"],"uri":["http://zotero.org/users/local/EJ15hJE2/items/DECVJ39Z"],"itemData":{"id":2769,"type":"chapter","container-title":"Machine intelligence and pattern recognition","page":"217–247","publisher":"Elsevier","title":"Selecting uncertainty calculi and granularity: An experiment in trading-off precision and complexity","volume":"4","author":[{"family":"Bonissone","given":"Piero P"},{"family":"Decker","given":"Keith S"}],"issued":{"date-parts":[["1986"]]}}}],"schema":"https://github.com/citation-style-language/schema/raw/master/csl-citation.json"}</w:instrText>
      </w:r>
      <w:r>
        <w:fldChar w:fldCharType="separate"/>
      </w:r>
      <w:bookmarkStart w:id="3548" w:name="__Fieldmark__19132_2067855929"/>
      <w:r>
        <w:rPr/>
      </w:r>
      <w:r>
        <w:rPr>
          <w:szCs w:val="24"/>
        </w:rPr>
        <w:t>(</w:t>
      </w:r>
      <w:bookmarkStart w:id="3549" w:name="__Fieldmark__17494_498839314"/>
      <w:r>
        <w:rPr>
          <w:szCs w:val="24"/>
        </w:rPr>
        <w:t>B</w:t>
      </w:r>
      <w:bookmarkStart w:id="3550" w:name="__Fieldmark__16398_998588997"/>
      <w:r>
        <w:rPr>
          <w:szCs w:val="24"/>
        </w:rPr>
        <w:t>o</w:t>
      </w:r>
      <w:bookmarkStart w:id="3551" w:name="__Fieldmark__20952_118561941"/>
      <w:r>
        <w:rPr>
          <w:szCs w:val="24"/>
        </w:rPr>
        <w:t>nissone y Decker 1986)</w:t>
      </w:r>
      <w:r>
        <w:rPr/>
      </w:r>
      <w:r>
        <w:fldChar w:fldCharType="end"/>
      </w:r>
      <w:bookmarkEnd w:id="3548"/>
      <w:bookmarkEnd w:id="3549"/>
      <w:bookmarkEnd w:id="3550"/>
      <w:bookmarkEnd w:id="3551"/>
      <w:r>
        <w:rPr/>
        <w:t>.</w:t>
      </w:r>
    </w:p>
    <w:p>
      <w:pPr>
        <w:pStyle w:val="ListParagraph"/>
        <w:numPr>
          <w:ilvl w:val="1"/>
          <w:numId w:val="70"/>
        </w:numPr>
        <w:ind w:left="1418" w:hanging="360"/>
        <w:rPr/>
      </w:pPr>
      <w:bookmarkStart w:id="3552" w:name="_Hlk78996316"/>
      <w:bookmarkEnd w:id="3552"/>
      <w:r>
        <w:rPr>
          <w:lang w:val="es-ES"/>
        </w:rPr>
        <w:t>Se analizan los resultados considerando las preferencias agregadas de los expertos y su concordancia en la evaluación.</w:t>
      </w:r>
    </w:p>
    <w:p>
      <w:pPr>
        <w:pStyle w:val="Heading3"/>
        <w:numPr>
          <w:ilvl w:val="2"/>
          <w:numId w:val="80"/>
        </w:numPr>
        <w:rPr/>
      </w:pPr>
      <w:r>
        <w:rPr/>
        <w:t xml:space="preserve">Caso de estudio en entorno clínico: </w:t>
      </w:r>
      <w:bookmarkStart w:id="3553" w:name="_Hlk76651013"/>
      <w:r>
        <w:rPr/>
        <w:t>embarazadas cardiópatas</w:t>
      </w:r>
      <w:bookmarkEnd w:id="3553"/>
      <w:r>
        <w:rPr/>
        <w:t>.</w:t>
      </w:r>
    </w:p>
    <w:p>
      <w:pPr>
        <w:pStyle w:val="Normal"/>
        <w:rPr>
          <w:lang w:val="en-US"/>
        </w:rPr>
      </w:pPr>
      <w:r>
        <mc:AlternateContent>
          <mc:Choice Requires="wps">
            <w:drawing>
              <wp:anchor behindDoc="0" distT="0" distB="0" distL="114300" distR="114300" simplePos="0" locked="0" layoutInCell="1" allowOverlap="1" relativeHeight="12" wp14:anchorId="38C88643">
                <wp:simplePos x="0" y="0"/>
                <wp:positionH relativeFrom="column">
                  <wp:posOffset>3594100</wp:posOffset>
                </wp:positionH>
                <wp:positionV relativeFrom="paragraph">
                  <wp:posOffset>2505075</wp:posOffset>
                </wp:positionV>
                <wp:extent cx="2077085" cy="715010"/>
                <wp:effectExtent l="0" t="0" r="0" b="0"/>
                <wp:wrapSquare wrapText="bothSides"/>
                <wp:docPr id="114" name="Text Box 43"/>
                <a:graphic xmlns:a="http://schemas.openxmlformats.org/drawingml/2006/main">
                  <a:graphicData uri="http://schemas.microsoft.com/office/word/2010/wordprocessingShape">
                    <wps:wsp>
                      <wps:cNvSpPr/>
                      <wps:spPr>
                        <a:xfrm>
                          <a:off x="0" y="0"/>
                          <a:ext cx="2076480" cy="714240"/>
                        </a:xfrm>
                        <a:prstGeom prst="rect">
                          <a:avLst/>
                        </a:prstGeom>
                        <a:solidFill>
                          <a:srgbClr val="ffffff"/>
                        </a:solidFill>
                        <a:ln>
                          <a:noFill/>
                        </a:ln>
                      </wps:spPr>
                      <wps:style>
                        <a:lnRef idx="0"/>
                        <a:fillRef idx="0"/>
                        <a:effectRef idx="0"/>
                        <a:fontRef idx="minor"/>
                      </wps:style>
                      <wps:txbx>
                        <w:txbxContent>
                          <w:p>
                            <w:pPr>
                              <w:pStyle w:val="Caption1"/>
                              <w:overflowPunct w:val="true"/>
                              <w:spacing w:before="0" w:after="60"/>
                              <w:ind w:left="170" w:hanging="170"/>
                              <w:jc w:val="center"/>
                              <w:textAlignment w:val="auto"/>
                              <w:rPr/>
                            </w:pPr>
                            <w:bookmarkStart w:id="3554" w:name="_Toc84599027"/>
                            <w:bookmarkStart w:id="3555" w:name="_Ref77754202"/>
                            <w:r>
                              <w:rPr>
                                <w:color w:val="00000A"/>
                              </w:rPr>
                              <w:t xml:space="preserve">Figura </w:t>
                            </w:r>
                            <w:r>
                              <w:rPr>
                                <w:color w:val="00000A"/>
                              </w:rPr>
                              <w:fldChar w:fldCharType="begin"/>
                            </w:r>
                            <w:r>
                              <w:instrText> SEQ Figura \* ARABIC </w:instrText>
                            </w:r>
                            <w:r>
                              <w:fldChar w:fldCharType="separate"/>
                            </w:r>
                            <w:r>
                              <w:t>20</w:t>
                            </w:r>
                            <w:r>
                              <w:fldChar w:fldCharType="end"/>
                            </w:r>
                            <w:bookmarkEnd w:id="3554"/>
                            <w:bookmarkEnd w:id="3555"/>
                            <w:r>
                              <w:rPr>
                                <w:color w:val="00000A"/>
                              </w:rPr>
                              <w:t>: Complementariedad de los algoritmos en el caso de estudio sobre embarazadas cardiópatas.</w:t>
                            </w:r>
                          </w:p>
                        </w:txbxContent>
                      </wps:txbx>
                      <wps:bodyPr lIns="0" rIns="0" tIns="0" bIns="0">
                        <a:prstTxWarp prst="textNoShape"/>
                        <a:spAutoFit/>
                      </wps:bodyPr>
                    </wps:wsp>
                  </a:graphicData>
                </a:graphic>
              </wp:anchor>
            </w:drawing>
          </mc:Choice>
          <mc:Fallback>
            <w:pict>
              <v:rect id="shape_0" ID="Text Box 43" fillcolor="white" stroked="f" style="position:absolute;margin-left:283pt;margin-top:197.25pt;width:163.45pt;height:56.2pt" wp14:anchorId="38C88643">
                <w10:wrap type="square"/>
                <v:fill o:detectmouseclick="t" type="solid" color2="black"/>
                <v:stroke color="#3465a4" joinstyle="round" endcap="flat"/>
                <v:textbox>
                  <w:txbxContent>
                    <w:p>
                      <w:pPr>
                        <w:pStyle w:val="Caption1"/>
                        <w:overflowPunct w:val="true"/>
                        <w:spacing w:before="0" w:after="60"/>
                        <w:ind w:left="170" w:hanging="170"/>
                        <w:jc w:val="center"/>
                        <w:textAlignment w:val="auto"/>
                        <w:rPr/>
                      </w:pPr>
                      <w:bookmarkStart w:id="3556" w:name="_Toc84599027"/>
                      <w:bookmarkStart w:id="3557" w:name="_Ref77754202"/>
                      <w:r>
                        <w:rPr>
                          <w:color w:val="00000A"/>
                        </w:rPr>
                        <w:t xml:space="preserve">Figura </w:t>
                      </w:r>
                      <w:r>
                        <w:rPr>
                          <w:color w:val="00000A"/>
                        </w:rPr>
                        <w:fldChar w:fldCharType="begin"/>
                      </w:r>
                      <w:r>
                        <w:instrText> SEQ Figura \* ARABIC </w:instrText>
                      </w:r>
                      <w:r>
                        <w:fldChar w:fldCharType="separate"/>
                      </w:r>
                      <w:r>
                        <w:t>20</w:t>
                      </w:r>
                      <w:r>
                        <w:fldChar w:fldCharType="end"/>
                      </w:r>
                      <w:bookmarkEnd w:id="3556"/>
                      <w:bookmarkEnd w:id="3557"/>
                      <w:r>
                        <w:rPr>
                          <w:color w:val="00000A"/>
                        </w:rPr>
                        <w:t>: Complementariedad de los algoritmos en el caso de estudio sobre embarazadas cardiópatas.</w:t>
                      </w:r>
                    </w:p>
                  </w:txbxContent>
                </v:textbox>
              </v:rect>
            </w:pict>
          </mc:Fallback>
        </mc:AlternateContent>
        <w:drawing>
          <wp:anchor behindDoc="0" distT="0" distB="0" distL="114300" distR="116205" simplePos="0" locked="0" layoutInCell="1" allowOverlap="1" relativeHeight="15">
            <wp:simplePos x="0" y="0"/>
            <wp:positionH relativeFrom="column">
              <wp:posOffset>3586480</wp:posOffset>
            </wp:positionH>
            <wp:positionV relativeFrom="paragraph">
              <wp:posOffset>592455</wp:posOffset>
            </wp:positionV>
            <wp:extent cx="2074545" cy="1736090"/>
            <wp:effectExtent l="0" t="0" r="0" b="0"/>
            <wp:wrapSquare wrapText="bothSides"/>
            <wp:docPr id="116" name="Pictur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41" descr=""/>
                    <pic:cNvPicPr>
                      <a:picLocks noChangeAspect="1" noChangeArrowheads="1"/>
                    </pic:cNvPicPr>
                  </pic:nvPicPr>
                  <pic:blipFill>
                    <a:blip r:embed="rId25"/>
                    <a:stretch>
                      <a:fillRect/>
                    </a:stretch>
                  </pic:blipFill>
                  <pic:spPr bwMode="auto">
                    <a:xfrm>
                      <a:off x="0" y="0"/>
                      <a:ext cx="2074545" cy="1736090"/>
                    </a:xfrm>
                    <a:prstGeom prst="rect">
                      <a:avLst/>
                    </a:prstGeom>
                  </pic:spPr>
                </pic:pic>
              </a:graphicData>
            </a:graphic>
          </wp:anchor>
        </w:drawing>
      </w:r>
      <w:r>
        <w:rPr/>
        <w:t xml:space="preserve">Se muestra a continuación la aplicación de los algoritmos propuestos en el diagnóstico y tratamiento de embarazadas cardiópatas. Se escoge este caso de estudio porque se dispone de datos del </w:t>
      </w:r>
      <w:r>
        <w:rPr>
          <w:lang w:val="en-US"/>
        </w:rPr>
        <w:t xml:space="preserve">programa nacional de tratamientos para </w:t>
      </w:r>
      <w:r>
        <w:rPr/>
        <w:t xml:space="preserve">embarazadas cardiópatas, provistos por el Hospital Docente Ginecobstétrico “Ramón González Coro” y el </w:t>
      </w:r>
      <w:r>
        <w:rPr>
          <w:lang w:val="en-US"/>
        </w:rPr>
        <w:t xml:space="preserve">Instituto de Cardiología y Cirugía Cardiovascular en La Habana, y porque también se cuenta con la voluntad de los especialistas de estos centros para colaborar con esta investigación. Se trabajó con las bases de datos </w:t>
      </w:r>
      <w:r>
        <w:rPr>
          <w:i/>
          <w:iCs/>
          <w:lang w:val="en-US"/>
        </w:rPr>
        <w:t xml:space="preserve">BD_med_congenito </w:t>
      </w:r>
      <w:r>
        <w:rPr>
          <w:lang w:val="en-US"/>
        </w:rPr>
        <w:t xml:space="preserve">y </w:t>
      </w:r>
      <w:r>
        <w:rPr>
          <w:i/>
          <w:iCs/>
          <w:lang w:val="en-US"/>
        </w:rPr>
        <w:t>BD_med_valvular</w:t>
      </w:r>
      <w:r>
        <w:rPr>
          <w:lang w:val="en-US"/>
        </w:rPr>
        <w:t xml:space="preserve">, asociadas al diagnóstico y tratamiento de las embarazadas cardiópatas con enfermedades congénitas y enfermedades valvulares respectivamente. </w:t>
      </w:r>
    </w:p>
    <w:p>
      <w:pPr>
        <w:pStyle w:val="Normal"/>
        <w:rPr/>
      </w:pPr>
      <w:r>
        <w:rPr>
          <w:lang w:val="en-US"/>
        </w:rPr>
        <w:t xml:space="preserve">Al aplicar el paso 1 del </w:t>
      </w:r>
      <w:r>
        <w:rPr>
          <w:lang w:val="en-US"/>
        </w:rPr>
        <w:fldChar w:fldCharType="begin"/>
      </w:r>
      <w:r>
        <w:instrText> REF _Ref77745107 \h </w:instrText>
      </w:r>
      <w:r>
        <w:fldChar w:fldCharType="separate"/>
      </w:r>
      <w:r>
        <w:t xml:space="preserve">Procedimiento </w:t>
      </w:r>
      <w:r>
        <w:fldChar w:fldCharType="end"/>
      </w:r>
      <w:r>
        <w:rPr>
          <w:lang w:val="en-US"/>
        </w:rPr>
        <w:t xml:space="preserve">, se evidencia </w:t>
      </w:r>
      <w:r>
        <w:rPr/>
        <w:t xml:space="preserve">la complementariedad de los algoritmos en el caso de estudio respecto a la coincidencia y exclusividad de los resúmenes lingüísticos obtenidos por los algoritmos combinados en el </w:t>
      </w:r>
      <w:r>
        <w:rPr>
          <w:i/>
          <w:iCs/>
        </w:rPr>
        <w:t>Hybrid_LDS</w:t>
      </w:r>
      <w:r>
        <w:rPr/>
        <w:t xml:space="preserve"> en la base de datos </w:t>
      </w:r>
      <w:r>
        <w:rPr>
          <w:i/>
          <w:iCs/>
          <w:lang w:val="en-US"/>
        </w:rPr>
        <w:t>BD_med_congenito</w:t>
      </w:r>
      <w:r>
        <w:rPr/>
        <w:t xml:space="preserve">, ver </w:t>
      </w:r>
      <w:r>
        <w:rPr/>
        <w:fldChar w:fldCharType="begin"/>
      </w:r>
      <w:r>
        <w:instrText> REF _Ref77754202 \h </w:instrText>
      </w:r>
      <w:r>
        <w:fldChar w:fldCharType="separate"/>
      </w:r>
      <w:r>
        <w:t>Figura 20</w:t>
      </w:r>
      <w:r>
        <w:fldChar w:fldCharType="end"/>
      </w:r>
      <w:r>
        <w:rPr>
          <w:lang w:val="en-US"/>
        </w:rPr>
        <w:t>.</w:t>
      </w:r>
      <w:r>
        <w:rPr/>
        <w:t xml:space="preserve"> </w:t>
      </w:r>
      <w:bookmarkStart w:id="3558" w:name="_Hlk77755022"/>
      <w:r>
        <w:rPr/>
        <w:t>A continuación, s</w:t>
      </w:r>
      <w:r>
        <w:rPr>
          <w:lang w:val="en-US"/>
        </w:rPr>
        <w:t xml:space="preserve">e muestra un </w:t>
      </w:r>
      <w:bookmarkStart w:id="3559" w:name="_Hlk77755029"/>
      <w:bookmarkEnd w:id="3558"/>
      <w:r>
        <w:rPr>
          <w:lang w:val="en-US"/>
        </w:rPr>
        <w:t xml:space="preserve">subconjunto de resúmenes obtenidos luego de aplicar el </w:t>
      </w:r>
      <w:bookmarkStart w:id="3560" w:name="_Hlk78872778"/>
      <w:r>
        <w:rPr>
          <w:i/>
          <w:iCs/>
        </w:rPr>
        <w:t>Hybrid_LDS</w:t>
      </w:r>
      <w:r>
        <w:rPr>
          <w:lang w:val="en-US"/>
        </w:rPr>
        <w:t xml:space="preserve"> </w:t>
      </w:r>
      <w:bookmarkEnd w:id="3560"/>
      <w:r>
        <w:rPr>
          <w:lang w:val="en-US"/>
        </w:rPr>
        <w:t>en estas bases de datos</w:t>
      </w:r>
      <w:bookmarkEnd w:id="3559"/>
      <w:r>
        <w:rPr>
          <w:lang w:val="en-US"/>
        </w:rPr>
        <w:t>.</w:t>
      </w:r>
    </w:p>
    <w:p>
      <w:pPr>
        <w:pStyle w:val="Normal"/>
        <w:rPr>
          <w:lang w:val="en-US"/>
        </w:rPr>
      </w:pPr>
      <w:bookmarkStart w:id="3561" w:name="_Hlk77836383"/>
      <w:bookmarkEnd w:id="3561"/>
      <w:r>
        <w:rPr>
          <w:lang w:val="en-US"/>
        </w:rPr>
        <w:t>Subconjunto de resúmenes sobre embarazadas cardiópatas con enfermedades congénitas:</w:t>
      </w:r>
    </w:p>
    <w:p>
      <w:pPr>
        <w:pStyle w:val="ListParagraph"/>
        <w:numPr>
          <w:ilvl w:val="0"/>
          <w:numId w:val="62"/>
        </w:numPr>
        <w:rPr>
          <w:lang w:val="en-US"/>
        </w:rPr>
      </w:pPr>
      <w:r>
        <w:rPr>
          <w:lang w:val="en-US"/>
        </w:rPr>
        <w:t>Muy pocos registros en la base de datos, reportan que en el 100.0% de las veces, las embarazadas cardiópatas que tienen como tratamiento aplicar cierre percutáneo tienen como tratamiento no aplicar cuartoplastia.</w:t>
      </w:r>
    </w:p>
    <w:p>
      <w:pPr>
        <w:pStyle w:val="ListParagraph"/>
        <w:numPr>
          <w:ilvl w:val="0"/>
          <w:numId w:val="62"/>
        </w:numPr>
        <w:rPr>
          <w:lang w:val="en-US"/>
        </w:rPr>
      </w:pPr>
      <w:r>
        <w:rPr>
          <w:lang w:val="en-US"/>
        </w:rPr>
        <w:t>La mayoría de los registros en la base de datos, reportan que en el 96.0% de las veces, las embarazadas cardiópatas que tienen ausencia de fracción de eyección del ventrículo izquierdo (FEVI) tienen ausencia de soplo sistólico tricúspide.</w:t>
      </w:r>
    </w:p>
    <w:p>
      <w:pPr>
        <w:pStyle w:val="ListParagraph"/>
        <w:numPr>
          <w:ilvl w:val="0"/>
          <w:numId w:val="62"/>
        </w:numPr>
        <w:rPr>
          <w:lang w:val="en-US"/>
        </w:rPr>
      </w:pPr>
      <w:r>
        <w:rPr>
          <w:lang w:val="en-US"/>
        </w:rPr>
        <w:t>Casi la totalidad de los registros en la base de datos, reportan que en el 96.0% de las veces, las embarazadas cardiópatas que tienen ausencia de cianosis y ausencia de soplo sistólico aórtico tienen ausencia de soplo sistólico tricúspide.</w:t>
      </w:r>
    </w:p>
    <w:p>
      <w:pPr>
        <w:pStyle w:val="Normal"/>
        <w:rPr>
          <w:lang w:val="en-US"/>
        </w:rPr>
      </w:pPr>
      <w:r>
        <w:rPr>
          <w:lang w:val="en-US"/>
        </w:rPr>
        <w:t>Subconjunto de resúmenes sobre embarazadas cardiópatas con enfermedades valvulares:</w:t>
      </w:r>
    </w:p>
    <w:p>
      <w:pPr>
        <w:pStyle w:val="ListParagraph"/>
        <w:numPr>
          <w:ilvl w:val="0"/>
          <w:numId w:val="62"/>
        </w:numPr>
        <w:rPr>
          <w:lang w:val="en-US"/>
        </w:rPr>
      </w:pPr>
      <w:r>
        <w:rPr>
          <w:lang w:val="en-US"/>
        </w:rPr>
        <w:t xml:space="preserve">Algunos registros en la base de datos, reportan que en el 100.0% de las veces, las embarazadas cardiópatas que tienen presencia de primer ruido cardíaco fuerte tienen como tratamiento no aplicar heparina. </w:t>
      </w:r>
    </w:p>
    <w:p>
      <w:pPr>
        <w:pStyle w:val="ListParagraph"/>
        <w:numPr>
          <w:ilvl w:val="0"/>
          <w:numId w:val="62"/>
        </w:numPr>
        <w:rPr>
          <w:lang w:val="en-US"/>
        </w:rPr>
      </w:pPr>
      <w:r>
        <w:rPr>
          <w:lang w:val="en-US"/>
        </w:rPr>
        <w:t>Casi la totalidad de los registros en la base de datos, reportan que en el 100.0% de las veces, las embarazadas cardiópatas que tienen presencia de soplo sistólico aórtico y ausencia de soplo diastólico aórtico tienen como pronóstico parto vaginal.</w:t>
      </w:r>
    </w:p>
    <w:p>
      <w:pPr>
        <w:pStyle w:val="ListParagraph"/>
        <w:numPr>
          <w:ilvl w:val="0"/>
          <w:numId w:val="62"/>
        </w:numPr>
        <w:rPr>
          <w:lang w:val="en-US"/>
        </w:rPr>
      </w:pPr>
      <w:r>
        <w:rPr>
          <w:lang w:val="en-US"/>
        </w:rPr>
        <w:t>Muy pocos registros en la base de datos, reportan que en el 92.0% de las veces, las embarazadas cardiópatas que tienen prolapso valvular mitral como diagnóstico tienen como pronóstico parto vaginal.</w:t>
      </w:r>
    </w:p>
    <w:p>
      <w:pPr>
        <w:pStyle w:val="ListParagraph"/>
        <w:numPr>
          <w:ilvl w:val="0"/>
          <w:numId w:val="62"/>
        </w:numPr>
        <w:rPr>
          <w:lang w:val="en-US"/>
        </w:rPr>
      </w:pPr>
      <w:r>
        <w:rPr>
          <w:lang w:val="en-US"/>
        </w:rPr>
        <w:t>Muy pocos registros en la base de datos, reportan que en el 100.0% de las veces, las embarazadas cardiópatas que tienen doble lesión aórtica como diagnóstico tienen como tratamiento no aplicar heparina.</w:t>
      </w:r>
    </w:p>
    <w:p>
      <w:pPr>
        <w:pStyle w:val="Normal"/>
        <w:rPr/>
      </w:pPr>
      <w:r>
        <w:rPr/>
        <w:drawing>
          <wp:inline distT="0" distB="0" distL="0" distR="0">
            <wp:extent cx="3131820" cy="1939925"/>
            <wp:effectExtent l="0" t="0" r="0" b="0"/>
            <wp:docPr id="11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t xml:space="preserve">En la aplicación del método de análisis </w:t>
      </w:r>
      <w:bookmarkStart w:id="3562" w:name="_Hlk78871960"/>
      <w:r>
        <w:rPr/>
        <w:t xml:space="preserve">multicriterio </w:t>
      </w:r>
      <w:bookmarkEnd w:id="3562"/>
      <w:r>
        <w:rPr/>
        <w:t xml:space="preserve">(ver </w:t>
      </w:r>
      <w:r>
        <w:rPr/>
        <w:fldChar w:fldCharType="begin"/>
      </w:r>
      <w:r>
        <w:instrText> REF _Ref77745107 \h </w:instrText>
      </w:r>
      <w:r>
        <w:fldChar w:fldCharType="separate"/>
      </w:r>
      <w:r>
        <w:t xml:space="preserve">Procedimiento </w:t>
      </w:r>
      <w:r>
        <w:fldChar w:fldCharType="end"/>
      </w:r>
      <w:r>
        <w:rPr/>
        <w:t xml:space="preserve">), participaron 4 </w:t>
      </w:r>
      <w:bookmarkStart w:id="3563" w:name="_Hlk78871970"/>
      <w:r>
        <w:rPr/>
        <w:t xml:space="preserve">especialistas </w:t>
      </w:r>
      <w:bookmarkEnd w:id="3563"/>
      <w:r>
        <w:rPr/>
        <w:t xml:space="preserve">en el tratamiento de embarazadas cardiópatas, ver </w:t>
      </w:r>
      <w:r>
        <w:rPr/>
        <w:fldChar w:fldCharType="begin"/>
      </w:r>
      <w:r>
        <w:instrText> REF _Ref75873631 \h </w:instrText>
      </w:r>
      <w:r>
        <w:fldChar w:fldCharType="separate"/>
      </w:r>
      <w:r>
        <w:t>Anexo 11</w:t>
      </w:r>
      <w:r>
        <w:fldChar w:fldCharType="end"/>
      </w:r>
      <w:r>
        <w:rPr/>
        <w:t xml:space="preserve"> </w:t>
      </w:r>
      <w:r>
        <w:rPr/>
        <w:fldChar w:fldCharType="begin"/>
      </w:r>
      <w:r>
        <w:instrText> REF _Ref75873658 \h </w:instrText>
      </w:r>
      <w:r>
        <w:fldChar w:fldCharType="separate"/>
      </w:r>
      <w:r>
        <w:t>Tabla 26</w:t>
      </w:r>
      <w:r>
        <w:fldChar w:fldCharType="end"/>
      </w:r>
      <w:r>
        <w:rPr/>
        <w:t xml:space="preserve">. Estos especialistas completaron el formulario de evaluación recogido en la </w:t>
      </w:r>
      <w:r>
        <w:rPr/>
        <w:fldChar w:fldCharType="begin"/>
      </w:r>
      <w:r>
        <w:instrText> REF _Ref76044015 \h </w:instrText>
      </w:r>
      <w:r>
        <w:fldChar w:fldCharType="separate"/>
      </w:r>
      <w:r>
        <w:t>Tabla 28</w:t>
      </w:r>
      <w:r>
        <w:fldChar w:fldCharType="end"/>
      </w:r>
      <w:r>
        <w:rPr/>
        <w:t xml:space="preserve"> del </w:t>
      </w:r>
      <w:r>
        <w:rPr/>
        <w:fldChar w:fldCharType="begin"/>
      </w:r>
      <w:r>
        <w:instrText> REF _Ref76044028 \h </w:instrText>
      </w:r>
      <w:r>
        <w:fldChar w:fldCharType="separate"/>
      </w:r>
      <w:r>
        <w:t>Anexo 12</w:t>
      </w:r>
      <w:r>
        <w:fldChar w:fldCharType="end"/>
      </w:r>
      <w:r>
        <w:rPr/>
        <w:t xml:space="preserve"> donde evalúan los resúmenes respecto a 10 criterios. Los criterios C3 y C6 están orientados a medir el indicador “interpretabilidad de resúmenes” mientras que el resto de los criterios están orientados a evaluar la “facilidad para la toma de decisiones”. </w:t>
      </w:r>
    </w:p>
    <w:p>
      <w:pPr>
        <w:pStyle w:val="Normal"/>
        <w:rPr/>
      </w:pPr>
      <w:r>
        <mc:AlternateContent>
          <mc:Choice Requires="wps">
            <w:drawing>
              <wp:anchor behindDoc="1" distT="0" distB="0" distL="114300" distR="112395" simplePos="0" locked="0" layoutInCell="1" allowOverlap="1" relativeHeight="13" wp14:anchorId="29408561">
                <wp:simplePos x="0" y="0"/>
                <wp:positionH relativeFrom="column">
                  <wp:posOffset>2958465</wp:posOffset>
                </wp:positionH>
                <wp:positionV relativeFrom="paragraph">
                  <wp:posOffset>530225</wp:posOffset>
                </wp:positionV>
                <wp:extent cx="2736215" cy="525145"/>
                <wp:effectExtent l="0" t="0" r="9525" b="1905"/>
                <wp:wrapTight wrapText="bothSides">
                  <wp:wrapPolygon edited="0">
                    <wp:start x="0" y="0"/>
                    <wp:lineTo x="0" y="20991"/>
                    <wp:lineTo x="21525" y="20991"/>
                    <wp:lineTo x="21525" y="0"/>
                    <wp:lineTo x="0" y="0"/>
                  </wp:wrapPolygon>
                </wp:wrapTight>
                <wp:docPr id="118" name="Text Box 35"/>
                <a:graphic xmlns:a="http://schemas.openxmlformats.org/drawingml/2006/main">
                  <a:graphicData uri="http://schemas.microsoft.com/office/word/2010/wordprocessingShape">
                    <wps:wsp>
                      <wps:cNvSpPr/>
                      <wps:spPr>
                        <a:xfrm>
                          <a:off x="0" y="0"/>
                          <a:ext cx="2735640" cy="524520"/>
                        </a:xfrm>
                        <a:prstGeom prst="rect">
                          <a:avLst/>
                        </a:prstGeom>
                        <a:solidFill>
                          <a:srgbClr val="ffffff"/>
                        </a:solidFill>
                        <a:ln>
                          <a:noFill/>
                        </a:ln>
                      </wps:spPr>
                      <wps:style>
                        <a:lnRef idx="0"/>
                        <a:fillRef idx="0"/>
                        <a:effectRef idx="0"/>
                        <a:fontRef idx="minor"/>
                      </wps:style>
                      <wps:txbx>
                        <w:txbxContent>
                          <w:p>
                            <w:pPr>
                              <w:pStyle w:val="Caption1"/>
                              <w:overflowPunct w:val="true"/>
                              <w:spacing w:before="0" w:after="60"/>
                              <w:ind w:left="170" w:hanging="170"/>
                              <w:jc w:val="center"/>
                              <w:textAlignment w:val="auto"/>
                              <w:rPr/>
                            </w:pPr>
                            <w:bookmarkStart w:id="3564" w:name="_Toc84599028"/>
                            <w:bookmarkStart w:id="3565" w:name="_Ref77746944"/>
                            <w:r>
                              <w:rPr>
                                <w:color w:val="00000A"/>
                              </w:rPr>
                              <w:t xml:space="preserve">Figura </w:t>
                            </w:r>
                            <w:r>
                              <w:rPr>
                                <w:color w:val="00000A"/>
                              </w:rPr>
                              <w:fldChar w:fldCharType="begin"/>
                            </w:r>
                            <w:r>
                              <w:instrText> SEQ Figura \* ARABIC </w:instrText>
                            </w:r>
                            <w:r>
                              <w:fldChar w:fldCharType="separate"/>
                            </w:r>
                            <w:r>
                              <w:t>21</w:t>
                            </w:r>
                            <w:r>
                              <w:fldChar w:fldCharType="end"/>
                            </w:r>
                            <w:bookmarkEnd w:id="3564"/>
                            <w:bookmarkEnd w:id="3565"/>
                            <w:r>
                              <w:rPr>
                                <w:color w:val="00000A"/>
                              </w:rPr>
                              <w:t>: Resultados de la agregación de las preferencias de los especialistas médicos sobre embarazadas cardiópatas.</w:t>
                            </w:r>
                          </w:p>
                        </w:txbxContent>
                      </wps:txbx>
                      <wps:bodyPr lIns="0" rIns="0" tIns="0" bIns="0">
                        <a:prstTxWarp prst="textNoShape"/>
                        <a:spAutoFit/>
                      </wps:bodyPr>
                    </wps:wsp>
                  </a:graphicData>
                </a:graphic>
              </wp:anchor>
            </w:drawing>
          </mc:Choice>
          <mc:Fallback>
            <w:pict>
              <v:rect id="shape_0" ID="Text Box 35" fillcolor="white" stroked="f" style="position:absolute;margin-left:232.95pt;margin-top:41.75pt;width:215.35pt;height:41.25pt" wp14:anchorId="29408561">
                <w10:wrap type="square"/>
                <v:fill o:detectmouseclick="t" type="solid" color2="black"/>
                <v:stroke color="#3465a4" joinstyle="round" endcap="flat"/>
                <v:textbox>
                  <w:txbxContent>
                    <w:p>
                      <w:pPr>
                        <w:pStyle w:val="Caption1"/>
                        <w:overflowPunct w:val="true"/>
                        <w:spacing w:before="0" w:after="60"/>
                        <w:ind w:left="170" w:hanging="170"/>
                        <w:jc w:val="center"/>
                        <w:textAlignment w:val="auto"/>
                        <w:rPr/>
                      </w:pPr>
                      <w:bookmarkStart w:id="3566" w:name="_Toc84599028"/>
                      <w:bookmarkStart w:id="3567" w:name="_Ref77746944"/>
                      <w:r>
                        <w:rPr>
                          <w:color w:val="00000A"/>
                        </w:rPr>
                        <w:t xml:space="preserve">Figura </w:t>
                      </w:r>
                      <w:r>
                        <w:rPr>
                          <w:color w:val="00000A"/>
                        </w:rPr>
                        <w:fldChar w:fldCharType="begin"/>
                      </w:r>
                      <w:r>
                        <w:instrText> SEQ Figura \* ARABIC </w:instrText>
                      </w:r>
                      <w:r>
                        <w:fldChar w:fldCharType="separate"/>
                      </w:r>
                      <w:r>
                        <w:t>21</w:t>
                      </w:r>
                      <w:r>
                        <w:fldChar w:fldCharType="end"/>
                      </w:r>
                      <w:bookmarkEnd w:id="3566"/>
                      <w:bookmarkEnd w:id="3567"/>
                      <w:r>
                        <w:rPr>
                          <w:color w:val="00000A"/>
                        </w:rPr>
                        <w:t>: Resultados de la agregación de las preferencias de los especialistas médicos sobre embarazadas cardiópatas.</w:t>
                      </w:r>
                    </w:p>
                  </w:txbxContent>
                </v:textbox>
              </v:rect>
            </w:pict>
          </mc:Fallback>
        </mc:AlternateContent>
      </w:r>
      <w:r>
        <w:rPr/>
        <w:drawing>
          <wp:inline distT="0" distB="0" distL="0" distR="0">
            <wp:extent cx="2440305" cy="1939925"/>
            <wp:effectExtent l="0" t="0" r="0" b="0"/>
            <wp:docPr id="12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t xml:space="preserve">A partir del análisis se obtienen los resultados de la </w:t>
      </w:r>
      <w:r>
        <w:rPr/>
        <w:fldChar w:fldCharType="begin"/>
      </w:r>
      <w:r>
        <w:instrText> REF _Ref77746944 \h </w:instrText>
      </w:r>
      <w:r>
        <w:fldChar w:fldCharType="separate"/>
      </w:r>
      <w:r>
        <w:t>Figura 21</w:t>
      </w:r>
      <w:r>
        <w:fldChar w:fldCharType="end"/>
      </w:r>
      <w:r>
        <w:rPr/>
        <w:t xml:space="preserve">, donde se muestran las preferencias agregadas de los expertos y los resultados de la </w:t>
      </w:r>
      <w:r>
        <w:rPr/>
        <w:fldChar w:fldCharType="begin"/>
      </w:r>
      <w:r>
        <w:instrText> REF _Ref77747405 \h </w:instrText>
      </w:r>
      <w:r>
        <w:fldChar w:fldCharType="separate"/>
      </w:r>
      <w:r>
        <w:t>Figura 22</w:t>
      </w:r>
      <w:r>
        <w:fldChar w:fldCharType="end"/>
      </w:r>
      <w:r>
        <w:rPr/>
        <w:t>, que muestra la dispersión en las preferencias. En general se obtienen los siguientes resultados:</w:t>
      </w:r>
    </w:p>
    <w:p>
      <w:pPr>
        <w:pStyle w:val="ListParagraph"/>
        <w:numPr>
          <w:ilvl w:val="0"/>
          <w:numId w:val="63"/>
        </w:numPr>
        <w:ind w:left="426" w:hanging="360"/>
        <w:rPr/>
      </w:pPr>
      <w:r>
        <w:rPr>
          <w:lang w:val="es-ES"/>
        </w:rPr>
        <w:t xml:space="preserve">Respecto a la </w:t>
      </w:r>
      <w:r>
        <w:rPr/>
        <w:t>“interpretabilidad de</w:t>
      </w:r>
      <w:r>
        <w:rPr>
          <w:lang w:val="es-ES"/>
        </w:rPr>
        <w:t xml:space="preserve"> los</w:t>
      </w:r>
      <w:r>
        <w:rPr/>
        <w:t xml:space="preserve"> resúmenes</w:t>
      </w:r>
      <w:r>
        <w:rPr>
          <w:lang w:val="es-ES"/>
        </w:rPr>
        <w:t>” se obtuvo una alta evaluación con una baja dispersión en las opiniones.</w:t>
      </w:r>
    </w:p>
    <w:p>
      <w:pPr>
        <w:pStyle w:val="ListParagraph"/>
        <w:numPr>
          <w:ilvl w:val="0"/>
          <w:numId w:val="63"/>
        </w:numPr>
        <w:ind w:left="426" w:hanging="360"/>
        <w:rPr/>
      </w:pPr>
      <w:r>
        <mc:AlternateContent>
          <mc:Choice Requires="wps">
            <w:drawing>
              <wp:anchor behindDoc="0" distT="0" distB="0" distL="114300" distR="114300" simplePos="0" locked="0" layoutInCell="1" allowOverlap="1" relativeHeight="14" wp14:anchorId="4CFEF5C9">
                <wp:simplePos x="0" y="0"/>
                <wp:positionH relativeFrom="column">
                  <wp:posOffset>3173095</wp:posOffset>
                </wp:positionH>
                <wp:positionV relativeFrom="paragraph">
                  <wp:posOffset>685165</wp:posOffset>
                </wp:positionV>
                <wp:extent cx="2442845" cy="525145"/>
                <wp:effectExtent l="0" t="0" r="0" b="0"/>
                <wp:wrapSquare wrapText="bothSides"/>
                <wp:docPr id="121" name="Text Box 36"/>
                <a:graphic xmlns:a="http://schemas.openxmlformats.org/drawingml/2006/main">
                  <a:graphicData uri="http://schemas.microsoft.com/office/word/2010/wordprocessingShape">
                    <wps:wsp>
                      <wps:cNvSpPr/>
                      <wps:spPr>
                        <a:xfrm>
                          <a:off x="0" y="0"/>
                          <a:ext cx="2442240" cy="524520"/>
                        </a:xfrm>
                        <a:prstGeom prst="rect">
                          <a:avLst/>
                        </a:prstGeom>
                        <a:solidFill>
                          <a:srgbClr val="ffffff"/>
                        </a:solidFill>
                        <a:ln>
                          <a:noFill/>
                        </a:ln>
                      </wps:spPr>
                      <wps:style>
                        <a:lnRef idx="0"/>
                        <a:fillRef idx="0"/>
                        <a:effectRef idx="0"/>
                        <a:fontRef idx="minor"/>
                      </wps:style>
                      <wps:txbx>
                        <w:txbxContent>
                          <w:p>
                            <w:pPr>
                              <w:pStyle w:val="Caption1"/>
                              <w:overflowPunct w:val="true"/>
                              <w:spacing w:before="0" w:after="60"/>
                              <w:ind w:left="170" w:hanging="170"/>
                              <w:jc w:val="center"/>
                              <w:textAlignment w:val="auto"/>
                              <w:rPr/>
                            </w:pPr>
                            <w:bookmarkStart w:id="3568" w:name="_Toc84599029"/>
                            <w:bookmarkStart w:id="3569" w:name="_Ref77747405"/>
                            <w:r>
                              <w:rPr>
                                <w:color w:val="00000A"/>
                              </w:rPr>
                              <w:t xml:space="preserve">Figura </w:t>
                            </w:r>
                            <w:r>
                              <w:rPr>
                                <w:color w:val="00000A"/>
                              </w:rPr>
                              <w:fldChar w:fldCharType="begin"/>
                            </w:r>
                            <w:r>
                              <w:instrText> SEQ Figura \* ARABIC </w:instrText>
                            </w:r>
                            <w:r>
                              <w:fldChar w:fldCharType="separate"/>
                            </w:r>
                            <w:r>
                              <w:t>22</w:t>
                            </w:r>
                            <w:r>
                              <w:fldChar w:fldCharType="end"/>
                            </w:r>
                            <w:bookmarkEnd w:id="3568"/>
                            <w:bookmarkEnd w:id="3569"/>
                            <w:r>
                              <w:rPr>
                                <w:color w:val="00000A"/>
                              </w:rPr>
                              <w:t>: Dispersión de opiniones de especialistas por criterio, en el caso de estudio sobre embarazadas cardiópatas.</w:t>
                            </w:r>
                          </w:p>
                        </w:txbxContent>
                      </wps:txbx>
                      <wps:bodyPr lIns="0" rIns="0" tIns="0" bIns="0">
                        <a:prstTxWarp prst="textNoShape"/>
                        <a:spAutoFit/>
                      </wps:bodyPr>
                    </wps:wsp>
                  </a:graphicData>
                </a:graphic>
              </wp:anchor>
            </w:drawing>
          </mc:Choice>
          <mc:Fallback>
            <w:pict>
              <v:rect id="shape_0" ID="Text Box 36" fillcolor="white" stroked="f" style="position:absolute;margin-left:249.85pt;margin-top:53.95pt;width:192.25pt;height:41.25pt" wp14:anchorId="4CFEF5C9">
                <w10:wrap type="square"/>
                <v:fill o:detectmouseclick="t" type="solid" color2="black"/>
                <v:stroke color="#3465a4" joinstyle="round" endcap="flat"/>
                <v:textbox>
                  <w:txbxContent>
                    <w:p>
                      <w:pPr>
                        <w:pStyle w:val="Caption1"/>
                        <w:overflowPunct w:val="true"/>
                        <w:spacing w:before="0" w:after="60"/>
                        <w:ind w:left="170" w:hanging="170"/>
                        <w:jc w:val="center"/>
                        <w:textAlignment w:val="auto"/>
                        <w:rPr/>
                      </w:pPr>
                      <w:bookmarkStart w:id="3570" w:name="_Toc84599029"/>
                      <w:bookmarkStart w:id="3571" w:name="_Ref77747405"/>
                      <w:r>
                        <w:rPr>
                          <w:color w:val="00000A"/>
                        </w:rPr>
                        <w:t xml:space="preserve">Figura </w:t>
                      </w:r>
                      <w:r>
                        <w:rPr>
                          <w:color w:val="00000A"/>
                        </w:rPr>
                        <w:fldChar w:fldCharType="begin"/>
                      </w:r>
                      <w:r>
                        <w:instrText> SEQ Figura \* ARABIC </w:instrText>
                      </w:r>
                      <w:r>
                        <w:fldChar w:fldCharType="separate"/>
                      </w:r>
                      <w:r>
                        <w:t>22</w:t>
                      </w:r>
                      <w:r>
                        <w:fldChar w:fldCharType="end"/>
                      </w:r>
                      <w:bookmarkEnd w:id="3570"/>
                      <w:bookmarkEnd w:id="3571"/>
                      <w:r>
                        <w:rPr>
                          <w:color w:val="00000A"/>
                        </w:rPr>
                        <w:t>: Dispersión de opiniones de especialistas por criterio, en el caso de estudio sobre embarazadas cardiópatas.</w:t>
                      </w:r>
                    </w:p>
                  </w:txbxContent>
                </v:textbox>
              </v:rect>
            </w:pict>
          </mc:Fallback>
        </mc:AlternateContent>
      </w:r>
      <w:r>
        <w:rPr>
          <w:lang w:val="es-ES"/>
        </w:rPr>
        <w:t xml:space="preserve">Respecto a la </w:t>
      </w:r>
      <w:r>
        <w:rPr/>
        <w:t>“</w:t>
      </w:r>
      <w:bookmarkStart w:id="3572" w:name="_Hlk78872108"/>
      <w:r>
        <w:rPr>
          <w:lang w:val="es-ES"/>
        </w:rPr>
        <w:t>facilidad</w:t>
      </w:r>
      <w:r>
        <w:rPr/>
        <w:t xml:space="preserve"> para la toma de decisiones</w:t>
      </w:r>
      <w:bookmarkEnd w:id="3572"/>
      <w:r>
        <w:rPr>
          <w:lang w:val="es-ES"/>
        </w:rPr>
        <w:t xml:space="preserve">”, la mayoría de los criterios fueron evaluados con muy altos valores y a su vez presentan baja dispersión en las opiniones; excepto los criterios C4 y C7, que aunque fueron evaluados con altas calificaciones, presentan mayor dispersión respecto al resto, como se muestra en la </w:t>
      </w:r>
      <w:r>
        <w:rPr>
          <w:lang w:val="es-ES"/>
        </w:rPr>
        <w:fldChar w:fldCharType="begin"/>
      </w:r>
      <w:r>
        <w:instrText> REF _Ref77747405 \h </w:instrText>
      </w:r>
      <w:r>
        <w:fldChar w:fldCharType="separate"/>
      </w:r>
      <w:r>
        <w:t>Figura 22</w:t>
      </w:r>
      <w:r>
        <w:fldChar w:fldCharType="end"/>
      </w:r>
      <w:r>
        <w:rPr>
          <w:lang w:val="es-ES"/>
        </w:rPr>
        <w:t>.</w:t>
      </w:r>
    </w:p>
    <w:p>
      <w:pPr>
        <w:pStyle w:val="Normal"/>
        <w:rPr/>
      </w:pPr>
      <w:r>
        <w:rPr/>
        <w:t>Se demuestra que los resúmenes generados por los algoritmos propuestos son fácilmente interpretables por los expertos y útiles para la toma de decisiones.</w:t>
      </w:r>
    </w:p>
    <w:p>
      <w:pPr>
        <w:pStyle w:val="Normal"/>
        <w:rPr/>
      </w:pPr>
      <w:r>
        <w:rPr/>
        <w:t xml:space="preserve">También se aplicó el coeficiente de correlación </w:t>
      </w:r>
      <w:r>
        <w:rPr>
          <w:i/>
          <w:iCs/>
        </w:rPr>
        <w:t>R</w:t>
      </w:r>
      <w:r>
        <w:rPr>
          <w:i/>
          <w:iCs/>
          <w:vertAlign w:val="subscript"/>
        </w:rPr>
        <w:t>WG</w:t>
      </w:r>
      <w:r>
        <w:rPr/>
        <w:t xml:space="preserve"> </w:t>
      </w:r>
      <w:r>
        <w:fldChar w:fldCharType="begin"/>
      </w:r>
      <w:r>
        <w:instrText>ADDIN ZOTERO_ITEM CSL_CITATION {"citationID":"zuyKKQnF","properties":{"formattedCitation":"(Benavente Reche 2009)","plainCitation":"(Benavente Reche 2009)","noteIndex":0},"citationItems":[{"id":3436,"uris":["http://zotero.org/users/local/EJ15hJE2/items/36IC57NA"],"uri":["http://zotero.org/users/local/EJ15hJE2/items/36IC57NA"],"itemData":{"id":3436,"type":"thesis","genre":"PhD Thesis","publisher":"Facultad de Psicología, Universidad de Murcia","title":"Medidas de acuerdo y de sesgo entre jueces","author":[{"family":"Benavente Reche","given":"Ana Pilar"}],"issued":{"date-parts":[["2009"]]}}}],"schema":"https://github.com/citation-style-language/schema/raw/master/csl-citation.json"}</w:instrText>
      </w:r>
      <w:r>
        <w:fldChar w:fldCharType="separate"/>
      </w:r>
      <w:bookmarkStart w:id="3573" w:name="__Fieldmark__19318_2067855929"/>
      <w:r>
        <w:rPr/>
      </w:r>
      <w:r>
        <w:rPr>
          <w:szCs w:val="24"/>
        </w:rPr>
        <w:t>(</w:t>
      </w:r>
      <w:bookmarkStart w:id="3574" w:name="__Fieldmark__17659_498839314"/>
      <w:r>
        <w:rPr>
          <w:szCs w:val="24"/>
        </w:rPr>
        <w:t>B</w:t>
      </w:r>
      <w:bookmarkStart w:id="3575" w:name="__Fieldmark__16559_998588997"/>
      <w:r>
        <w:rPr>
          <w:szCs w:val="24"/>
        </w:rPr>
        <w:t>e</w:t>
      </w:r>
      <w:bookmarkStart w:id="3576" w:name="__Fieldmark__21219_118561941"/>
      <w:r>
        <w:rPr>
          <w:szCs w:val="24"/>
        </w:rPr>
        <w:t>navente Reche 2009)</w:t>
      </w:r>
      <w:r>
        <w:rPr/>
      </w:r>
      <w:r>
        <w:fldChar w:fldCharType="end"/>
      </w:r>
      <w:bookmarkEnd w:id="3573"/>
      <w:bookmarkEnd w:id="3574"/>
      <w:bookmarkEnd w:id="3575"/>
      <w:bookmarkEnd w:id="3576"/>
      <w:r>
        <w:rPr/>
        <w:t xml:space="preserve"> para el análisis de la concordancia entre los expertos, cuyo valor fue </w:t>
      </w:r>
      <w:r>
        <w:rPr>
          <w:i/>
          <w:iCs/>
        </w:rPr>
        <w:t>R</w:t>
      </w:r>
      <w:r>
        <w:rPr>
          <w:i/>
          <w:iCs/>
          <w:vertAlign w:val="subscript"/>
        </w:rPr>
        <w:t>WG</w:t>
      </w:r>
      <w:bookmarkStart w:id="3577" w:name="_Hlk77755133"/>
      <w:bookmarkStart w:id="3578" w:name="_Hlk78996356"/>
      <w:bookmarkEnd w:id="3577"/>
      <w:bookmarkEnd w:id="3578"/>
      <w:r>
        <w:rPr/>
        <w:t xml:space="preserve"> = 0.97, demostrando que existe concordancia entre ellos.</w:t>
      </w:r>
    </w:p>
    <w:p>
      <w:pPr>
        <w:pStyle w:val="Heading3"/>
        <w:numPr>
          <w:ilvl w:val="2"/>
          <w:numId w:val="80"/>
        </w:numPr>
        <w:rPr/>
      </w:pPr>
      <w:r>
        <w:rPr/>
        <w:t>Caso de estudio en entorno orientado a proyectos.</w:t>
      </w:r>
    </w:p>
    <w:p>
      <w:pPr>
        <w:pStyle w:val="Normal"/>
        <w:rPr>
          <w:rFonts w:eastAsia="MS Gothic"/>
          <w:b/>
          <w:b/>
          <w:bCs w:val="false"/>
          <w:vanish/>
          <w:szCs w:val="24"/>
        </w:rPr>
      </w:pPr>
      <w:bookmarkStart w:id="3583" w:name="_Toc476476172"/>
      <w:bookmarkEnd w:id="3583"/>
      <w:r>
        <mc:AlternateContent>
          <mc:Choice Requires="wps">
            <w:drawing>
              <wp:anchor behindDoc="0" distT="0" distB="0" distL="114300" distR="114300" simplePos="0" locked="0" layoutInCell="1" allowOverlap="1" relativeHeight="9" wp14:anchorId="1EC8370B">
                <wp:simplePos x="0" y="0"/>
                <wp:positionH relativeFrom="margin">
                  <wp:posOffset>3735070</wp:posOffset>
                </wp:positionH>
                <wp:positionV relativeFrom="paragraph">
                  <wp:posOffset>1680210</wp:posOffset>
                </wp:positionV>
                <wp:extent cx="1886585" cy="525145"/>
                <wp:effectExtent l="0" t="0" r="1905" b="1905"/>
                <wp:wrapSquare wrapText="bothSides"/>
                <wp:docPr id="123" name="Text Box 42"/>
                <a:graphic xmlns:a="http://schemas.openxmlformats.org/drawingml/2006/main">
                  <a:graphicData uri="http://schemas.microsoft.com/office/word/2010/wordprocessingShape">
                    <wps:wsp>
                      <wps:cNvSpPr/>
                      <wps:spPr>
                        <a:xfrm>
                          <a:off x="0" y="0"/>
                          <a:ext cx="1886040" cy="524520"/>
                        </a:xfrm>
                        <a:prstGeom prst="rect">
                          <a:avLst/>
                        </a:prstGeom>
                        <a:solidFill>
                          <a:srgbClr val="ffffff"/>
                        </a:solidFill>
                        <a:ln>
                          <a:noFill/>
                        </a:ln>
                      </wps:spPr>
                      <wps:style>
                        <a:lnRef idx="0"/>
                        <a:fillRef idx="0"/>
                        <a:effectRef idx="0"/>
                        <a:fontRef idx="minor"/>
                      </wps:style>
                      <wps:txbx>
                        <w:txbxContent>
                          <w:p>
                            <w:pPr>
                              <w:pStyle w:val="Caption1"/>
                              <w:overflowPunct w:val="true"/>
                              <w:spacing w:before="0" w:after="60"/>
                              <w:ind w:left="170" w:hanging="170"/>
                              <w:jc w:val="center"/>
                              <w:textAlignment w:val="auto"/>
                              <w:rPr/>
                            </w:pPr>
                            <w:bookmarkStart w:id="3579" w:name="_Toc84599030"/>
                            <w:bookmarkStart w:id="3580" w:name="_Ref77754938"/>
                            <w:r>
                              <w:rPr>
                                <w:color w:val="00000A"/>
                              </w:rPr>
                              <w:t xml:space="preserve">Figura </w:t>
                            </w:r>
                            <w:r>
                              <w:rPr>
                                <w:color w:val="00000A"/>
                              </w:rPr>
                              <w:fldChar w:fldCharType="begin"/>
                            </w:r>
                            <w:r>
                              <w:instrText> SEQ Figura \* ARABIC </w:instrText>
                            </w:r>
                            <w:r>
                              <w:fldChar w:fldCharType="separate"/>
                            </w:r>
                            <w:r>
                              <w:t>23</w:t>
                            </w:r>
                            <w:r>
                              <w:fldChar w:fldCharType="end"/>
                            </w:r>
                            <w:bookmarkEnd w:id="3579"/>
                            <w:bookmarkEnd w:id="3580"/>
                            <w:r>
                              <w:rPr>
                                <w:color w:val="00000A"/>
                              </w:rPr>
                              <w:t>: Complementariedad de los algoritmos en el caso de estudio sobre proyectos.</w:t>
                            </w:r>
                          </w:p>
                        </w:txbxContent>
                      </wps:txbx>
                      <wps:bodyPr lIns="0" rIns="0" tIns="0" bIns="0">
                        <a:prstTxWarp prst="textNoShape"/>
                        <a:spAutoFit/>
                      </wps:bodyPr>
                    </wps:wsp>
                  </a:graphicData>
                </a:graphic>
              </wp:anchor>
            </w:drawing>
          </mc:Choice>
          <mc:Fallback>
            <w:pict>
              <v:rect id="shape_0" ID="Text Box 42" fillcolor="white" stroked="f" style="position:absolute;margin-left:294.1pt;margin-top:132.3pt;width:148.45pt;height:41.25pt;mso-position-horizontal-relative:margin" wp14:anchorId="1EC8370B">
                <w10:wrap type="square"/>
                <v:fill o:detectmouseclick="t" type="solid" color2="black"/>
                <v:stroke color="#3465a4" joinstyle="round" endcap="flat"/>
                <v:textbox>
                  <w:txbxContent>
                    <w:p>
                      <w:pPr>
                        <w:pStyle w:val="Caption1"/>
                        <w:overflowPunct w:val="true"/>
                        <w:spacing w:before="0" w:after="60"/>
                        <w:ind w:left="170" w:hanging="170"/>
                        <w:jc w:val="center"/>
                        <w:textAlignment w:val="auto"/>
                        <w:rPr/>
                      </w:pPr>
                      <w:bookmarkStart w:id="3581" w:name="_Toc84599030"/>
                      <w:bookmarkStart w:id="3582" w:name="_Ref77754938"/>
                      <w:r>
                        <w:rPr>
                          <w:color w:val="00000A"/>
                        </w:rPr>
                        <w:t xml:space="preserve">Figura </w:t>
                      </w:r>
                      <w:r>
                        <w:rPr>
                          <w:color w:val="00000A"/>
                        </w:rPr>
                        <w:fldChar w:fldCharType="begin"/>
                      </w:r>
                      <w:r>
                        <w:instrText> SEQ Figura \* ARABIC </w:instrText>
                      </w:r>
                      <w:r>
                        <w:fldChar w:fldCharType="separate"/>
                      </w:r>
                      <w:r>
                        <w:t>23</w:t>
                      </w:r>
                      <w:r>
                        <w:fldChar w:fldCharType="end"/>
                      </w:r>
                      <w:bookmarkEnd w:id="3581"/>
                      <w:bookmarkEnd w:id="3582"/>
                      <w:r>
                        <w:rPr>
                          <w:color w:val="00000A"/>
                        </w:rPr>
                        <w:t>: Complementariedad de los algoritmos en el caso de estudio sobre proyectos.</w:t>
                      </w:r>
                    </w:p>
                  </w:txbxContent>
                </v:textbox>
              </v:rect>
            </w:pict>
          </mc:Fallback>
        </mc:AlternateContent>
        <w:drawing>
          <wp:anchor behindDoc="0" distT="0" distB="0" distL="114300" distR="114300" simplePos="0" locked="0" layoutInCell="1" allowOverlap="1" relativeHeight="11">
            <wp:simplePos x="0" y="0"/>
            <wp:positionH relativeFrom="margin">
              <wp:posOffset>3727450</wp:posOffset>
            </wp:positionH>
            <wp:positionV relativeFrom="paragraph">
              <wp:posOffset>128270</wp:posOffset>
            </wp:positionV>
            <wp:extent cx="1830705" cy="1531620"/>
            <wp:effectExtent l="0" t="0" r="0" b="0"/>
            <wp:wrapSquare wrapText="bothSides"/>
            <wp:docPr id="125" name="Pictur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47" descr=""/>
                    <pic:cNvPicPr>
                      <a:picLocks noChangeAspect="1" noChangeArrowheads="1"/>
                    </pic:cNvPicPr>
                  </pic:nvPicPr>
                  <pic:blipFill>
                    <a:blip r:embed="rId28"/>
                    <a:stretch>
                      <a:fillRect/>
                    </a:stretch>
                  </pic:blipFill>
                  <pic:spPr bwMode="auto">
                    <a:xfrm>
                      <a:off x="0" y="0"/>
                      <a:ext cx="1830705" cy="1531620"/>
                    </a:xfrm>
                    <a:prstGeom prst="rect">
                      <a:avLst/>
                    </a:prstGeom>
                  </pic:spPr>
                </pic:pic>
              </a:graphicData>
            </a:graphic>
          </wp:anchor>
        </w:drawing>
      </w:r>
      <w:r>
        <w:rPr/>
        <w:t xml:space="preserve">Se muestra a continuación la aplicación de los algoritmos propuestos, en el </w:t>
      </w:r>
    </w:p>
    <w:p>
      <w:pPr>
        <w:pStyle w:val="ListParagraph"/>
        <w:numPr>
          <w:ilvl w:val="0"/>
          <w:numId w:val="16"/>
        </w:numPr>
        <w:rPr/>
      </w:pPr>
      <w:r>
        <w:rPr/>
        <w:t xml:space="preserve">Centro de Consultoría y Desarrollo de Arquitecturas Empresariales de la UCI. Se escoge este caso de estudio porque en él se dispone de suficientes datos recogidos en el sistema de información para la gestión de proyectos GESPRO </w:t>
      </w:r>
      <w:r>
        <w:fldChar w:fldCharType="begin"/>
      </w:r>
      <w:r>
        <w:instrText>ADDIN ZOTERO_ITEM CSL_CITATION {"citationID":"koGiHm05","properties":{"formattedCitation":"(L\\uc0\\u243{}pez 2017)","plainCitation":"(López 2017)","noteIndex":0},"citationItems":[{"id":"NJclqhNX/3drWlAIO","uris":["http://zotero.org/users/local/rsuvzjK6/items/MVI5PKWT"],"uri":["http://zotero.org/users/local/rsuvzjK6/items/MVI5PKWT"],"itemData":{"id":3435,"type":"thesis","event-place":"La Habana, Cuba","genre":"Máster","language":"Español","number-of-pages":"55","publisher":"Universidad de las Ciencias Informáticas","publisher-place":"La Habana, Cuba","title":"Procedimiento para la aplicación de test de personalidad como apoyo a la gestión de recursos humanos en proyectos informáticos","author":[{"family":"López","given":"Pastor"}],"issued":{"date-parts":[["2017"]]}}}],"schema":"https://github.com/citation-style-language/schema/raw/master/csl-citation.json"}</w:instrText>
      </w:r>
      <w:r>
        <w:fldChar w:fldCharType="separate"/>
      </w:r>
      <w:bookmarkStart w:id="3584" w:name="__Fieldmark__19366_2067855929"/>
      <w:r>
        <w:rPr/>
      </w:r>
      <w:r>
        <w:rPr>
          <w:szCs w:val="24"/>
        </w:rPr>
        <w:t>(</w:t>
      </w:r>
      <w:bookmarkStart w:id="3585" w:name="__Fieldmark__17699_498839314"/>
      <w:r>
        <w:rPr>
          <w:szCs w:val="24"/>
        </w:rPr>
        <w:t>L</w:t>
      </w:r>
      <w:bookmarkStart w:id="3586" w:name="__Fieldmark__16595_998588997"/>
      <w:r>
        <w:rPr>
          <w:szCs w:val="24"/>
        </w:rPr>
        <w:t>ó</w:t>
      </w:r>
      <w:bookmarkStart w:id="3587" w:name="__Fieldmark__21273_118561941"/>
      <w:r>
        <w:rPr>
          <w:szCs w:val="24"/>
        </w:rPr>
        <w:t>pez 2017)</w:t>
      </w:r>
      <w:r>
        <w:rPr/>
      </w:r>
      <w:r>
        <w:fldChar w:fldCharType="end"/>
      </w:r>
      <w:bookmarkEnd w:id="3584"/>
      <w:bookmarkEnd w:id="3585"/>
      <w:bookmarkEnd w:id="3586"/>
      <w:bookmarkEnd w:id="3587"/>
      <w:r>
        <w:rPr/>
        <w:t xml:space="preserve"> </w:t>
      </w:r>
      <w:r>
        <w:fldChar w:fldCharType="begin"/>
      </w:r>
      <w:r>
        <w:instrText>ADDIN ZOTERO_ITEM CSL_CITATION {"citationID":"TIrtvYSF","properties":{"formattedCitation":"(P\\uc0\\u233{}rez Pupo, Garc\\uc0\\u237{}a Vacacela, Pi\\uc0\\u241{}ero P\\uc0\\u233{}rez, et\\uc0\\u160{}al. 2020)","plainCitation":"(Pérez Pupo, García Vacacela, Piñero Pérez, et al. 2020)","noteIndex":0},"citationItems":[{"id":"NJclqhNX/Uv9LqmIS","uris":["http://zotero.org/users/local/rsuvzjK6/items/NZYTCVI5"],"uri":["http://zotero.org/users/local/rsuvzjK6/items/NZYTCVI5"],"itemData":{"id":2570,"type":"article-journal","abstract":"This paper presents application results of soft computing techniques in project´s evaluation. The authors analyze different project management´s guides regarding decision making techniques inside its. In this paper the authors combine traditional techniques for project´s evaluation with soft computing techniques. The authors propose an algorithm that combine the following techniques: traditional indicators from project management guides, fuzzy inference systems, machine learning algorithms and linguistic data summarization methods. In section number 3, the paper presents the comparisons of algorithms Anfis, Hyfis, FS.HGD, based on neural networks with algorithms GFS LS RS, GFS THRIFT based on evolutionary algorithms. In experiments, we applied cross validation techniques combined with Friendman test and Wilcoxon test Afterwards, the authors present an algorithm that build linguistic summaries to detect causes of project management failures. Finally, we present a comparison of the results and the conclusions.","container-title":"Revista Investigación Operacional","ISSN":"2224-2405","issue":"1","page":"106–117","title":"Experiencias en el uso de técnicas de softcomputing en la evaluación de proyectos de software","volume":"41","author":[{"family":"Pérez Pupo","given":"Iliana"},{"family":"García Vacacela","given":"Roberto"},{"family":"Piñero Pérez","given":"Pedro"},{"family":"Sadeq","given":"Gaafar"},{"family":"Peña Abreu","given":"Marieta"}],"issued":{"date-parts":[["2020"]]}}}],"schema":"https://github.com/citation-style-language/schema/raw/master/csl-citation.json"}</w:instrText>
      </w:r>
      <w:r>
        <w:fldChar w:fldCharType="separate"/>
      </w:r>
      <w:bookmarkStart w:id="3588" w:name="__Fieldmark__19381_2067855929"/>
      <w:r>
        <w:rPr/>
      </w:r>
      <w:r>
        <w:rPr>
          <w:rFonts w:cs="Arial"/>
          <w:szCs w:val="24"/>
        </w:rPr>
        <w:t>(</w:t>
      </w:r>
      <w:bookmarkStart w:id="3589" w:name="__Fieldmark__17710_498839314"/>
      <w:r>
        <w:rPr>
          <w:rFonts w:cs="Arial"/>
          <w:szCs w:val="24"/>
        </w:rPr>
        <w:t>P</w:t>
      </w:r>
      <w:bookmarkStart w:id="3590" w:name="__Fieldmark__16602_998588997"/>
      <w:r>
        <w:rPr>
          <w:rFonts w:cs="Arial"/>
          <w:szCs w:val="24"/>
        </w:rPr>
        <w:t>é</w:t>
      </w:r>
      <w:bookmarkStart w:id="3591" w:name="__Fieldmark__21278_118561941"/>
      <w:r>
        <w:rPr>
          <w:rFonts w:cs="Arial"/>
          <w:szCs w:val="24"/>
        </w:rPr>
        <w:t>rez Pupo, García Vacacela, Piñero Pérez, et al. 2020)</w:t>
      </w:r>
      <w:r>
        <w:rPr/>
      </w:r>
      <w:r>
        <w:fldChar w:fldCharType="end"/>
      </w:r>
      <w:bookmarkEnd w:id="3588"/>
      <w:bookmarkEnd w:id="3589"/>
      <w:bookmarkEnd w:id="3590"/>
      <w:bookmarkEnd w:id="3591"/>
      <w:r>
        <w:rPr/>
        <w:t xml:space="preserve"> entre los años 2010 </w:t>
      </w:r>
      <w:r>
        <w:rPr>
          <w:lang w:val="es-ES"/>
        </w:rPr>
        <w:t xml:space="preserve">– </w:t>
      </w:r>
      <w:r>
        <w:rPr/>
        <w:t>2020</w:t>
      </w:r>
      <w:r>
        <w:rPr>
          <w:lang w:val="es-ES"/>
        </w:rPr>
        <w:t>, y porque también se cuenta con la colaboración de los expertos en esta área de conocimiento.</w:t>
      </w:r>
      <w:r>
        <w:rPr/>
        <w:t xml:space="preserve"> </w:t>
      </w:r>
      <w:r>
        <w:rPr>
          <w:lang w:val="en-US"/>
        </w:rPr>
        <w:t xml:space="preserve">Se trabajó con datos asociados a la evaluación, seguimiento y control de proyectos. </w:t>
      </w:r>
    </w:p>
    <w:p>
      <w:pPr>
        <w:pStyle w:val="Normal"/>
        <w:rPr/>
      </w:pPr>
      <w:r>
        <w:rPr>
          <w:lang w:val="en-US"/>
        </w:rPr>
        <w:t xml:space="preserve">Al aplicar el paso 1 del </w:t>
      </w:r>
      <w:r>
        <w:rPr>
          <w:lang w:val="en-US"/>
        </w:rPr>
        <w:fldChar w:fldCharType="begin"/>
      </w:r>
      <w:r>
        <w:instrText> REF _Ref77745107 \h </w:instrText>
      </w:r>
      <w:r>
        <w:fldChar w:fldCharType="separate"/>
      </w:r>
      <w:r>
        <w:t xml:space="preserve">Procedimiento </w:t>
      </w:r>
      <w:r>
        <w:fldChar w:fldCharType="end"/>
      </w:r>
      <w:r>
        <w:rPr>
          <w:lang w:val="en-US"/>
        </w:rPr>
        <w:t xml:space="preserve">, se evidencia </w:t>
      </w:r>
      <w:r>
        <w:rPr/>
        <w:t xml:space="preserve">la complementariedad de los algoritmos en el caso de estudio respecto a la coincidencia y exclusividad de los resúmenes lingüísticos obtenidos por los algoritmos combinados en el </w:t>
      </w:r>
      <w:r>
        <w:rPr>
          <w:i/>
          <w:iCs/>
        </w:rPr>
        <w:t>Hybrid_LDS</w:t>
      </w:r>
      <w:r>
        <w:rPr/>
        <w:t xml:space="preserve"> con datos asociados a la evaluación de proyectos, ver</w:t>
      </w:r>
      <w:r>
        <w:rPr>
          <w:lang w:val="en-US"/>
        </w:rPr>
        <w:t xml:space="preserve"> </w:t>
      </w:r>
      <w:r>
        <w:rPr>
          <w:lang w:val="en-US"/>
        </w:rPr>
        <w:fldChar w:fldCharType="begin"/>
      </w:r>
      <w:r>
        <w:instrText> REF _Ref77754938 \h </w:instrText>
      </w:r>
      <w:r>
        <w:fldChar w:fldCharType="separate"/>
      </w:r>
      <w:r>
        <w:t>Figura 23</w:t>
      </w:r>
      <w:r>
        <w:fldChar w:fldCharType="end"/>
      </w:r>
      <w:r>
        <w:rPr>
          <w:lang w:val="en-US"/>
        </w:rPr>
        <w:t>.</w:t>
      </w:r>
    </w:p>
    <w:p>
      <w:pPr>
        <w:pStyle w:val="Normal"/>
        <w:rPr/>
      </w:pPr>
      <w:r>
        <w:rPr/>
        <w:t xml:space="preserve">En este escenario se aplicaron los algoritmos para analizar tres elementos fundamentales: la relación que existe entre los rasgos de personalidad de los recursos humanos y su desempeño en los resultados de los proyectos, la toma de decisiones durante los cortes de proyectos, y la detección de errores durante los procesos de planificación </w:t>
      </w:r>
      <w:r>
        <w:fldChar w:fldCharType="begin"/>
      </w:r>
      <w:r>
        <w:instrText>ADDIN ZOTERO_ITEM CSL_CITATION {"citationID":"a2luhpco6jj","properties":{"formattedCitation":"(P\\uc0\\u233{}rez Pupo, Pi\\uc0\\u241{}ero P\\uc0\\u233{}rez, Bello P\\uc0\\u233{}rez, et\\uc0\\u160{}al. 2020)","plainCitation":"(Pérez Pupo, Piñero Pérez, Bello Pérez, et al. 2020)","noteIndex":0},"citationItems":[{"id":"NJclqhNX/0yLiXkdJ","uris":["http://zotero.org/users/local/rsuvzjK6/items/ZJJ5BQ7R"],"uri":["http://zotero.org/users/local/rsuvzjK6/items/ZJJ5BQ7R"],"itemData":{"id":3333,"type":"paper-conference","abstract":"En el presente trabajo se realiza un análisis del comportamiento histórico de los proyectos de tecnologías de información a partir de reportes internacionales. Y se identifica que entre las principales dificultades se señalan los problemas de toma de decisiones asociadas a los procesos de control y seguimiento. Como parte de la solución a la problemática se proponen tres nuevos algoritmos para la sumarización lingüística de datos. El primer algoritmo se basa en el aprendizaje de reglas de asociación, el segundo combina reglas de asociación con el análisis de componente principales y el tercer algoritmo combina el uso el análisis de componentes principales con el algoritmo de estimación de distribución PADA. Se aplican los algoritmos en base de datos del Repositorio de Investigaciones en Gestión de Proyectos y en la Empresa BusinessRedmine. Se comparan los resultados de los algoritmos considerando aspectos cuantitativos y cualitativos y se demuestra que en general el algoritmo de mejores resultados son los que consideran las relaciones de dependencia entre las variables. Como trabajo futuro se identifica la necesidad de extender los métodos de cálculo de las T.","container-title":"V Conferencia Internacional en Ciencias Computacionales e Informáticas (CICCI’ 2020)","publisher":"Informática CICCI´2020","title":"Aplicaciones de la sumarización lingüística de datos en la toma de decisiones en gestión de proyectos","author":[{"family":"Pérez Pupo","given":"Iliana"},{"family":"Piñero Pérez","given":"Pedro Yobani"},{"family":"Bello Pérez","given":"Rafael Esteban"},{"family":"García Vacacela","given":"Roberto Carlos"},{"family":"Piñero Ramírez","given":"Pedro E."},{"family":"Piñero Ramírez","given":"Carlos M."}],"issued":{"date-parts":[["2020"]]}}}],"schema":"https://github.com/citation-style-language/schema/raw/master/csl-citation.json"}</w:instrText>
      </w:r>
      <w:r>
        <w:fldChar w:fldCharType="separate"/>
      </w:r>
      <w:bookmarkStart w:id="3592" w:name="__Fieldmark__19419_2067855929"/>
      <w:r>
        <w:rPr/>
      </w:r>
      <w:r>
        <w:rPr>
          <w:szCs w:val="24"/>
        </w:rPr>
        <w:t>(</w:t>
      </w:r>
      <w:bookmarkStart w:id="3593" w:name="__Fieldmark__17740_498839314"/>
      <w:r>
        <w:rPr>
          <w:szCs w:val="24"/>
        </w:rPr>
        <w:t>P</w:t>
      </w:r>
      <w:bookmarkStart w:id="3594" w:name="__Fieldmark__16628_998588997"/>
      <w:r>
        <w:rPr>
          <w:szCs w:val="24"/>
        </w:rPr>
        <w:t>é</w:t>
      </w:r>
      <w:bookmarkStart w:id="3595" w:name="__Fieldmark__21337_118561941"/>
      <w:r>
        <w:rPr>
          <w:szCs w:val="24"/>
        </w:rPr>
        <w:t>rez Pupo, Piñero Pérez, Bello Pérez, et al. 2020)</w:t>
      </w:r>
      <w:r>
        <w:rPr/>
      </w:r>
      <w:r>
        <w:fldChar w:fldCharType="end"/>
      </w:r>
      <w:bookmarkEnd w:id="3592"/>
      <w:bookmarkEnd w:id="3593"/>
      <w:bookmarkEnd w:id="3594"/>
      <w:bookmarkEnd w:id="3595"/>
      <w:r>
        <w:rPr/>
        <w:t>.</w:t>
      </w:r>
    </w:p>
    <w:p>
      <w:pPr>
        <w:pStyle w:val="Heading4"/>
        <w:numPr>
          <w:ilvl w:val="3"/>
          <w:numId w:val="80"/>
        </w:numPr>
        <w:rPr/>
      </w:pPr>
      <w:r>
        <w:rPr/>
        <w:t>Rasgos de personalidad y desempeño de los recursos humanos</w:t>
      </w:r>
    </w:p>
    <w:p>
      <w:pPr>
        <w:pStyle w:val="Normal"/>
        <w:rPr/>
      </w:pPr>
      <w:r>
        <w:rPr/>
        <w:t xml:space="preserve">Para evaluar los rasgos de personalidad de los recursos humanos y su relación con el desempeño en diferentes roles de proyectos, se incorporaron nuevos datos a los ya recogidos en el sistema de información GESPRO. Con este fin se aplicaron los instrumentos: </w:t>
      </w:r>
      <w:bookmarkStart w:id="3596" w:name="_Hlk77836620"/>
      <w:r>
        <w:rPr/>
        <w:t xml:space="preserve">CDE </w:t>
      </w:r>
      <w:r>
        <w:fldChar w:fldCharType="begin"/>
      </w:r>
      <w:r>
        <w:instrText>ADDIN ZOTERO_ITEM CSL_CITATION {"citationID":"a1k71mir9pk","properties":{"formattedCitation":"(L\\uc0\\u243{}pez 2017)","plainCitation":"(López 2017)","noteIndex":0},"citationItems":[{"id":"NJclqhNX/3drWlAIO","uris":["http://zotero.org/users/local/rsuvzjK6/items/MVI5PKWT"],"uri":["http://zotero.org/users/local/rsuvzjK6/items/MVI5PKWT"],"itemData":{"id":3435,"type":"thesis","event-place":"La Habana, Cuba","genre":"Máster","language":"Español","number-of-pages":"55","publisher":"Universidad de las Ciencias Informáticas","publisher-place":"La Habana, Cuba","title":"Procedimiento para la aplicación de test de personalidad como apoyo a la gestión de recursos humanos en proyectos informáticos","author":[{"family":"López","given":"Pastor"}],"issued":{"date-parts":[["2017"]]}}}],"schema":"https://github.com/citation-style-language/schema/raw/master/csl-citation.json"}</w:instrText>
      </w:r>
      <w:r>
        <w:fldChar w:fldCharType="separate"/>
      </w:r>
      <w:bookmarkStart w:id="3597" w:name="__Fieldmark__19441_2067855929"/>
      <w:r>
        <w:rPr/>
      </w:r>
      <w:r>
        <w:rPr>
          <w:szCs w:val="24"/>
        </w:rPr>
        <w:t>(</w:t>
      </w:r>
      <w:bookmarkStart w:id="3598" w:name="__Fieldmark__17756_498839314"/>
      <w:r>
        <w:rPr>
          <w:szCs w:val="24"/>
        </w:rPr>
        <w:t>L</w:t>
      </w:r>
      <w:bookmarkStart w:id="3599" w:name="__Fieldmark__16640_998588997"/>
      <w:r>
        <w:rPr>
          <w:szCs w:val="24"/>
        </w:rPr>
        <w:t>ó</w:t>
      </w:r>
      <w:bookmarkStart w:id="3600" w:name="__Fieldmark__21361_118561941"/>
      <w:r>
        <w:rPr>
          <w:szCs w:val="24"/>
        </w:rPr>
        <w:t>pez 2017)</w:t>
      </w:r>
      <w:r>
        <w:rPr/>
      </w:r>
      <w:r>
        <w:fldChar w:fldCharType="end"/>
      </w:r>
      <w:bookmarkEnd w:id="3597"/>
      <w:bookmarkEnd w:id="3598"/>
      <w:bookmarkEnd w:id="3599"/>
      <w:bookmarkEnd w:id="3600"/>
      <w:r>
        <w:rPr/>
        <w:t xml:space="preserve">, 16PF </w:t>
      </w:r>
      <w:r>
        <w:fldChar w:fldCharType="begin"/>
      </w:r>
      <w:r>
        <w:instrText>ADDIN ZOTERO_ITEM CSL_CITATION {"citationID":"7y3kLPLO","properties":{"formattedCitation":"(Bahner y Clark 2020)","plainCitation":"(Bahner y Clark 2020)","noteIndex":0},"citationItems":[{"id":"NJclqhNX/u2psLjvm","uris":["http://zotero.org/users/local/rsuvzjK6/items/YS6HIMPN"],"uri":["http://zotero.org/users/local/rsuvzjK6/items/YS6HIMPN"],"itemData":{"id":3443,"type":"chapter","container-title":"Encyclopedia of Personality and Individual Differences","event-place":"Cham","ISBN":"978-3-319-24612-3","language":"en","note":"DOI: 10.1007/978-3-319-24612-3_86","page":"4958-4961","publisher":"Springer International Publishing","publisher-place":"Cham","source":"Springer Link","title":"Sixteen Personality Factor Questionnaire (16PF)","URL":"https://doi.org/10.1007/978-3-319-24612-3_86","author":[{"family":"Bahner","given":"Carly A."},{"family":"Clark","given":"C. Brendan"}],"editor":[{"family":"Zeigler-Hill","given":"Virgil"},{"family":"Shackelford","given":"Todd K."}],"accessed":{"date-parts":[["2021",3,29]]},"issued":{"date-parts":[["2020"]]}}}],"schema":"https://github.com/citation-style-language/schema/raw/master/csl-citation.json"}</w:instrText>
      </w:r>
      <w:r>
        <w:fldChar w:fldCharType="separate"/>
      </w:r>
      <w:bookmarkStart w:id="3601" w:name="__Fieldmark__19456_2067855929"/>
      <w:r>
        <w:rPr/>
        <w:t>(</w:t>
      </w:r>
      <w:bookmarkStart w:id="3602" w:name="__Fieldmark__17767_498839314"/>
      <w:r>
        <w:rPr/>
        <w:t>B</w:t>
      </w:r>
      <w:bookmarkStart w:id="3603" w:name="__Fieldmark__16647_998588997"/>
      <w:r>
        <w:rPr/>
        <w:t>a</w:t>
      </w:r>
      <w:bookmarkStart w:id="3604" w:name="__Fieldmark__21368_118561941"/>
      <w:r>
        <w:rPr/>
        <w:t>hner y Clark 2020)</w:t>
      </w:r>
      <w:r>
        <w:rPr/>
      </w:r>
      <w:r>
        <w:fldChar w:fldCharType="end"/>
      </w:r>
      <w:bookmarkEnd w:id="3601"/>
      <w:bookmarkEnd w:id="3602"/>
      <w:bookmarkEnd w:id="3603"/>
      <w:bookmarkEnd w:id="3604"/>
      <w:r>
        <w:rPr/>
        <w:t xml:space="preserve">, BigFive </w:t>
      </w:r>
      <w:r>
        <w:fldChar w:fldCharType="begin"/>
      </w:r>
      <w:r>
        <w:instrText>ADDIN ZOTERO_ITEM CSL_CITATION {"citationID":"RizNhOcS","properties":{"formattedCitation":"(Caprara et\\uc0\\u160{}al. 1993)","plainCitation":"(Caprara et al. 1993)","noteIndex":0},"citationItems":[{"id":"NJclqhNX/fjdB3OD9","uris":["http://zotero.org/users/local/rsuvzjK6/items/LLH3U4AX"],"uri":["http://zotero.org/users/local/rsuvzjK6/items/LLH3U4AX"],"itemData":{"id":3450,"type":"article-journal","abstract":"In this paper a new questionnaire for the measurement of the Big Five Factor Model (which includes the factors Extraversion, Agreeableness or Friendliness, Conscientiousness, Emotional Stability or Neuroticism, and Intellect or Openness to Experience) is presented. The various steps in the development of the questionnaire involved more than 1000 subjects. Internal validity (factorial structure), convergent and discriminant validity, internal consistency and temporal stability, and sex differences in the scale scores are discussed.","container-title":"Personality and Individual Differences","DOI":"10.1016/0191-8869(93)90218-R","ISSN":"0191-8869","issue":"3","journalAbbreviation":"Personality and Individual Differences","language":"en","page":"281-288","source":"ScienceDirect","title":"The “big five questionnaire”: A new questionnaire to assess the five factor model","title-short":"The “big five questionnaire”","volume":"15","author":[{"family":"Caprara","given":"Gian Vittorio"},{"family":"Barbaranelli","given":"Claudio"},{"family":"Borgogni","given":"Laura"},{"family":"Perugini","given":"Marco"}],"issued":{"date-parts":[["1993",9,1]]}}}],"schema":"https://github.com/citation-style-language/schema/raw/master/csl-citation.json"}</w:instrText>
      </w:r>
      <w:r>
        <w:fldChar w:fldCharType="separate"/>
      </w:r>
      <w:bookmarkStart w:id="3605" w:name="__Fieldmark__19471_2067855929"/>
      <w:r>
        <w:rPr/>
      </w:r>
      <w:r>
        <w:rPr>
          <w:szCs w:val="24"/>
        </w:rPr>
        <w:t>(</w:t>
      </w:r>
      <w:bookmarkStart w:id="3606" w:name="__Fieldmark__17778_498839314"/>
      <w:r>
        <w:rPr>
          <w:szCs w:val="24"/>
        </w:rPr>
        <w:t>C</w:t>
      </w:r>
      <w:bookmarkStart w:id="3607" w:name="__Fieldmark__16654_998588997"/>
      <w:r>
        <w:rPr>
          <w:szCs w:val="24"/>
        </w:rPr>
        <w:t>a</w:t>
      </w:r>
      <w:bookmarkStart w:id="3608" w:name="__Fieldmark__21374_118561941"/>
      <w:r>
        <w:rPr>
          <w:szCs w:val="24"/>
        </w:rPr>
        <w:t>prara et al. 1993)</w:t>
      </w:r>
      <w:r>
        <w:rPr/>
      </w:r>
      <w:r>
        <w:fldChar w:fldCharType="end"/>
      </w:r>
      <w:bookmarkEnd w:id="3605"/>
      <w:bookmarkEnd w:id="3606"/>
      <w:bookmarkEnd w:id="3607"/>
      <w:bookmarkEnd w:id="3608"/>
      <w:r>
        <w:rPr/>
        <w:t xml:space="preserve">, </w:t>
      </w:r>
      <w:bookmarkEnd w:id="3596"/>
      <w:r>
        <w:rPr/>
        <w:t xml:space="preserve">estos son instrumentos validados y ampliamente empleados en numerosas investigaciones. Se muestra a continuación algunos de los resúmenes lingüísticos obtenidos a partir de unir los datos del sistema de información con los datos provenientes de cada tipo de cuestionario </w:t>
      </w:r>
      <w:r>
        <w:fldChar w:fldCharType="begin"/>
      </w:r>
      <w:r>
        <w:instrText>ADDIN ZOTERO_ITEM CSL_CITATION {"citationID":"a15l17l8oua","properties":{"formattedCitation":"(P\\uc0\\u233{}rez Pupo, Garc\\uc0\\u237{}a Vacacela, Pi\\uc0\\u241{}ero P\\uc0\\u233{}rez, et\\uc0\\u160{}al. 2020)","plainCitation":"(Pérez Pupo, García Vacacela, Piñero Pérez, et al. 2020)","noteIndex":0},"citationItems":[{"id":"NJclqhNX/Uv9LqmIS","uris":["http://zotero.org/users/local/rsuvzjK6/items/NZYTCVI5"],"uri":["http://zotero.org/users/local/rsuvzjK6/items/NZYTCVI5"],"itemData":{"id":2570,"type":"article-journal","abstract":"This paper presents application results of soft computing techniques in project´s evaluation. The authors analyze different project management´s guides regarding decision making techniques inside its. In this paper the authors combine traditional techniques for project´s evaluation with soft computing techniques. The authors propose an algorithm that combine the following techniques: traditional indicators from project management guides, fuzzy inference systems, machine learning algorithms and linguistic data summarization methods. In section number 3, the paper presents the comparisons of algorithms Anfis, Hyfis, FS.HGD, based on neural networks with algorithms GFS LS RS, GFS THRIFT based on evolutionary algorithms. In experiments, we applied cross validation techniques combined with Friendman test and Wilcoxon test Afterwards, the authors present an algorithm that build linguistic summaries to detect causes of project management failures. Finally, we present a comparison of the results and the conclusions.","container-title":"Revista Investigación Operacional","ISSN":"2224-2405","issue":"1","page":"106–117","title":"Experiencias en el uso de técnicas de softcomputing en la evaluación de proyectos de software","volume":"41","author":[{"family":"Pérez Pupo","given":"Iliana"},{"family":"García Vacacela","given":"Roberto"},{"family":"Piñero Pérez","given":"Pedro"},{"family":"Sadeq","given":"Gaafar"},{"family":"Peña Abreu","given":"Marieta"}],"issued":{"date-parts":[["2020"]]}}}],"schema":"https://github.com/citation-style-language/schema/raw/master/csl-citation.json"}</w:instrText>
      </w:r>
      <w:r>
        <w:fldChar w:fldCharType="separate"/>
      </w:r>
      <w:bookmarkStart w:id="3609" w:name="__Fieldmark__19489_2067855929"/>
      <w:r>
        <w:rPr/>
      </w:r>
      <w:r>
        <w:rPr>
          <w:szCs w:val="24"/>
        </w:rPr>
        <w:t>(</w:t>
      </w:r>
      <w:bookmarkStart w:id="3610" w:name="__Fieldmark__17791_498839314"/>
      <w:r>
        <w:rPr>
          <w:szCs w:val="24"/>
        </w:rPr>
        <w:t>P</w:t>
      </w:r>
      <w:bookmarkStart w:id="3611" w:name="__Fieldmark__16663_998588997"/>
      <w:r>
        <w:rPr>
          <w:szCs w:val="24"/>
        </w:rPr>
        <w:t>é</w:t>
      </w:r>
      <w:bookmarkStart w:id="3612" w:name="__Fieldmark__21384_118561941"/>
      <w:r>
        <w:rPr>
          <w:szCs w:val="24"/>
        </w:rPr>
        <w:t>rez Pupo, García Vacacela, Piñero Pérez, et al. 2020)</w:t>
      </w:r>
      <w:r>
        <w:rPr/>
      </w:r>
      <w:r>
        <w:fldChar w:fldCharType="end"/>
      </w:r>
      <w:bookmarkEnd w:id="3609"/>
      <w:bookmarkEnd w:id="3610"/>
      <w:bookmarkEnd w:id="3611"/>
      <w:bookmarkEnd w:id="3612"/>
      <w:r>
        <w:rPr/>
        <w:t xml:space="preserve"> </w:t>
      </w:r>
      <w:r>
        <w:fldChar w:fldCharType="begin"/>
      </w:r>
      <w:r>
        <w:instrText>ADDIN ZOTERO_ITEM CSL_CITATION {"citationID":"akmgph5uu1","properties":{"formattedCitation":"(P\\uc0\\u233{}rez et\\uc0\\u160{}al. 2018)","plainCitation":"(Pérez et al. 2018)","noteIndex":0},"citationItems":[{"id":"NJclqhNX/83N4B8Z0","uris":["http://zotero.org/users/local/rsuvzjK6/items/ERT9SDN5"],"uri":["http://zotero.org/users/local/rsuvzjK6/items/ERT9SDN5"],"itemData":{"id":3349,"type":"article-journal","abstract":"Uno de los factores con mayor influencia en el desarrollo de los proyectos de tecnologías de la información son los recursos humanos. Se han identificado en múltiples investigaciones la importancia de los mismos tanto en la calidad de los proyectos como en la eficiencia. En particular es relevante conocer qué relación existe entre los rasgos de la personalidad de un individuo y su rendimiento laboral en diferentes puestos de trabajo. En la presente investigación se aplican algoritmos para la construcción de resúmenes lingüísticos a partir de datos en una base de datos de personas que laboran en proyectos de desarrollo de software y a los que se les aplicaron los siguientes instrumentos de evaluación de la personalidad: BFQ, 16 PF Forma C y el cuestionario sobre estilos de dirección. En el trabajo se presentan los resultados principales obtenidos a partir de la aplicación de un algoritmo para la sumarización lingüística de datos basados en el descubrimiento de reglas de asociación.","container-title":"Revista Cubana de Ciencias Informáticas","ISSN":"1994-1536","page":"135–150","title":"Construcción de resúmenes lingüísticos a partir rasgos de la personalidad y el desempeño en el desarrollo de software","volume":"12","author":[{"family":"Pérez","given":"Iliana"},{"family":"López","given":"Pastor"},{"family":"Varona","given":"Esmerida"},{"family":"Piñero","given":"Pedro"},{"family":"García","given":"Roberto"}],"issued":{"date-parts":[["2018"]]}}}],"schema":"https://github.com/citation-style-language/schema/raw/master/csl-citation.json"}</w:instrText>
      </w:r>
      <w:r>
        <w:fldChar w:fldCharType="separate"/>
      </w:r>
      <w:bookmarkStart w:id="3613" w:name="__Fieldmark__19504_2067855929"/>
      <w:r>
        <w:rPr/>
      </w:r>
      <w:r>
        <w:rPr>
          <w:szCs w:val="24"/>
        </w:rPr>
        <w:t>(</w:t>
      </w:r>
      <w:bookmarkStart w:id="3614" w:name="__Fieldmark__17802_498839314"/>
      <w:r>
        <w:rPr>
          <w:szCs w:val="24"/>
        </w:rPr>
        <w:t>P</w:t>
      </w:r>
      <w:bookmarkStart w:id="3615" w:name="__Fieldmark__16670_998588997"/>
      <w:r>
        <w:rPr>
          <w:szCs w:val="24"/>
        </w:rPr>
        <w:t>é</w:t>
      </w:r>
      <w:bookmarkStart w:id="3616" w:name="__Fieldmark__21389_118561941"/>
      <w:r>
        <w:rPr>
          <w:szCs w:val="24"/>
        </w:rPr>
        <w:t>rez et al. 2018)</w:t>
      </w:r>
      <w:r>
        <w:rPr/>
      </w:r>
      <w:r>
        <w:fldChar w:fldCharType="end"/>
      </w:r>
      <w:bookmarkEnd w:id="3613"/>
      <w:bookmarkEnd w:id="3614"/>
      <w:bookmarkEnd w:id="3615"/>
      <w:bookmarkEnd w:id="3616"/>
      <w:r>
        <w:rPr/>
        <w:t>.</w:t>
      </w:r>
    </w:p>
    <w:p>
      <w:pPr>
        <w:pStyle w:val="Normal"/>
        <w:ind w:left="360" w:hanging="0"/>
        <w:rPr/>
      </w:pPr>
      <w:r>
        <w:rPr/>
        <w:t>Ejemplos de resúmenes lingüísticos obtenidos combinando los datos del sistema de información con los datos del “Cuestionario sobre estilos de dirección (CED)”:</w:t>
      </w:r>
    </w:p>
    <w:p>
      <w:pPr>
        <w:pStyle w:val="ListParagraph"/>
        <w:numPr>
          <w:ilvl w:val="0"/>
          <w:numId w:val="29"/>
        </w:numPr>
        <w:rPr>
          <w:lang w:val="es-ES"/>
        </w:rPr>
      </w:pPr>
      <w:r>
        <w:rPr>
          <w:lang w:val="es-ES"/>
        </w:rPr>
        <w:t>La mayoría de los especialistas que tienen rol de programador y alto rendimiento y trabajan en condiciones de tensión se cumple que son pasivos.</w:t>
      </w:r>
    </w:p>
    <w:p>
      <w:pPr>
        <w:pStyle w:val="ListParagraph"/>
        <w:numPr>
          <w:ilvl w:val="0"/>
          <w:numId w:val="30"/>
        </w:numPr>
        <w:rPr>
          <w:lang w:val="es-ES"/>
        </w:rPr>
      </w:pPr>
      <w:r>
        <w:rPr>
          <w:lang w:val="es-ES"/>
        </w:rPr>
        <w:t>Casi todos los especialistas que tienen rol de analista en segundo nivel y rendimiento medio y trabajan en condiciones normales se cumple que son orientados hacia las personas y pueden realizar tareas en el rol de programador.</w:t>
      </w:r>
    </w:p>
    <w:p>
      <w:pPr>
        <w:pStyle w:val="Normal"/>
        <w:ind w:left="360" w:hanging="0"/>
        <w:rPr/>
      </w:pPr>
      <w:r>
        <w:rPr/>
        <w:t>Ejemplos de resúmenes obtenidos a partir de los datos integrados con el instrumento “Inventario de personalidad 16 PF en Forma C”:</w:t>
      </w:r>
    </w:p>
    <w:p>
      <w:pPr>
        <w:pStyle w:val="ListParagraph"/>
        <w:numPr>
          <w:ilvl w:val="0"/>
          <w:numId w:val="31"/>
        </w:numPr>
        <w:rPr>
          <w:lang w:val="es-ES"/>
        </w:rPr>
      </w:pPr>
      <w:r>
        <w:rPr>
          <w:lang w:val="es-ES"/>
        </w:rPr>
        <w:t>En casi la totalidad de los especialistas que tienen alto rendimiento y rol de programador se cumple que coincidieron como grupo en valores normales en la protensión y fuerza en el ego.</w:t>
      </w:r>
    </w:p>
    <w:p>
      <w:pPr>
        <w:pStyle w:val="ListParagraph"/>
        <w:numPr>
          <w:ilvl w:val="0"/>
          <w:numId w:val="31"/>
        </w:numPr>
        <w:rPr>
          <w:lang w:val="es-ES"/>
        </w:rPr>
      </w:pPr>
      <w:r>
        <w:rPr>
          <w:lang w:val="es-ES"/>
        </w:rPr>
        <w:t>En muchos especialistas que tienen alto rendimiento y rol de calidad se cumple que coincidieron como grupo en valores normales en la socialización.</w:t>
      </w:r>
    </w:p>
    <w:p>
      <w:pPr>
        <w:pStyle w:val="ListParagraph"/>
        <w:numPr>
          <w:ilvl w:val="0"/>
          <w:numId w:val="31"/>
        </w:numPr>
        <w:rPr>
          <w:lang w:val="es-ES"/>
        </w:rPr>
      </w:pPr>
      <w:r>
        <w:rPr>
          <w:lang w:val="es-ES"/>
        </w:rPr>
        <w:t xml:space="preserve">En la mayoría de los especialistas que tienen rol de analistas en un segundo nivel y rendimiento medio se cumple coincidieron como grupo en valores normales en la animación. </w:t>
      </w:r>
    </w:p>
    <w:p>
      <w:pPr>
        <w:pStyle w:val="ListParagraph"/>
        <w:numPr>
          <w:ilvl w:val="0"/>
          <w:numId w:val="31"/>
        </w:numPr>
        <w:rPr>
          <w:lang w:val="es-ES"/>
        </w:rPr>
      </w:pPr>
      <w:r>
        <w:rPr>
          <w:lang w:val="es-ES"/>
        </w:rPr>
        <w:t>En muchos especialistas que tienen alto rendimiento y rol de arquitecto en un segundo nivel se cumplen que coincidieron como grupo en valores normales en el perfeccionismo.</w:t>
      </w:r>
    </w:p>
    <w:p>
      <w:pPr>
        <w:pStyle w:val="Normal"/>
        <w:ind w:left="360" w:hanging="0"/>
        <w:rPr/>
      </w:pPr>
      <w:r>
        <w:rPr/>
        <w:t>Ejemplos de resúmenes obtenidos a partir de los datos integrados con el instrumento “BFQ, Cuestionario Big Five”:</w:t>
      </w:r>
    </w:p>
    <w:p>
      <w:pPr>
        <w:pStyle w:val="ListParagraph"/>
        <w:numPr>
          <w:ilvl w:val="0"/>
          <w:numId w:val="32"/>
        </w:numPr>
        <w:rPr>
          <w:lang w:val="es-ES"/>
        </w:rPr>
      </w:pPr>
      <w:r>
        <w:rPr>
          <w:lang w:val="es-ES"/>
        </w:rPr>
        <w:t>En la mayoría de los especialistas que tienen rol de programador y alto rendimiento se cumple que son poco comprensivos y son poco tolerantes.</w:t>
      </w:r>
    </w:p>
    <w:p>
      <w:pPr>
        <w:pStyle w:val="ListParagraph"/>
        <w:numPr>
          <w:ilvl w:val="0"/>
          <w:numId w:val="32"/>
        </w:numPr>
        <w:rPr>
          <w:lang w:val="es-ES"/>
        </w:rPr>
      </w:pPr>
      <w:r>
        <w:rPr>
          <w:lang w:val="es-ES"/>
        </w:rPr>
        <w:t>En casi la totalidad de los especialistas que tienen rol de calidad y alto rendimiento se cumple que son moderadamente creativos y son muy afectivos.</w:t>
      </w:r>
    </w:p>
    <w:p>
      <w:pPr>
        <w:pStyle w:val="ListParagraph"/>
        <w:numPr>
          <w:ilvl w:val="0"/>
          <w:numId w:val="32"/>
        </w:numPr>
        <w:rPr>
          <w:lang w:val="es-ES"/>
        </w:rPr>
      </w:pPr>
      <w:r>
        <w:rPr>
          <w:lang w:val="es-ES"/>
        </w:rPr>
        <w:t>En la mayoría de los especialistas que tienen rol de arquitecto y alto rendimiento se cumple que son moderadamente responsables y son muy poco activos.</w:t>
      </w:r>
    </w:p>
    <w:p>
      <w:pPr>
        <w:pStyle w:val="ListParagraph"/>
        <w:numPr>
          <w:ilvl w:val="0"/>
          <w:numId w:val="32"/>
        </w:numPr>
        <w:rPr>
          <w:lang w:val="es-ES"/>
        </w:rPr>
      </w:pPr>
      <w:r>
        <w:rPr>
          <w:lang w:val="es-ES"/>
        </w:rPr>
        <w:t>En muchos especialistas que tienen rol de analista como segundo nivel y alto rendimiento se cumple que son moderadamente creativos y poco comprensivos.</w:t>
      </w:r>
    </w:p>
    <w:p>
      <w:pPr>
        <w:pStyle w:val="Normal"/>
        <w:ind w:left="360" w:hanging="0"/>
        <w:rPr/>
      </w:pPr>
      <w:r>
        <w:rPr/>
        <w:t>Ejemplos de resúmenes obtenidos a partir de los datos integrados con el instrumento “Cuestionario sobre estilos de dirección utilizando variables lingüísticas”:</w:t>
      </w:r>
    </w:p>
    <w:p>
      <w:pPr>
        <w:pStyle w:val="ListParagraph"/>
        <w:numPr>
          <w:ilvl w:val="0"/>
          <w:numId w:val="30"/>
        </w:numPr>
        <w:rPr>
          <w:lang w:val="es-ES"/>
        </w:rPr>
      </w:pPr>
      <w:r>
        <w:rPr>
          <w:lang w:val="es-ES"/>
        </w:rPr>
        <w:t>En muchos especialistas que tienen rol de programador y alto rendimiento en condiciones normales y presentan mezcla técnica se cumple que son personas exactas y precisas y calmadas y lógicas y completan trabajos importantes siguiendo métodos probados.</w:t>
      </w:r>
    </w:p>
    <w:p>
      <w:pPr>
        <w:pStyle w:val="ListParagraph"/>
        <w:numPr>
          <w:ilvl w:val="0"/>
          <w:numId w:val="30"/>
        </w:numPr>
        <w:rPr>
          <w:lang w:val="es-ES"/>
        </w:rPr>
      </w:pPr>
      <w:r>
        <w:rPr>
          <w:lang w:val="es-ES"/>
        </w:rPr>
        <w:t>En casi la totalidad de los especialistas que tienen alto rendimiento en condiciones de tensión y rol de arquitectos en un segundo nivel se cumple que son pasivos y pueden realizar tareas en el rol de programador.</w:t>
      </w:r>
    </w:p>
    <w:p>
      <w:pPr>
        <w:pStyle w:val="ListParagraph"/>
        <w:numPr>
          <w:ilvl w:val="0"/>
          <w:numId w:val="30"/>
        </w:numPr>
        <w:rPr>
          <w:lang w:val="es-ES"/>
        </w:rPr>
      </w:pPr>
      <w:r>
        <w:rPr>
          <w:lang w:val="es-ES"/>
        </w:rPr>
        <w:t>En muchos especialistas que tienen alto rendimiento en tareas de calidad se cumple que se orientan hacia las personas en condiciones normales.</w:t>
      </w:r>
    </w:p>
    <w:p>
      <w:pPr>
        <w:pStyle w:val="ListParagraph"/>
        <w:numPr>
          <w:ilvl w:val="0"/>
          <w:numId w:val="30"/>
        </w:numPr>
        <w:rPr/>
      </w:pPr>
      <w:r>
        <w:rPr>
          <w:lang w:val="es-ES"/>
        </w:rPr>
        <w:t>En muchos especialistas que tienen alto rendimiento en tareas de calidad se cumple que se orientan hacia las tareas en condiciones de tensión.</w:t>
      </w:r>
    </w:p>
    <w:p>
      <w:pPr>
        <w:pStyle w:val="Normal"/>
        <w:ind w:left="360" w:hanging="0"/>
        <w:rPr/>
      </w:pPr>
      <w:r>
        <w:rPr/>
        <w:t>A partir del análisis de los resúmenes lingüísticos generados de la aplicación de los instrumentos de personalidad, los decisores concluyeron que los resúmenes:</w:t>
      </w:r>
    </w:p>
    <w:p>
      <w:pPr>
        <w:pStyle w:val="ListParagraph"/>
        <w:numPr>
          <w:ilvl w:val="0"/>
          <w:numId w:val="42"/>
        </w:numPr>
        <w:rPr>
          <w:lang w:val="en-US"/>
        </w:rPr>
      </w:pPr>
      <w:r>
        <w:rPr>
          <w:lang w:val="en-US"/>
        </w:rPr>
        <w:t>Permitieron descubrir relaciones entre los rasgos de la personalidad y la mayoría de los roles principales de un proyecto de software.</w:t>
      </w:r>
    </w:p>
    <w:p>
      <w:pPr>
        <w:pStyle w:val="ListParagraph"/>
        <w:numPr>
          <w:ilvl w:val="0"/>
          <w:numId w:val="42"/>
        </w:numPr>
        <w:rPr>
          <w:lang w:val="en-US"/>
        </w:rPr>
      </w:pPr>
      <w:r>
        <w:rPr>
          <w:lang w:val="en-US"/>
        </w:rPr>
        <w:t>Permiten identificar relaciones entre los rasgos de la personalidad y el rendimiento en los roles asignados.</w:t>
      </w:r>
    </w:p>
    <w:p>
      <w:pPr>
        <w:pStyle w:val="ListParagraph"/>
        <w:numPr>
          <w:ilvl w:val="0"/>
          <w:numId w:val="42"/>
        </w:numPr>
        <w:rPr>
          <w:lang w:val="en-US"/>
        </w:rPr>
      </w:pPr>
      <w:r>
        <w:rPr>
          <w:lang w:val="en-US"/>
        </w:rPr>
        <w:t>Brindan información relevante, actualizada y de forma rápida para apoyar la toma de decisiones en el proceso de adquisición de los recursos humanos en proyectos de software.</w:t>
      </w:r>
    </w:p>
    <w:p>
      <w:pPr>
        <w:pStyle w:val="Heading4"/>
        <w:numPr>
          <w:ilvl w:val="3"/>
          <w:numId w:val="80"/>
        </w:numPr>
        <w:rPr/>
      </w:pPr>
      <w:r>
        <w:rPr/>
        <w:t>Toma de decisiones durante los cortes de proyectos</w:t>
      </w:r>
    </w:p>
    <w:p>
      <w:pPr>
        <w:pStyle w:val="Normal"/>
        <w:rPr/>
      </w:pPr>
      <w:r>
        <w:rPr/>
        <w:t xml:space="preserve">También se aplicaron resúmenes lingüísticos en la toma de decisiones durante los cortes de proyectos. En este sentido se trabajaron con los datos recopilados en el sistema de información GESPRO, en particular en las tablas y registros que recogen información indicadores de evaluación, control y seguimiento de proyectos </w:t>
      </w:r>
      <w:r>
        <w:fldChar w:fldCharType="begin"/>
      </w:r>
      <w:r>
        <w:instrText>ADDIN ZOTERO_ITEM CSL_CITATION {"citationID":"a11j853ht32","properties":{"formattedCitation":"(Pi\\uc0\\u241{}ero et\\uc0\\u160{}al. 2020)","plainCitation":"(Piñero et al. 2020)","noteIndex":0},"citationItems":[{"id":"NJclqhNX/wg4jIvA9","uris":["http://zotero.org/users/local/rsuvzjK6/items/3YGSNS7U"],"uri":["http://zotero.org/users/local/rsuvzjK6/items/3YGSNS7U"],"itemData":{"id":3426,"type":"book","event-place":"Guayaquil, Ecuador","ISBN":"978-9942-82-514-8","language":"Español","number-of-pages":"105","publisher":"Universidad Católica de Santiago de Guayaquil, ISBN: 978-9942-82-514-8","publisher-place":"Guayaquil, Ecuador","title":"Caracterización de los estándares de gestión de proyectos y su impacto en la gestión económico financiera de las organizaciones orientadas a proyectos.","author":[{"family":"Piñero","given":"Pedro"},{"family":"Pérez Pupo","given":"Iliana"},{"family":"García Vacacela","given":"Roberto"},{"family":"Toscanini","given":"Paola"}],"issued":{"date-parts":[["2020"]]}}}],"schema":"https://github.com/citation-style-language/schema/raw/master/csl-citation.json"}</w:instrText>
      </w:r>
      <w:r>
        <w:fldChar w:fldCharType="separate"/>
      </w:r>
      <w:bookmarkStart w:id="3617" w:name="__Fieldmark__19559_2067855929"/>
      <w:r>
        <w:rPr/>
      </w:r>
      <w:r>
        <w:rPr>
          <w:szCs w:val="24"/>
        </w:rPr>
        <w:t>(</w:t>
      </w:r>
      <w:bookmarkStart w:id="3618" w:name="__Fieldmark__17838_498839314"/>
      <w:r>
        <w:rPr>
          <w:szCs w:val="24"/>
        </w:rPr>
        <w:t>P</w:t>
      </w:r>
      <w:bookmarkStart w:id="3619" w:name="__Fieldmark__16702_998588997"/>
      <w:r>
        <w:rPr>
          <w:szCs w:val="24"/>
        </w:rPr>
        <w:t>i</w:t>
      </w:r>
      <w:bookmarkStart w:id="3620" w:name="__Fieldmark__21623_118561941"/>
      <w:r>
        <w:rPr>
          <w:szCs w:val="24"/>
        </w:rPr>
        <w:t>ñero et al. 2020)</w:t>
      </w:r>
      <w:r>
        <w:rPr/>
      </w:r>
      <w:r>
        <w:fldChar w:fldCharType="end"/>
      </w:r>
      <w:bookmarkEnd w:id="3617"/>
      <w:bookmarkEnd w:id="3618"/>
      <w:bookmarkEnd w:id="3619"/>
      <w:bookmarkEnd w:id="3620"/>
      <w:r>
        <w:rPr/>
        <w:t>. Se muestran a continuación ejemplos de los resúmenes lingüísticos obtenidos en este caso y la interpretación que hicieron los decisores ante los mismos:</w:t>
      </w:r>
    </w:p>
    <w:p>
      <w:pPr>
        <w:pStyle w:val="ListParagraph"/>
        <w:numPr>
          <w:ilvl w:val="0"/>
          <w:numId w:val="33"/>
        </w:numPr>
        <w:rPr>
          <w:lang w:val="es-ES"/>
        </w:rPr>
      </w:pPr>
      <w:r>
        <w:rPr>
          <w:lang w:val="es-ES"/>
        </w:rPr>
        <w:t>Muchos proyectos que tienen perfecto el tiempo real del trabajo real o alta cantidad de RH evaluados de mal o aproximadamente el 50% de los RH con competencia baja o mala correspondencia entre el tiempo planificado y el tiempo realizado tienen mal el índice de ejecución.</w:t>
      </w:r>
    </w:p>
    <w:p>
      <w:pPr>
        <w:pStyle w:val="Normal"/>
        <w:ind w:left="720" w:hanging="0"/>
        <w:rPr/>
      </w:pPr>
      <w:r>
        <w:rPr/>
        <w:t xml:space="preserve">Como resultado del análisis de este resumen, los decisores identificaron que, durante la ejecución de los proyectos con baja evaluación, hay una elevada cantidad de recursos con bajas competencias. Además, que muchos de los proyectos evaluados de mal, tienen como causa un mal desempeño de los recursos humanos. A partir de este resumen, para lograr el éxito de los proyectos se identificaron como posibles medidas asociadas al desempeño: </w:t>
      </w:r>
    </w:p>
    <w:p>
      <w:pPr>
        <w:pStyle w:val="ListParagraph"/>
        <w:numPr>
          <w:ilvl w:val="0"/>
          <w:numId w:val="64"/>
        </w:numPr>
        <w:rPr/>
      </w:pPr>
      <w:r>
        <w:rPr>
          <w:lang w:val="es-ES"/>
        </w:rPr>
        <w:t>E</w:t>
      </w:r>
      <w:r>
        <w:rPr/>
        <w:t>levar las competencias técnicas de los recursos humanos, así mejorar su desempeño.</w:t>
      </w:r>
    </w:p>
    <w:p>
      <w:pPr>
        <w:pStyle w:val="ListParagraph"/>
        <w:numPr>
          <w:ilvl w:val="0"/>
          <w:numId w:val="64"/>
        </w:numPr>
        <w:rPr/>
      </w:pPr>
      <w:r>
        <w:rPr/>
        <w:t xml:space="preserve">Aplicar mejores métodos para la motivación del personal, </w:t>
      </w:r>
      <w:r>
        <w:rPr>
          <w:lang w:val="es-ES"/>
        </w:rPr>
        <w:t xml:space="preserve">como </w:t>
      </w:r>
      <w:r>
        <w:rPr/>
        <w:t>recompensas y penalizaciones.</w:t>
      </w:r>
    </w:p>
    <w:p>
      <w:pPr>
        <w:pStyle w:val="ListParagraph"/>
        <w:numPr>
          <w:ilvl w:val="0"/>
          <w:numId w:val="64"/>
        </w:numPr>
        <w:rPr/>
      </w:pPr>
      <w:r>
        <w:rPr/>
        <w:t>Mover recursos humanos más competentes de los proyectos menos priorizados para los más priorizados. Detener si es necesario los proyectos de menor prioridad.</w:t>
      </w:r>
    </w:p>
    <w:p>
      <w:pPr>
        <w:pStyle w:val="ListParagraph"/>
        <w:numPr>
          <w:ilvl w:val="0"/>
          <w:numId w:val="34"/>
        </w:numPr>
        <w:rPr>
          <w:lang w:val="es-ES"/>
        </w:rPr>
      </w:pPr>
      <w:r>
        <w:rPr>
          <w:lang w:val="es-ES"/>
        </w:rPr>
        <w:t>Aproximadamente el 50% de los proyectos que tienen mal índice de ejecución o baja cantidad de RH evaluados de bien o regular la evaluación tienen mala ejecución.</w:t>
      </w:r>
    </w:p>
    <w:p>
      <w:pPr>
        <w:pStyle w:val="Normal"/>
        <w:ind w:left="720" w:hanging="0"/>
        <w:rPr/>
      </w:pPr>
      <w:r>
        <w:rPr/>
        <w:t>Los decisores identificaron en el 50 % de los proyectos que están mal en el momento del análisis o del corte, persisten dificultades en su producción en proceso, lo cual acarreará mayores conflictos con los clientes. Se recomendó que se tomaran medidas de forma inmediata que les permitiera recuperar los atrasos presentes.</w:t>
      </w:r>
    </w:p>
    <w:p>
      <w:pPr>
        <w:pStyle w:val="ListParagraph"/>
        <w:numPr>
          <w:ilvl w:val="0"/>
          <w:numId w:val="35"/>
        </w:numPr>
        <w:rPr>
          <w:lang w:val="es-ES"/>
        </w:rPr>
      </w:pPr>
      <w:r>
        <w:rPr>
          <w:lang w:val="es-ES"/>
        </w:rPr>
        <w:t>Pocos proyectos que tienen aproximadamente el 50% de los RH con baja competencia tienen perfecto el tiempo trabajado.</w:t>
      </w:r>
    </w:p>
    <w:p>
      <w:pPr>
        <w:pStyle w:val="Normal"/>
        <w:ind w:left="720" w:hanging="0"/>
        <w:rPr/>
      </w:pPr>
      <w:r>
        <w:rPr/>
        <w:t>A partir de este resumen y otros similares, los decisores notaron que existe alta dependencia de las competencias laborales con la eficiencia en el trabajo, ratificándose que son pocos los proyectos que tienen el 50% de los recursos humanos con bajas competencias y que logran una excelente gestión de tiempo. En este sentido, identificaron como posibles medidas:</w:t>
      </w:r>
    </w:p>
    <w:p>
      <w:pPr>
        <w:pStyle w:val="ListParagraph"/>
        <w:numPr>
          <w:ilvl w:val="0"/>
          <w:numId w:val="65"/>
        </w:numPr>
        <w:rPr/>
      </w:pPr>
      <w:r>
        <w:rPr/>
        <w:t>Elevar las competencias técnicas de los recursos humanos, así mejorar su desempeño.</w:t>
      </w:r>
    </w:p>
    <w:p>
      <w:pPr>
        <w:pStyle w:val="ListParagraph"/>
        <w:numPr>
          <w:ilvl w:val="0"/>
          <w:numId w:val="65"/>
        </w:numPr>
        <w:rPr/>
      </w:pPr>
      <w:r>
        <w:rPr>
          <w:lang w:val="es-ES"/>
        </w:rPr>
        <w:t>R</w:t>
      </w:r>
      <w:r>
        <w:rPr/>
        <w:t xml:space="preserve">eordenar los equipos </w:t>
      </w:r>
      <w:r>
        <w:rPr>
          <w:lang w:val="es-ES"/>
        </w:rPr>
        <w:t xml:space="preserve">de la organización </w:t>
      </w:r>
      <w:r>
        <w:rPr/>
        <w:t xml:space="preserve">en función de </w:t>
      </w:r>
      <w:r>
        <w:rPr>
          <w:lang w:val="es-ES"/>
        </w:rPr>
        <w:t>sus</w:t>
      </w:r>
      <w:r>
        <w:rPr/>
        <w:t xml:space="preserve"> competencias</w:t>
      </w:r>
      <w:r>
        <w:rPr>
          <w:lang w:val="es-ES"/>
        </w:rPr>
        <w:t>.</w:t>
      </w:r>
    </w:p>
    <w:p>
      <w:pPr>
        <w:pStyle w:val="ListParagraph"/>
        <w:numPr>
          <w:ilvl w:val="0"/>
          <w:numId w:val="36"/>
        </w:numPr>
        <w:rPr>
          <w:lang w:val="es-ES"/>
        </w:rPr>
      </w:pPr>
      <w:r>
        <w:rPr>
          <w:lang w:val="es-ES"/>
        </w:rPr>
        <w:t>Aproximadamente el 50% de los proyectos que tienen alta cantidad de RH evaluados de mal tienen perfecto el tiempo planificado.</w:t>
      </w:r>
    </w:p>
    <w:p>
      <w:pPr>
        <w:pStyle w:val="ListParagraph"/>
        <w:numPr>
          <w:ilvl w:val="0"/>
          <w:numId w:val="36"/>
        </w:numPr>
        <w:rPr>
          <w:lang w:val="es-ES"/>
        </w:rPr>
      </w:pPr>
      <w:r>
        <w:rPr>
          <w:lang w:val="es-ES"/>
        </w:rPr>
        <w:t>Muchos de los proyectos que tienen perfecto el tiempo planificado tienen alta cantidad de RH evaluados de mal.</w:t>
      </w:r>
    </w:p>
    <w:p>
      <w:pPr>
        <w:pStyle w:val="Normal"/>
        <w:ind w:left="720" w:hanging="0"/>
        <w:rPr/>
      </w:pPr>
      <w:r>
        <w:rPr/>
        <w:t>Este otro grupo de resúmenes lingüísticos a criterio de los decisores evidenciaron que existían proyectos donde los recursos humanos están alterando (falseando) los datos de la gestión del tiempo, porque no es posible que sus recursos humanos estén evaluados de mal y la gestión del tiempo esté excelente. Como medida, se propuso revisar los proyectos afectados y corregir la dificultad en la generación de la información.</w:t>
      </w:r>
    </w:p>
    <w:p>
      <w:pPr>
        <w:pStyle w:val="ListParagraph"/>
        <w:numPr>
          <w:ilvl w:val="0"/>
          <w:numId w:val="37"/>
        </w:numPr>
        <w:rPr>
          <w:lang w:val="es-ES"/>
        </w:rPr>
      </w:pPr>
      <w:r>
        <w:rPr>
          <w:lang w:val="es-ES"/>
        </w:rPr>
        <w:t>Aproximadamente el 50% de los proyectos que tienen regular el aprovechamiento de los RH o baja cantidad de RH evaluados de bien o regular desempeño de los RH o moderado fondo de tiempo tienen mala eficacia.</w:t>
      </w:r>
    </w:p>
    <w:p>
      <w:pPr>
        <w:pStyle w:val="ListParagraph"/>
        <w:numPr>
          <w:ilvl w:val="0"/>
          <w:numId w:val="37"/>
        </w:numPr>
        <w:rPr>
          <w:lang w:val="es-ES"/>
        </w:rPr>
      </w:pPr>
      <w:r>
        <w:rPr>
          <w:lang w:val="es-ES"/>
        </w:rPr>
        <w:t>Aproximadamente el 50% de los proyectos que tienen media la cantidad de RH evaluados de mal tienen mala eficacia.</w:t>
      </w:r>
    </w:p>
    <w:p>
      <w:pPr>
        <w:pStyle w:val="Normal"/>
        <w:ind w:left="720" w:hanging="0"/>
        <w:rPr/>
      </w:pPr>
      <w:r>
        <w:rPr/>
        <w:t xml:space="preserve">Los resúmenes sexto y séptimo evidencian que existe una marcada influencia de los recursos humanos en la calidad del proyecto. Cuando los recursos humanos están dedicando poco tiempo al desarrollo de las actividades, uno de los criterios que se afecta inmediatamente es la calidad. En este caso se propuso a los gestores de proyectos: </w:t>
      </w:r>
    </w:p>
    <w:p>
      <w:pPr>
        <w:pStyle w:val="ListParagraph"/>
        <w:numPr>
          <w:ilvl w:val="0"/>
          <w:numId w:val="67"/>
        </w:numPr>
        <w:rPr/>
      </w:pPr>
      <w:r>
        <w:rPr/>
        <w:t>Revisar la calidad y el tiempo que dedican los recursos humanos a las tareas asignadas.</w:t>
      </w:r>
    </w:p>
    <w:p>
      <w:pPr>
        <w:pStyle w:val="ListParagraph"/>
        <w:numPr>
          <w:ilvl w:val="0"/>
          <w:numId w:val="67"/>
        </w:numPr>
        <w:rPr/>
      </w:pPr>
      <w:r>
        <w:rPr/>
        <w:t>Planificar horas extras al equipo.</w:t>
      </w:r>
    </w:p>
    <w:p>
      <w:pPr>
        <w:pStyle w:val="ListParagraph"/>
        <w:numPr>
          <w:ilvl w:val="0"/>
          <w:numId w:val="67"/>
        </w:numPr>
        <w:rPr/>
      </w:pPr>
      <w:r>
        <w:rPr/>
        <w:t>Concentrar a los recursos humanos principales liberándolos de otras tareas que afecten su desempeño.</w:t>
      </w:r>
    </w:p>
    <w:p>
      <w:pPr>
        <w:pStyle w:val="Heading4"/>
        <w:numPr>
          <w:ilvl w:val="3"/>
          <w:numId w:val="80"/>
        </w:numPr>
        <w:rPr/>
      </w:pPr>
      <w:r>
        <w:rPr/>
        <w:t>Detección de errores en la planificación de proyectos</w:t>
      </w:r>
    </w:p>
    <w:p>
      <w:pPr>
        <w:pStyle w:val="Normal"/>
        <w:rPr/>
      </w:pPr>
      <w:r>
        <w:rPr/>
        <w:t>En el entorno de gestión de proyectos también se evaluó la capacidad de los algoritmos para la identificación de errores en la planificación de proyectos, detectando errores en los cronogramas con impacto en el tiempo y en los costos fundamentalmente. Para esta prueba se construyó una base de datos experimental de tareas y de recursos en proyectos. A esta base de datos se le introdujeron de forma controlada, algunos cambios que afectaron a menos del 5% de los registros asociados a modificaciones en los tiempos de duración de las tareas, o cambios en la cantidad de recursos humanos o no humanos que requerían.</w:t>
      </w:r>
    </w:p>
    <w:p>
      <w:pPr>
        <w:pStyle w:val="Normal"/>
        <w:rPr/>
      </w:pPr>
      <w:r>
        <w:rPr/>
        <w:t xml:space="preserve">Se aplicó el meta-algoritmo pero solo empleando los algoritmos orientados a la detección de datos anómalos con el objetivo de validar la capacidad de detección de datos anómalos </w:t>
      </w:r>
      <w:r>
        <w:fldChar w:fldCharType="begin"/>
      </w:r>
      <w:r>
        <w:instrText>ADDIN ZOTERO_ITEM CSL_CITATION {"citationID":"xKm4M9VD","properties":{"formattedCitation":"(P\\uc0\\u233{}rez Pupo, Pi\\uc0\\u241{}ero P\\uc0\\u233{}rez, Vacacela, et\\uc0\\u160{}al. 2020)","plainCitation":"(Pérez Pupo, Piñero Pérez, Vacacela, et al. 2020)","noteIndex":0},"citationItems":[{"id":"NJclqhNX/ApDoS2n4","uris":["http://zotero.org/users/local/rsuvzjK6/items/5UTLXIFQ"],"uri":["http://zotero.org/users/local/rsuvzjK6/items/5UTLXIFQ"],"itemData":{"id":3311,"type":"paper-conference","abstract":"Linguistic data summarization techniques help to discover complex relationships between variables and to present the information in natural language. There are some investigations associated to algorithms to build linguistic summaries. But the literature does no report investigations concerned with combination linguistic data summarization techniques and outliers’ mining applied to planning of software project. In particular, outliers’ mining is a datamining technique, useful in errors and fraud detection. In this work authors present new algorithms to build linguistic data summaries from outliers in software project planning context. Besides, authors compare different outliers’ detection algorithms in software project planning context. The main motivation of this work is to detect planning errors in projects, to avoid high cost and time delays. Authors consider that the combination of outliers’ mining and linguistic data summarization support project managers to decision-making process in the software project planning. Finally, authors present the interpretation of obtained summaries and comment about its impact..","collection-title":"12179 LNAI","container-title":"International Joint Conference on Rough Sets. Lecture Notes in Computer Science ISSN 0302-9743, Springer, 12179 LNAI, ISBN 978-3-030-52704-4","DOI":"10.1007/978-3-030-52705-1_27","page":"365–375","publisher":"Lecture Notes in Computer Science, Springer","title":"Discovering Fails in Software Projects Planning Based on Linguistic Summaries","URL":"https://link.springer.com/content/pdf/10.1007%2F978-3-030-52705-1_27.pdf","author":[{"family":"Pérez Pupo","given":"Iliana"},{"family":"Piñero Pérez","given":"Pedro Yobani"},{"family":"Vacacela","given":"Roberto García"},{"family":"Bello","given":"Rafael"},{"family":"Acuña","given":"Luis Alvarado"}],"issued":{"date-parts":[["2020"]]}}}],"schema":"https://github.com/citation-style-language/schema/raw/master/csl-citation.json"}</w:instrText>
      </w:r>
      <w:r>
        <w:fldChar w:fldCharType="separate"/>
      </w:r>
      <w:bookmarkStart w:id="3621" w:name="__Fieldmark__19626_2067855929"/>
      <w:r>
        <w:rPr/>
      </w:r>
      <w:r>
        <w:rPr>
          <w:szCs w:val="24"/>
        </w:rPr>
        <w:t>(</w:t>
      </w:r>
      <w:bookmarkStart w:id="3622" w:name="__Fieldmark__17882_498839314"/>
      <w:r>
        <w:rPr>
          <w:szCs w:val="24"/>
        </w:rPr>
        <w:t>P</w:t>
      </w:r>
      <w:bookmarkStart w:id="3623" w:name="__Fieldmark__16742_998588997"/>
      <w:r>
        <w:rPr>
          <w:szCs w:val="24"/>
        </w:rPr>
        <w:t>é</w:t>
      </w:r>
      <w:bookmarkStart w:id="3624" w:name="__Fieldmark__21838_118561941"/>
      <w:r>
        <w:rPr>
          <w:szCs w:val="24"/>
        </w:rPr>
        <w:t>rez Pupo, Piñero Pérez, Vacacela, et al. 2020)</w:t>
      </w:r>
      <w:r>
        <w:rPr/>
      </w:r>
      <w:r>
        <w:fldChar w:fldCharType="end"/>
      </w:r>
      <w:bookmarkEnd w:id="3621"/>
      <w:bookmarkEnd w:id="3622"/>
      <w:bookmarkEnd w:id="3623"/>
      <w:bookmarkEnd w:id="3624"/>
      <w:r>
        <w:rPr/>
        <w:t>. Algunos de los resúmenes lingüísticos obtenidos se muestran a continuación:</w:t>
      </w:r>
    </w:p>
    <w:p>
      <w:pPr>
        <w:pStyle w:val="ListParagraph"/>
        <w:numPr>
          <w:ilvl w:val="0"/>
          <w:numId w:val="28"/>
        </w:numPr>
        <w:rPr>
          <w:lang w:val="es-ES"/>
        </w:rPr>
      </w:pPr>
      <w:r>
        <w:rPr>
          <w:lang w:val="es-ES"/>
        </w:rPr>
        <w:t>Aproximadamente el 50% de los proyectos anómalos tienen muy alta cantidad de tareas planificadas para los recursos humanos.</w:t>
      </w:r>
    </w:p>
    <w:p>
      <w:pPr>
        <w:pStyle w:val="Normal"/>
        <w:ind w:left="1080" w:hanging="0"/>
        <w:rPr/>
      </w:pPr>
      <w:r>
        <w:rPr/>
        <w:t>Este resumen significa que alrededor de la mitad de los “proyectos anómalos” han planificado en exceso la cantidad de tareas asignadas a los recursos humanos, creando sobrecarga de trabajo, aumentando la probabilidad de riesgos que afecten el cumplimiento de los cronogramas de proyecto. En este sentido, para disminuir la sobrecarga de tiempo, se tomaron las siguientes medidas:</w:t>
      </w:r>
    </w:p>
    <w:p>
      <w:pPr>
        <w:pStyle w:val="ListParagraph"/>
        <w:numPr>
          <w:ilvl w:val="0"/>
          <w:numId w:val="66"/>
        </w:numPr>
        <w:rPr/>
      </w:pPr>
      <w:r>
        <w:rPr/>
        <w:t>Priorizar las tareas</w:t>
      </w:r>
      <w:r>
        <w:rPr>
          <w:lang w:val="es-ES"/>
        </w:rPr>
        <w:t xml:space="preserve"> </w:t>
      </w:r>
      <w:r>
        <w:rPr/>
        <w:t>y renegociar los tiempos en caso necesario.</w:t>
      </w:r>
    </w:p>
    <w:p>
      <w:pPr>
        <w:pStyle w:val="ListParagraph"/>
        <w:numPr>
          <w:ilvl w:val="0"/>
          <w:numId w:val="66"/>
        </w:numPr>
        <w:rPr/>
      </w:pPr>
      <w:r>
        <w:rPr/>
        <w:t>Revisar qué tareas se pueden paralelizar y proceder con otros recursos humanos en las tareas menos priorizadas (subcontratar)</w:t>
      </w:r>
      <w:r>
        <w:rPr>
          <w:lang w:val="es-ES"/>
        </w:rPr>
        <w:t>.</w:t>
      </w:r>
    </w:p>
    <w:p>
      <w:pPr>
        <w:pStyle w:val="ListParagraph"/>
        <w:numPr>
          <w:ilvl w:val="0"/>
          <w:numId w:val="28"/>
        </w:numPr>
        <w:rPr>
          <w:lang w:val="es-ES"/>
        </w:rPr>
      </w:pPr>
      <w:r>
        <w:rPr>
          <w:lang w:val="es-ES"/>
        </w:rPr>
        <w:t xml:space="preserve">Cercano al 33% de los proyectos </w:t>
      </w:r>
      <w:r>
        <w:rPr/>
        <w:t>anómalos</w:t>
      </w:r>
      <w:r>
        <w:rPr>
          <w:lang w:val="es-ES"/>
        </w:rPr>
        <w:t xml:space="preserve"> tienen muy alta tarifa horaria de recursos humanos.</w:t>
      </w:r>
    </w:p>
    <w:p>
      <w:pPr>
        <w:pStyle w:val="Normal"/>
        <w:ind w:left="1080" w:hanging="0"/>
        <w:rPr/>
      </w:pPr>
      <w:r>
        <w:rPr/>
        <w:t>Este segundo resumen representa que el costo de recursos humanos en esos proyectos está sobre-planificado.</w:t>
      </w:r>
    </w:p>
    <w:p>
      <w:pPr>
        <w:pStyle w:val="ListParagraph"/>
        <w:numPr>
          <w:ilvl w:val="0"/>
          <w:numId w:val="28"/>
        </w:numPr>
        <w:rPr>
          <w:lang w:val="es-ES"/>
        </w:rPr>
      </w:pPr>
      <w:r>
        <w:rPr>
          <w:lang w:val="es-ES"/>
        </w:rPr>
        <w:t>Cercano al 33% de los proyectos anómalos tienen muy alta cantidad de recursos materiales planificados.</w:t>
      </w:r>
    </w:p>
    <w:p>
      <w:pPr>
        <w:pStyle w:val="ListParagraph"/>
        <w:numPr>
          <w:ilvl w:val="0"/>
          <w:numId w:val="28"/>
        </w:numPr>
        <w:rPr>
          <w:lang w:val="es-ES"/>
        </w:rPr>
      </w:pPr>
      <w:r>
        <w:rPr>
          <w:lang w:val="es-ES"/>
        </w:rPr>
        <w:t>Cercano al 33% de los proyectos anómalos que tienen alto plan de recursos materiales tienen alta tarifa horaria del equipamiento contratado.</w:t>
      </w:r>
    </w:p>
    <w:p>
      <w:pPr>
        <w:pStyle w:val="Normal"/>
        <w:ind w:left="1080" w:hanging="0"/>
        <w:rPr/>
      </w:pPr>
      <w:r>
        <w:rPr/>
        <w:t>Los resúmenes tercero y cuarto representan que en esos proyectos se han planificado en exceso los recursos materiales, y algunos de ellos, tienen una taza de costo de equipo sobre planificada. De ahí, como medidas aplicadas están:</w:t>
      </w:r>
    </w:p>
    <w:p>
      <w:pPr>
        <w:pStyle w:val="ListParagraph"/>
        <w:numPr>
          <w:ilvl w:val="0"/>
          <w:numId w:val="68"/>
        </w:numPr>
        <w:rPr/>
      </w:pPr>
      <w:r>
        <w:rPr/>
        <w:t>Identificación y selección de alternativas más económicas sin afectar significativamente la calidad.</w:t>
      </w:r>
    </w:p>
    <w:p>
      <w:pPr>
        <w:pStyle w:val="ListParagraph"/>
        <w:numPr>
          <w:ilvl w:val="0"/>
          <w:numId w:val="68"/>
        </w:numPr>
        <w:rPr/>
      </w:pPr>
      <w:r>
        <w:rPr/>
        <w:t>Revisión de los contratos y ajuste de los métodos de gestión logística priorizando los proyectos adecuadamente</w:t>
      </w:r>
      <w:r>
        <w:rPr>
          <w:lang w:val="es-ES"/>
        </w:rPr>
        <w:t>.</w:t>
      </w:r>
    </w:p>
    <w:p>
      <w:pPr>
        <w:pStyle w:val="ListParagraph"/>
        <w:numPr>
          <w:ilvl w:val="0"/>
          <w:numId w:val="28"/>
        </w:numPr>
        <w:rPr>
          <w:lang w:val="es-ES"/>
        </w:rPr>
      </w:pPr>
      <w:r>
        <w:rPr>
          <w:lang w:val="es-ES"/>
        </w:rPr>
        <w:t>Cercano al 33% de los proyectos anómalos que tienen alta cantidad de tareas planificadas para los recursos humanos tienen muy alta cantidad de tiempo real dedicado.</w:t>
      </w:r>
    </w:p>
    <w:p>
      <w:pPr>
        <w:pStyle w:val="Normal"/>
        <w:ind w:left="1080" w:hanging="0"/>
        <w:rPr/>
      </w:pPr>
      <w:r>
        <w:rPr/>
        <w:t>De este quinto resumen lingüístico se interpreta que, en algunos casos, el número de recursos humanos se planificó por debajo del número real de recursos humanos utilizados.</w:t>
      </w:r>
    </w:p>
    <w:p>
      <w:pPr>
        <w:pStyle w:val="Normal"/>
        <w:rPr/>
      </w:pPr>
      <w:r>
        <w:rPr/>
        <w:t>A partir del análisis de estos resúmenes lingüísticos sobre elementos anómalos durante la planificación de proyectos, se identifica que en su mayoría, se refieren a la sobreestimación de los recursos humanos en las tareas del proyecto, por lo tanto, incurren en costos más altos por usar más recursos de lo planeado. La detección de estos tipos de resúmenes lingüísticos ayuda a los gerentes de proyectos a corregir errores en la programación del proyecto y detectar el costo excesivo del mismo.</w:t>
      </w:r>
    </w:p>
    <w:p>
      <w:pPr>
        <w:pStyle w:val="Heading4"/>
        <w:numPr>
          <w:ilvl w:val="3"/>
          <w:numId w:val="80"/>
        </w:numPr>
        <w:rPr/>
      </w:pPr>
      <w:r>
        <w:rPr/>
        <w:t>Resumen del análisis multicriterio en el entorno de gestión de proyectos</w:t>
      </w:r>
    </w:p>
    <w:p>
      <w:pPr>
        <w:pStyle w:val="Normal"/>
        <w:rPr/>
      </w:pPr>
      <w:r>
        <mc:AlternateContent>
          <mc:Choice Requires="wps">
            <w:drawing>
              <wp:anchor behindDoc="0" distT="0" distB="0" distL="114300" distR="114300" simplePos="0" locked="0" layoutInCell="1" allowOverlap="1" relativeHeight="10" wp14:anchorId="7B226054">
                <wp:simplePos x="0" y="0"/>
                <wp:positionH relativeFrom="column">
                  <wp:posOffset>2791460</wp:posOffset>
                </wp:positionH>
                <wp:positionV relativeFrom="paragraph">
                  <wp:posOffset>1790700</wp:posOffset>
                </wp:positionV>
                <wp:extent cx="2832735" cy="525145"/>
                <wp:effectExtent l="0" t="0" r="0" b="0"/>
                <wp:wrapSquare wrapText="bothSides"/>
                <wp:docPr id="126" name="Text Box 33"/>
                <a:graphic xmlns:a="http://schemas.openxmlformats.org/drawingml/2006/main">
                  <a:graphicData uri="http://schemas.microsoft.com/office/word/2010/wordprocessingShape">
                    <wps:wsp>
                      <wps:cNvSpPr/>
                      <wps:spPr>
                        <a:xfrm>
                          <a:off x="0" y="0"/>
                          <a:ext cx="2832120" cy="524520"/>
                        </a:xfrm>
                        <a:prstGeom prst="rect">
                          <a:avLst/>
                        </a:prstGeom>
                        <a:solidFill>
                          <a:srgbClr val="ffffff"/>
                        </a:solidFill>
                        <a:ln>
                          <a:noFill/>
                        </a:ln>
                      </wps:spPr>
                      <wps:style>
                        <a:lnRef idx="0"/>
                        <a:fillRef idx="0"/>
                        <a:effectRef idx="0"/>
                        <a:fontRef idx="minor"/>
                      </wps:style>
                      <wps:txbx>
                        <w:txbxContent>
                          <w:p>
                            <w:pPr>
                              <w:pStyle w:val="Caption1"/>
                              <w:overflowPunct w:val="true"/>
                              <w:spacing w:before="0" w:after="60"/>
                              <w:ind w:left="170" w:hanging="170"/>
                              <w:jc w:val="center"/>
                              <w:textAlignment w:val="auto"/>
                              <w:rPr/>
                            </w:pPr>
                            <w:bookmarkStart w:id="3625" w:name="_Toc84599031"/>
                            <w:bookmarkStart w:id="3626" w:name="_Ref77829122"/>
                            <w:r>
                              <w:rPr>
                                <w:color w:val="00000A"/>
                              </w:rPr>
                              <w:t xml:space="preserve">Figura </w:t>
                            </w:r>
                            <w:r>
                              <w:rPr>
                                <w:color w:val="00000A"/>
                              </w:rPr>
                              <w:fldChar w:fldCharType="begin"/>
                            </w:r>
                            <w:r>
                              <w:instrText> SEQ Figura \* ARABIC </w:instrText>
                            </w:r>
                            <w:r>
                              <w:fldChar w:fldCharType="separate"/>
                            </w:r>
                            <w:r>
                              <w:t>24</w:t>
                            </w:r>
                            <w:r>
                              <w:fldChar w:fldCharType="end"/>
                            </w:r>
                            <w:bookmarkEnd w:id="3625"/>
                            <w:bookmarkEnd w:id="3626"/>
                            <w:r>
                              <w:rPr>
                                <w:color w:val="00000A"/>
                              </w:rPr>
                              <w:t>: Resultados de la agregación de las preferencias de los expertos en gestión de proyectos.</w:t>
                            </w:r>
                          </w:p>
                        </w:txbxContent>
                      </wps:txbx>
                      <wps:bodyPr lIns="0" rIns="0" tIns="0" bIns="0">
                        <a:prstTxWarp prst="textNoShape"/>
                        <a:spAutoFit/>
                      </wps:bodyPr>
                    </wps:wsp>
                  </a:graphicData>
                </a:graphic>
              </wp:anchor>
            </w:drawing>
          </mc:Choice>
          <mc:Fallback>
            <w:pict>
              <v:rect id="shape_0" ID="Text Box 33" fillcolor="white" stroked="f" style="position:absolute;margin-left:219.8pt;margin-top:141pt;width:222.95pt;height:41.25pt" wp14:anchorId="7B226054">
                <w10:wrap type="square"/>
                <v:fill o:detectmouseclick="t" type="solid" color2="black"/>
                <v:stroke color="#3465a4" joinstyle="round" endcap="flat"/>
                <v:textbox>
                  <w:txbxContent>
                    <w:p>
                      <w:pPr>
                        <w:pStyle w:val="Caption1"/>
                        <w:overflowPunct w:val="true"/>
                        <w:spacing w:before="0" w:after="60"/>
                        <w:ind w:left="170" w:hanging="170"/>
                        <w:jc w:val="center"/>
                        <w:textAlignment w:val="auto"/>
                        <w:rPr/>
                      </w:pPr>
                      <w:bookmarkStart w:id="3627" w:name="_Toc84599031"/>
                      <w:bookmarkStart w:id="3628" w:name="_Ref77829122"/>
                      <w:r>
                        <w:rPr>
                          <w:color w:val="00000A"/>
                        </w:rPr>
                        <w:t xml:space="preserve">Figura </w:t>
                      </w:r>
                      <w:r>
                        <w:rPr>
                          <w:color w:val="00000A"/>
                        </w:rPr>
                        <w:fldChar w:fldCharType="begin"/>
                      </w:r>
                      <w:r>
                        <w:instrText> SEQ Figura \* ARABIC </w:instrText>
                      </w:r>
                      <w:r>
                        <w:fldChar w:fldCharType="separate"/>
                      </w:r>
                      <w:r>
                        <w:t>24</w:t>
                      </w:r>
                      <w:r>
                        <w:fldChar w:fldCharType="end"/>
                      </w:r>
                      <w:bookmarkEnd w:id="3627"/>
                      <w:bookmarkEnd w:id="3628"/>
                      <w:r>
                        <w:rPr>
                          <w:color w:val="00000A"/>
                        </w:rPr>
                        <w:t>: Resultados de la agregación de las preferencias de los expertos en gestión de proyectos.</w:t>
                      </w:r>
                    </w:p>
                  </w:txbxContent>
                </v:textbox>
              </v:rect>
            </w:pict>
          </mc:Fallback>
        </mc:AlternateContent>
      </w:r>
      <w:r>
        <w:rPr/>
        <w:t xml:space="preserve">En la aplicación del método de análisis multicriterio (ver Procedimiento 1), participaron 5 expertos en Gestión de Proyectos, ver </w:t>
      </w:r>
      <w:r>
        <w:rPr/>
        <w:fldChar w:fldCharType="begin"/>
      </w:r>
      <w:r>
        <w:instrText> REF _Ref75873660 \h </w:instrText>
      </w:r>
      <w:r>
        <w:fldChar w:fldCharType="separate"/>
      </w:r>
      <w:r>
        <w:t>Tabla 27</w:t>
      </w:r>
      <w:r>
        <w:fldChar w:fldCharType="end"/>
      </w:r>
      <w:r>
        <w:rPr/>
        <w:t xml:space="preserve"> del </w:t>
      </w:r>
      <w:r>
        <w:rPr/>
        <w:fldChar w:fldCharType="begin"/>
      </w:r>
      <w:r>
        <w:instrText> REF _Ref75873631 \h </w:instrText>
      </w:r>
      <w:r>
        <w:fldChar w:fldCharType="separate"/>
      </w:r>
      <w:r>
        <w:t>Anexo 11</w:t>
      </w:r>
      <w:r>
        <w:fldChar w:fldCharType="end"/>
      </w:r>
      <w:r>
        <w:rPr/>
        <w:t xml:space="preserve">, los cuales completaron el formulario de evaluación recogido en la </w:t>
      </w:r>
      <w:r>
        <w:rPr/>
        <w:fldChar w:fldCharType="begin"/>
      </w:r>
      <w:r>
        <w:instrText> REF _Ref76044012 \h </w:instrText>
      </w:r>
      <w:r>
        <w:fldChar w:fldCharType="separate"/>
      </w:r>
      <w:r>
        <w:t>Tabla 29</w:t>
      </w:r>
      <w:r>
        <w:fldChar w:fldCharType="end"/>
      </w:r>
      <w:r>
        <w:rPr/>
        <w:t xml:space="preserve"> del </w:t>
      </w:r>
      <w:r>
        <w:rPr/>
        <w:fldChar w:fldCharType="begin"/>
      </w:r>
      <w:r>
        <w:instrText> REF _Ref76044028 \h </w:instrText>
      </w:r>
      <w:r>
        <w:fldChar w:fldCharType="separate"/>
      </w:r>
      <w:r>
        <w:t>Anexo 12</w:t>
      </w:r>
      <w:r>
        <w:fldChar w:fldCharType="end"/>
      </w:r>
      <w:r>
        <w:rPr/>
        <w:t xml:space="preserve"> donde evalúan los resúmenes respecto a 11 criterios. De ellos, los criterios C3 y C7 están orientados a medir el indicador </w:t>
      </w:r>
      <w:r>
        <w:rPr/>
        <w:drawing>
          <wp:inline distT="0" distB="0" distL="0" distR="0">
            <wp:extent cx="2830195" cy="1725295"/>
            <wp:effectExtent l="0" t="0" r="0" b="0"/>
            <wp:docPr id="12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t>“interpretabilidad de resúmenes” mientras que el resto está orientado a evaluar la “facilidad para la toma de decisiones”.</w:t>
      </w:r>
    </w:p>
    <w:p>
      <w:pPr>
        <w:pStyle w:val="Normal"/>
        <w:rPr/>
      </w:pPr>
      <w:r>
        <w:rPr/>
        <w:t xml:space="preserve">A partir del análisis se obtienen los resultados de la </w:t>
      </w:r>
      <w:r>
        <w:rPr/>
        <w:fldChar w:fldCharType="begin"/>
      </w:r>
      <w:r>
        <w:instrText> REF _Ref77829122 \h </w:instrText>
      </w:r>
      <w:r>
        <w:fldChar w:fldCharType="separate"/>
      </w:r>
      <w:r>
        <w:t>Figura 24</w:t>
      </w:r>
      <w:r>
        <w:fldChar w:fldCharType="end"/>
      </w:r>
      <w:r>
        <w:rPr/>
        <w:t xml:space="preserve"> donde se muestran las preferencias agregadas de los expertos y los resultados de la </w:t>
      </w:r>
      <w:r>
        <w:rPr/>
        <w:fldChar w:fldCharType="begin"/>
      </w:r>
      <w:r>
        <w:instrText> REF _Ref77829151 \h </w:instrText>
      </w:r>
      <w:r>
        <w:fldChar w:fldCharType="separate"/>
      </w:r>
      <w:r>
        <w:t>Figura 25</w:t>
      </w:r>
      <w:r>
        <w:fldChar w:fldCharType="end"/>
      </w:r>
      <w:r>
        <w:rPr/>
        <w:t xml:space="preserve"> que muestra la dispersión en las preferencias. En general se obtienen los siguientes resultados:</w:t>
      </w:r>
    </w:p>
    <w:p>
      <w:pPr>
        <w:pStyle w:val="ListParagraph"/>
        <w:numPr>
          <w:ilvl w:val="0"/>
          <w:numId w:val="71"/>
        </w:numPr>
        <w:ind w:left="426" w:hanging="360"/>
        <w:rPr/>
      </w:pPr>
      <w:r>
        <w:rPr/>
        <w:drawing>
          <wp:inline distT="0" distB="0" distL="0" distR="0">
            <wp:extent cx="1876425" cy="1995170"/>
            <wp:effectExtent l="0" t="0" r="0" b="0"/>
            <wp:docPr id="12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t>Respecto a la “interpretabilidad de</w:t>
      </w:r>
      <w:r>
        <w:rPr>
          <w:lang w:val="es-ES"/>
        </w:rPr>
        <w:t xml:space="preserve"> los</w:t>
      </w:r>
      <w:r>
        <w:rPr/>
        <w:t xml:space="preserve"> resúmenes” se obtuvo una alta evaluación con una baja dispersión en las opiniones.</w:t>
      </w:r>
    </w:p>
    <w:p>
      <w:pPr>
        <w:pStyle w:val="ListParagraph"/>
        <w:numPr>
          <w:ilvl w:val="0"/>
          <w:numId w:val="71"/>
        </w:numPr>
        <w:ind w:left="426" w:hanging="360"/>
        <w:rPr/>
      </w:pPr>
      <w:r>
        <mc:AlternateContent>
          <mc:Choice Requires="wps">
            <w:drawing>
              <wp:anchor behindDoc="0" distT="0" distB="0" distL="114300" distR="114300" simplePos="0" locked="0" layoutInCell="1" allowOverlap="1" relativeHeight="3" wp14:anchorId="6B9F5297">
                <wp:simplePos x="0" y="0"/>
                <wp:positionH relativeFrom="column">
                  <wp:posOffset>3585845</wp:posOffset>
                </wp:positionH>
                <wp:positionV relativeFrom="paragraph">
                  <wp:posOffset>1332230</wp:posOffset>
                </wp:positionV>
                <wp:extent cx="1878965" cy="715010"/>
                <wp:effectExtent l="0" t="0" r="0" b="0"/>
                <wp:wrapSquare wrapText="bothSides"/>
                <wp:docPr id="130" name="Text Box 34"/>
                <a:graphic xmlns:a="http://schemas.openxmlformats.org/drawingml/2006/main">
                  <a:graphicData uri="http://schemas.microsoft.com/office/word/2010/wordprocessingShape">
                    <wps:wsp>
                      <wps:cNvSpPr/>
                      <wps:spPr>
                        <a:xfrm>
                          <a:off x="0" y="0"/>
                          <a:ext cx="1878480" cy="714240"/>
                        </a:xfrm>
                        <a:prstGeom prst="rect">
                          <a:avLst/>
                        </a:prstGeom>
                        <a:solidFill>
                          <a:srgbClr val="ffffff"/>
                        </a:solidFill>
                        <a:ln>
                          <a:noFill/>
                        </a:ln>
                      </wps:spPr>
                      <wps:style>
                        <a:lnRef idx="0"/>
                        <a:fillRef idx="0"/>
                        <a:effectRef idx="0"/>
                        <a:fontRef idx="minor"/>
                      </wps:style>
                      <wps:txbx>
                        <w:txbxContent>
                          <w:p>
                            <w:pPr>
                              <w:pStyle w:val="Caption1"/>
                              <w:overflowPunct w:val="true"/>
                              <w:spacing w:before="0" w:after="60"/>
                              <w:ind w:left="170" w:hanging="170"/>
                              <w:jc w:val="center"/>
                              <w:textAlignment w:val="auto"/>
                              <w:rPr/>
                            </w:pPr>
                            <w:bookmarkStart w:id="3629" w:name="_Toc84599032"/>
                            <w:bookmarkStart w:id="3630" w:name="_Ref77829151"/>
                            <w:r>
                              <w:rPr>
                                <w:color w:val="00000A"/>
                              </w:rPr>
                              <w:t xml:space="preserve">Figura </w:t>
                            </w:r>
                            <w:r>
                              <w:rPr>
                                <w:color w:val="00000A"/>
                              </w:rPr>
                              <w:fldChar w:fldCharType="begin"/>
                            </w:r>
                            <w:r>
                              <w:instrText> SEQ Figura \* ARABIC </w:instrText>
                            </w:r>
                            <w:r>
                              <w:fldChar w:fldCharType="separate"/>
                            </w:r>
                            <w:r>
                              <w:t>25</w:t>
                            </w:r>
                            <w:r>
                              <w:fldChar w:fldCharType="end"/>
                            </w:r>
                            <w:bookmarkEnd w:id="3629"/>
                            <w:bookmarkEnd w:id="3630"/>
                            <w:r>
                              <w:rPr>
                                <w:color w:val="00000A"/>
                              </w:rPr>
                              <w:t>: Dispersión de opiniones de expertos por criterio, en el caso de estudio sobre gestión de proyectos.</w:t>
                            </w:r>
                          </w:p>
                        </w:txbxContent>
                      </wps:txbx>
                      <wps:bodyPr lIns="0" rIns="0" tIns="0" bIns="0">
                        <a:prstTxWarp prst="textNoShape"/>
                        <a:spAutoFit/>
                      </wps:bodyPr>
                    </wps:wsp>
                  </a:graphicData>
                </a:graphic>
              </wp:anchor>
            </w:drawing>
          </mc:Choice>
          <mc:Fallback>
            <w:pict>
              <v:rect id="shape_0" ID="Text Box 34" fillcolor="white" stroked="f" style="position:absolute;margin-left:282.35pt;margin-top:104.9pt;width:147.85pt;height:56.2pt" wp14:anchorId="6B9F5297">
                <w10:wrap type="square"/>
                <v:fill o:detectmouseclick="t" type="solid" color2="black"/>
                <v:stroke color="#3465a4" joinstyle="round" endcap="flat"/>
                <v:textbox>
                  <w:txbxContent>
                    <w:p>
                      <w:pPr>
                        <w:pStyle w:val="Caption1"/>
                        <w:overflowPunct w:val="true"/>
                        <w:spacing w:before="0" w:after="60"/>
                        <w:ind w:left="170" w:hanging="170"/>
                        <w:jc w:val="center"/>
                        <w:textAlignment w:val="auto"/>
                        <w:rPr/>
                      </w:pPr>
                      <w:bookmarkStart w:id="3631" w:name="_Toc84599032"/>
                      <w:bookmarkStart w:id="3632" w:name="_Ref77829151"/>
                      <w:r>
                        <w:rPr>
                          <w:color w:val="00000A"/>
                        </w:rPr>
                        <w:t xml:space="preserve">Figura </w:t>
                      </w:r>
                      <w:r>
                        <w:rPr>
                          <w:color w:val="00000A"/>
                        </w:rPr>
                        <w:fldChar w:fldCharType="begin"/>
                      </w:r>
                      <w:r>
                        <w:instrText> SEQ Figura \* ARABIC </w:instrText>
                      </w:r>
                      <w:r>
                        <w:fldChar w:fldCharType="separate"/>
                      </w:r>
                      <w:r>
                        <w:t>25</w:t>
                      </w:r>
                      <w:r>
                        <w:fldChar w:fldCharType="end"/>
                      </w:r>
                      <w:bookmarkEnd w:id="3631"/>
                      <w:bookmarkEnd w:id="3632"/>
                      <w:r>
                        <w:rPr>
                          <w:color w:val="00000A"/>
                        </w:rPr>
                        <w:t>: Dispersión de opiniones de expertos por criterio, en el caso de estudio sobre gestión de proyectos.</w:t>
                      </w:r>
                    </w:p>
                  </w:txbxContent>
                </v:textbox>
              </v:rect>
            </w:pict>
          </mc:Fallback>
        </mc:AlternateContent>
      </w:r>
      <w:r>
        <w:rPr/>
        <w:t xml:space="preserve">Respecto a la “facilidad para la toma de decisiones”, la mayoría de los criterios fueron evaluados con altos valores a </w:t>
      </w:r>
      <w:r>
        <w:rPr>
          <w:lang w:val="es-ES"/>
        </w:rPr>
        <w:t>la</w:t>
      </w:r>
      <w:r>
        <w:rPr/>
        <w:t xml:space="preserve"> vez </w:t>
      </w:r>
      <w:r>
        <w:rPr>
          <w:lang w:val="es-ES"/>
        </w:rPr>
        <w:t xml:space="preserve">que </w:t>
      </w:r>
      <w:r>
        <w:rPr/>
        <w:t>presentan baja dispersión en las opiniones; excepto los criterios C</w:t>
      </w:r>
      <w:r>
        <w:rPr>
          <w:lang w:val="es-ES"/>
        </w:rPr>
        <w:t>4</w:t>
      </w:r>
      <w:r>
        <w:rPr/>
        <w:t xml:space="preserve"> y C</w:t>
      </w:r>
      <w:r>
        <w:rPr>
          <w:lang w:val="es-ES"/>
        </w:rPr>
        <w:t>6</w:t>
      </w:r>
      <w:r>
        <w:rPr/>
        <w:t xml:space="preserve">, que aunque fueron evaluados con altas calificaciones, presentan mayor dispersión respecto al resto, como se muestra en la </w:t>
      </w:r>
      <w:r>
        <w:rPr/>
        <w:fldChar w:fldCharType="begin"/>
      </w:r>
      <w:r>
        <w:instrText> REF _Ref77829151 \h </w:instrText>
      </w:r>
      <w:r>
        <w:fldChar w:fldCharType="separate"/>
      </w:r>
      <w:r>
        <w:t>Figura 25</w:t>
      </w:r>
      <w:r>
        <w:fldChar w:fldCharType="end"/>
      </w:r>
      <w:r>
        <w:rPr>
          <w:lang w:val="es-ES"/>
        </w:rPr>
        <w:t>.</w:t>
      </w:r>
    </w:p>
    <w:p>
      <w:pPr>
        <w:pStyle w:val="Normal"/>
        <w:rPr/>
      </w:pPr>
      <w:r>
        <w:rPr/>
        <w:t>Se demuestra que los resúmenes generados por los algoritmos propuestos son fácilmente interpretables por los expertos y útiles para la toma de decisiones.</w:t>
      </w:r>
    </w:p>
    <w:p>
      <w:pPr>
        <w:pStyle w:val="Normal"/>
        <w:rPr/>
      </w:pPr>
      <w:r>
        <w:rPr/>
        <w:t xml:space="preserve">También se aplicó el coeficiente de correlación </w:t>
      </w:r>
      <w:r>
        <w:rPr>
          <w:i/>
          <w:iCs/>
        </w:rPr>
        <w:t>R</w:t>
      </w:r>
      <w:r>
        <w:rPr>
          <w:i/>
          <w:iCs/>
          <w:vertAlign w:val="subscript"/>
        </w:rPr>
        <w:t>WG</w:t>
      </w:r>
      <w:r>
        <w:rPr/>
        <w:t xml:space="preserve"> </w:t>
      </w:r>
      <w:r>
        <w:fldChar w:fldCharType="begin"/>
      </w:r>
      <w:r>
        <w:instrText>ADDIN ZOTERO_ITEM CSL_CITATION {"citationID":"c1Hh6is2","properties":{"formattedCitation":"(Benavente Reche 2009)","plainCitation":"(Benavente Reche 2009)","noteIndex":0},"citationItems":[{"id":3436,"uris":["http://zotero.org/users/local/EJ15hJE2/items/36IC57NA"],"uri":["http://zotero.org/users/local/EJ15hJE2/items/36IC57NA"],"itemData":{"id":3436,"type":"thesis","genre":"PhD Thesis","publisher":"Facultad de Psicología, Universidad de Murcia","title":"Medidas de acuerdo y de sesgo entre jueces","author":[{"family":"Benavente Reche","given":"Ana Pilar"}],"issued":{"date-parts":[["2009"]]}}}],"schema":"https://github.com/citation-style-language/schema/raw/master/csl-citation.json"}</w:instrText>
      </w:r>
      <w:r>
        <w:fldChar w:fldCharType="separate"/>
      </w:r>
      <w:bookmarkStart w:id="3633" w:name="__Fieldmark__19753_2067855929"/>
      <w:r>
        <w:rPr/>
      </w:r>
      <w:r>
        <w:rPr>
          <w:szCs w:val="24"/>
        </w:rPr>
        <w:t>(</w:t>
      </w:r>
      <w:bookmarkStart w:id="3634" w:name="__Fieldmark__17989_498839314"/>
      <w:r>
        <w:rPr>
          <w:szCs w:val="24"/>
        </w:rPr>
        <w:t>B</w:t>
      </w:r>
      <w:bookmarkStart w:id="3635" w:name="__Fieldmark__16845_998588997"/>
      <w:r>
        <w:rPr>
          <w:szCs w:val="24"/>
        </w:rPr>
        <w:t>e</w:t>
      </w:r>
      <w:bookmarkStart w:id="3636" w:name="__Fieldmark__22049_118561941"/>
      <w:r>
        <w:rPr>
          <w:szCs w:val="24"/>
        </w:rPr>
        <w:t>navente Reche 2009)</w:t>
      </w:r>
      <w:r>
        <w:rPr/>
      </w:r>
      <w:r>
        <w:fldChar w:fldCharType="end"/>
      </w:r>
      <w:bookmarkEnd w:id="3633"/>
      <w:bookmarkEnd w:id="3634"/>
      <w:bookmarkEnd w:id="3635"/>
      <w:bookmarkEnd w:id="3636"/>
      <w:r>
        <w:rPr/>
        <w:t xml:space="preserve"> para el análisis de la concordancia entre los expertos, cuyo valor fue </w:t>
      </w:r>
      <w:r>
        <w:rPr>
          <w:i/>
          <w:iCs/>
        </w:rPr>
        <w:t>R</w:t>
      </w:r>
      <w:r>
        <w:rPr>
          <w:i/>
          <w:iCs/>
          <w:vertAlign w:val="subscript"/>
        </w:rPr>
        <w:t>WG</w:t>
      </w:r>
      <w:r>
        <w:rPr/>
        <w:t xml:space="preserve"> = 0.95, demostrando que existe concordancia entre ellos.</w:t>
      </w:r>
    </w:p>
    <w:p>
      <w:pPr>
        <w:pStyle w:val="Heading2"/>
        <w:numPr>
          <w:ilvl w:val="1"/>
          <w:numId w:val="80"/>
        </w:numPr>
        <w:rPr>
          <w:lang w:val="en-US"/>
        </w:rPr>
      </w:pPr>
      <w:bookmarkStart w:id="3637" w:name="_Toc84598948"/>
      <w:r>
        <w:rPr/>
        <w:t xml:space="preserve">Conjunto de pruebas 6: validación de la variable dependiente en la </w:t>
      </w:r>
      <w:bookmarkEnd w:id="3637"/>
      <w:r>
        <w:rPr>
          <w:lang w:val="en-US"/>
        </w:rPr>
        <w:t>dimensión “Enfoque multilingüe de los algoritmos”.</w:t>
      </w:r>
    </w:p>
    <w:p>
      <w:pPr>
        <w:pStyle w:val="Normal"/>
        <w:rPr>
          <w:lang w:val="en-US"/>
        </w:rPr>
      </w:pPr>
      <w:r>
        <w:rPr>
          <w:lang w:val="en-US"/>
        </w:rPr>
        <w:t>El caso de estudio de gestión de proyectos se consideró para demostrar la capacidad de los algoritmos de generar resúmenes en múltiples idiomas con los lenguajes naturales controlados definidos o referenciados en el capítulo 2. Se consideró este escenario porque:</w:t>
      </w:r>
    </w:p>
    <w:p>
      <w:pPr>
        <w:pStyle w:val="ListParagraph"/>
        <w:numPr>
          <w:ilvl w:val="0"/>
          <w:numId w:val="69"/>
        </w:numPr>
        <w:rPr>
          <w:lang w:val="en-US"/>
        </w:rPr>
      </w:pPr>
      <w:r>
        <w:rPr>
          <w:lang w:val="en-US"/>
        </w:rPr>
        <w:t>La gestión de proyectos es un área temática de fácil comprensión por especialistas de disímiles esferas. Los términos tratados en esta área temática son de uso común en la sociedad.</w:t>
      </w:r>
    </w:p>
    <w:p>
      <w:pPr>
        <w:pStyle w:val="ListParagraph"/>
        <w:numPr>
          <w:ilvl w:val="0"/>
          <w:numId w:val="69"/>
        </w:numPr>
        <w:rPr/>
      </w:pPr>
      <w:r>
        <w:rPr>
          <w:lang w:val="en-US"/>
        </w:rPr>
        <w:t xml:space="preserve">Se dispone de especialistas que conocen la gestión de proyectos, su lengua materna es japonés o árabe (ver </w:t>
      </w:r>
      <w:r>
        <w:rPr>
          <w:lang w:val="en-US"/>
        </w:rPr>
        <w:fldChar w:fldCharType="begin"/>
      </w:r>
      <w:r>
        <w:instrText> REF _Ref77700493 \h </w:instrText>
      </w:r>
      <w:r>
        <w:fldChar w:fldCharType="separate"/>
      </w:r>
      <w:r>
        <w:t>Anexo 15</w:t>
      </w:r>
      <w:r>
        <w:fldChar w:fldCharType="end"/>
      </w:r>
      <w:r>
        <w:rPr>
          <w:lang w:val="en-US"/>
        </w:rPr>
        <w:t xml:space="preserve"> </w:t>
      </w:r>
      <w:r>
        <w:rPr>
          <w:lang w:val="en-US"/>
        </w:rPr>
        <w:fldChar w:fldCharType="begin"/>
      </w:r>
      <w:r>
        <w:instrText> REF _Ref78461019 \h </w:instrText>
      </w:r>
      <w:r>
        <w:fldChar w:fldCharType="separate"/>
      </w:r>
      <w:r>
        <w:t>Tabla 37</w:t>
      </w:r>
      <w:r>
        <w:fldChar w:fldCharType="end"/>
      </w:r>
      <w:r>
        <w:rPr>
          <w:lang w:val="en-US"/>
        </w:rPr>
        <w:t>), y dominan el español porque han vivido en Cuba por más de 15 años.</w:t>
      </w:r>
    </w:p>
    <w:p>
      <w:pPr>
        <w:pStyle w:val="Normal"/>
        <w:rPr/>
      </w:pPr>
      <w:r>
        <w:rPr>
          <w:lang w:val="en-US"/>
        </w:rPr>
        <w:t xml:space="preserve">A partir del caso de estudio analizado se trabaja con la base de datos </w:t>
      </w:r>
      <w:r>
        <w:rPr>
          <w:i/>
          <w:iCs/>
          <w:lang w:val="en-US"/>
        </w:rPr>
        <w:t>BD_gp_eval_proy_hard</w:t>
      </w:r>
      <w:r>
        <w:rPr>
          <w:lang w:val="en-US"/>
        </w:rPr>
        <w:t xml:space="preserve"> con un conjunto de 8 430 instancias, de la cual se generaron resúmenes en </w:t>
      </w:r>
      <w:bookmarkStart w:id="3638" w:name="_Hlk78872357"/>
      <w:r>
        <w:rPr>
          <w:lang w:val="en-US"/>
        </w:rPr>
        <w:t xml:space="preserve">español, inglés, japonés y árabe. </w:t>
      </w:r>
      <w:bookmarkEnd w:id="3638"/>
      <w:r>
        <w:rPr>
          <w:lang w:val="en-US"/>
        </w:rPr>
        <w:t xml:space="preserve">En el </w:t>
      </w:r>
      <w:r>
        <w:rPr>
          <w:lang w:val="en-US"/>
        </w:rPr>
        <w:fldChar w:fldCharType="begin"/>
      </w:r>
      <w:r>
        <w:instrText> REF _Ref77700650 \h </w:instrText>
      </w:r>
      <w:r>
        <w:fldChar w:fldCharType="separate"/>
      </w:r>
      <w:r>
        <w:t>Anexo 16</w:t>
      </w:r>
      <w:r>
        <w:fldChar w:fldCharType="end"/>
      </w:r>
      <w:r>
        <w:rPr>
          <w:lang w:val="en-US"/>
        </w:rPr>
        <w:t xml:space="preserve"> se muestran ejemplos de estos resúmenes, siendo los mismos de un idioma a otro según la enumeración.</w:t>
      </w:r>
    </w:p>
    <w:p>
      <w:pPr>
        <w:pStyle w:val="Normal"/>
        <w:rPr/>
      </w:pPr>
      <w:r>
        <mc:AlternateContent>
          <mc:Choice Requires="wps">
            <w:drawing>
              <wp:anchor behindDoc="0" distT="0" distB="0" distL="114300" distR="114300" simplePos="0" locked="0" layoutInCell="1" allowOverlap="1" relativeHeight="24" wp14:anchorId="392AF3A8">
                <wp:simplePos x="0" y="0"/>
                <wp:positionH relativeFrom="column">
                  <wp:posOffset>2000885</wp:posOffset>
                </wp:positionH>
                <wp:positionV relativeFrom="paragraph">
                  <wp:posOffset>3137535</wp:posOffset>
                </wp:positionV>
                <wp:extent cx="3865880" cy="335280"/>
                <wp:effectExtent l="0" t="0" r="0" b="0"/>
                <wp:wrapSquare wrapText="bothSides"/>
                <wp:docPr id="132" name="Text Box 23"/>
                <a:graphic xmlns:a="http://schemas.openxmlformats.org/drawingml/2006/main">
                  <a:graphicData uri="http://schemas.microsoft.com/office/word/2010/wordprocessingShape">
                    <wps:wsp>
                      <wps:cNvSpPr/>
                      <wps:spPr>
                        <a:xfrm>
                          <a:off x="0" y="0"/>
                          <a:ext cx="3865320" cy="334800"/>
                        </a:xfrm>
                        <a:prstGeom prst="rect">
                          <a:avLst/>
                        </a:prstGeom>
                        <a:solidFill>
                          <a:srgbClr val="ffffff"/>
                        </a:solidFill>
                        <a:ln>
                          <a:noFill/>
                        </a:ln>
                      </wps:spPr>
                      <wps:style>
                        <a:lnRef idx="0"/>
                        <a:fillRef idx="0"/>
                        <a:effectRef idx="0"/>
                        <a:fontRef idx="minor"/>
                      </wps:style>
                      <wps:txbx>
                        <w:txbxContent>
                          <w:p>
                            <w:pPr>
                              <w:pStyle w:val="Caption1"/>
                              <w:overflowPunct w:val="true"/>
                              <w:spacing w:before="0" w:after="60"/>
                              <w:ind w:left="170" w:hanging="170"/>
                              <w:jc w:val="center"/>
                              <w:textAlignment w:val="auto"/>
                              <w:rPr/>
                            </w:pPr>
                            <w:bookmarkStart w:id="3639" w:name="_Toc84599033"/>
                            <w:bookmarkStart w:id="3640" w:name="_Ref79475454"/>
                            <w:r>
                              <w:rPr>
                                <w:color w:val="00000A"/>
                              </w:rPr>
                              <w:t xml:space="preserve">Figura </w:t>
                            </w:r>
                            <w:r>
                              <w:rPr>
                                <w:color w:val="00000A"/>
                              </w:rPr>
                              <w:fldChar w:fldCharType="begin"/>
                            </w:r>
                            <w:r>
                              <w:instrText> SEQ Figura \* ARABIC </w:instrText>
                            </w:r>
                            <w:r>
                              <w:fldChar w:fldCharType="separate"/>
                            </w:r>
                            <w:r>
                              <w:t>26</w:t>
                            </w:r>
                            <w:r>
                              <w:fldChar w:fldCharType="end"/>
                            </w:r>
                            <w:bookmarkEnd w:id="3639"/>
                            <w:bookmarkEnd w:id="3640"/>
                            <w:r>
                              <w:rPr>
                                <w:color w:val="00000A"/>
                              </w:rPr>
                              <w:t>: Resultado de la evaluación asignada por los expertos, a los resúmenes lingüísticos en los idiomas inglés, japonés y árabe.</w:t>
                            </w:r>
                          </w:p>
                        </w:txbxContent>
                      </wps:txbx>
                      <wps:bodyPr lIns="0" rIns="0" tIns="0" bIns="0">
                        <a:prstTxWarp prst="textNoShape"/>
                        <a:spAutoFit/>
                      </wps:bodyPr>
                    </wps:wsp>
                  </a:graphicData>
                </a:graphic>
              </wp:anchor>
            </w:drawing>
          </mc:Choice>
          <mc:Fallback>
            <w:pict>
              <v:rect id="shape_0" ID="Text Box 23" fillcolor="white" stroked="f" style="position:absolute;margin-left:157.55pt;margin-top:247.05pt;width:304.3pt;height:26.3pt" wp14:anchorId="392AF3A8">
                <w10:wrap type="square"/>
                <v:fill o:detectmouseclick="t" type="solid" color2="black"/>
                <v:stroke color="#3465a4" joinstyle="round" endcap="flat"/>
                <v:textbox>
                  <w:txbxContent>
                    <w:p>
                      <w:pPr>
                        <w:pStyle w:val="Caption1"/>
                        <w:overflowPunct w:val="true"/>
                        <w:spacing w:before="0" w:after="60"/>
                        <w:ind w:left="170" w:hanging="170"/>
                        <w:jc w:val="center"/>
                        <w:textAlignment w:val="auto"/>
                        <w:rPr/>
                      </w:pPr>
                      <w:bookmarkStart w:id="3641" w:name="_Toc84599033"/>
                      <w:bookmarkStart w:id="3642" w:name="_Ref79475454"/>
                      <w:r>
                        <w:rPr>
                          <w:color w:val="00000A"/>
                        </w:rPr>
                        <w:t xml:space="preserve">Figura </w:t>
                      </w:r>
                      <w:r>
                        <w:rPr>
                          <w:color w:val="00000A"/>
                        </w:rPr>
                        <w:fldChar w:fldCharType="begin"/>
                      </w:r>
                      <w:r>
                        <w:instrText> SEQ Figura \* ARABIC </w:instrText>
                      </w:r>
                      <w:r>
                        <w:fldChar w:fldCharType="separate"/>
                      </w:r>
                      <w:r>
                        <w:t>26</w:t>
                      </w:r>
                      <w:r>
                        <w:fldChar w:fldCharType="end"/>
                      </w:r>
                      <w:bookmarkEnd w:id="3641"/>
                      <w:bookmarkEnd w:id="3642"/>
                      <w:r>
                        <w:rPr>
                          <w:color w:val="00000A"/>
                        </w:rPr>
                        <w:t>: Resultado de la evaluación asignada por los expertos, a los resúmenes lingüísticos en los idiomas inglés, japonés y árabe.</w:t>
                      </w:r>
                    </w:p>
                  </w:txbxContent>
                </v:textbox>
              </v:rect>
            </w:pict>
          </mc:Fallback>
        </mc:AlternateContent>
        <mc:AlternateContent>
          <mc:Choice Requires="wpg">
            <w:drawing>
              <wp:anchor behindDoc="0" distT="0" distB="0" distL="114300" distR="114300" simplePos="0" locked="0" layoutInCell="1" allowOverlap="1" relativeHeight="25" wp14:anchorId="10004720">
                <wp:simplePos x="0" y="0"/>
                <wp:positionH relativeFrom="column">
                  <wp:posOffset>1820545</wp:posOffset>
                </wp:positionH>
                <wp:positionV relativeFrom="paragraph">
                  <wp:posOffset>272415</wp:posOffset>
                </wp:positionV>
                <wp:extent cx="3895725" cy="2745740"/>
                <wp:effectExtent l="0" t="0" r="0" b="0"/>
                <wp:wrapSquare wrapText="bothSides"/>
                <wp:docPr id="134" name="Group 9"/>
                <a:graphic xmlns:a="http://schemas.openxmlformats.org/drawingml/2006/main">
                  <a:graphicData uri="http://schemas.microsoft.com/office/word/2010/wordprocessingGroup">
                    <wpg:wgp>
                      <wpg:cNvGrpSpPr/>
                      <wpg:grpSpPr>
                        <a:xfrm>
                          <a:off x="0" y="0"/>
                          <a:ext cx="3895200" cy="2745000"/>
                        </a:xfrm>
                      </wpg:grpSpPr>
                      <wps:wsp>
                        <wps:cNvSpPr/>
                        <wps:spPr>
                          <a:xfrm>
                            <a:off x="0" y="0"/>
                            <a:ext cx="3895200" cy="388080"/>
                          </a:xfrm>
                          <a:prstGeom prst="rect">
                            <a:avLst/>
                          </a:prstGeom>
                          <a:solidFill>
                            <a:schemeClr val="lt1"/>
                          </a:solidFill>
                          <a:ln w="9360">
                            <a:noFill/>
                          </a:ln>
                        </wps:spPr>
                        <wps:style>
                          <a:lnRef idx="0"/>
                          <a:fillRef idx="0"/>
                          <a:effectRef idx="0"/>
                          <a:fontRef idx="minor"/>
                        </wps:style>
                        <wps:txbx>
                          <w:txbxContent>
                            <w:p>
                              <w:pPr>
                                <w:overflowPunct w:val="false"/>
                                <w:spacing w:before="0" w:after="0" w:lineRule="auto" w:line="240"/>
                                <w:jc w:val="left"/>
                                <w:rPr/>
                              </w:pPr>
                              <w:r>
                                <w:rPr>
                                  <w:spacing w:val="0"/>
                                  <w:smallCaps w:val="false"/>
                                  <w:caps w:val="false"/>
                                  <w:iCs w:val="false"/>
                                  <w:bCs w:val="false"/>
                                  <w:szCs w:val="20"/>
                                  <w:vertAlign w:val="baseline"/>
                                  <w:position w:val="0"/>
                                  <w:sz w:val="20"/>
                                  <w:i w:val="false"/>
                                  <w:dstrike w:val="false"/>
                                  <w:strike w:val="false"/>
                                  <w:u w:val="none"/>
                                  <w:b w:val="false"/>
                                  <w:sz w:val="20"/>
                                  <w:rFonts w:eastAsia="游明朝" w:eastAsiaTheme="minorEastAsia" w:cs="Times New Roman" w:ascii="Calibri" w:hAnsi="Calibri"/>
                                  <w:color w:val="000000"/>
                                  <w:lang w:val="en-US" w:eastAsia="en-US"/>
                                </w:rPr>
                                <w:t>Muy alto</w:t>
                              </w:r>
                            </w:p>
                          </w:txbxContent>
                        </wps:txbx>
                        <wps:bodyPr lIns="90000" rIns="90000" tIns="45000" bIns="45000">
                          <a:noAutofit/>
                        </wps:bodyPr>
                      </wps:wsp>
                      <wps:wsp>
                        <wps:cNvSpPr/>
                        <wps:spPr>
                          <a:xfrm>
                            <a:off x="181080" y="591840"/>
                            <a:ext cx="2285280" cy="382320"/>
                          </a:xfrm>
                          <a:prstGeom prst="rect">
                            <a:avLst/>
                          </a:prstGeom>
                          <a:solidFill>
                            <a:schemeClr val="lt1"/>
                          </a:solidFill>
                          <a:ln w="9360">
                            <a:noFill/>
                          </a:ln>
                        </wps:spPr>
                        <wps:style>
                          <a:lnRef idx="0"/>
                          <a:fillRef idx="0"/>
                          <a:effectRef idx="0"/>
                          <a:fontRef idx="minor"/>
                        </wps:style>
                        <wps:txbx>
                          <w:txbxContent>
                            <w:p>
                              <w:pPr>
                                <w:overflowPunct w:val="false"/>
                                <w:spacing w:before="0" w:after="0" w:lineRule="auto" w:line="240"/>
                                <w:jc w:val="left"/>
                                <w:rPr/>
                              </w:pPr>
                              <w:r>
                                <w:rPr>
                                  <w:spacing w:val="0"/>
                                  <w:smallCaps w:val="false"/>
                                  <w:caps w:val="false"/>
                                  <w:iCs w:val="false"/>
                                  <w:bCs w:val="false"/>
                                  <w:szCs w:val="20"/>
                                  <w:vertAlign w:val="baseline"/>
                                  <w:position w:val="0"/>
                                  <w:sz w:val="20"/>
                                  <w:i w:val="false"/>
                                  <w:dstrike w:val="false"/>
                                  <w:strike w:val="false"/>
                                  <w:u w:val="none"/>
                                  <w:b w:val="false"/>
                                  <w:sz w:val="20"/>
                                  <w:rFonts w:eastAsia="游明朝" w:eastAsiaTheme="minorEastAsia" w:cs="Times New Roman" w:ascii="Calibri" w:hAnsi="Calibri"/>
                                  <w:color w:val="000000"/>
                                  <w:lang w:val="en-US" w:eastAsia="en-US"/>
                                </w:rPr>
                                <w:t>Alto</w:t>
                              </w:r>
                            </w:p>
                          </w:txbxContent>
                        </wps:txbx>
                        <wps:bodyPr lIns="90000" rIns="90000" tIns="45000" bIns="45000">
                          <a:noAutofit/>
                        </wps:bodyPr>
                      </wps:wsp>
                      <wps:wsp>
                        <wps:cNvSpPr/>
                        <wps:spPr>
                          <a:xfrm>
                            <a:off x="0" y="1098720"/>
                            <a:ext cx="2711520" cy="372600"/>
                          </a:xfrm>
                          <a:prstGeom prst="rect">
                            <a:avLst/>
                          </a:prstGeom>
                          <a:solidFill>
                            <a:schemeClr val="lt1"/>
                          </a:solidFill>
                          <a:ln w="9360">
                            <a:noFill/>
                          </a:ln>
                        </wps:spPr>
                        <wps:style>
                          <a:lnRef idx="0"/>
                          <a:fillRef idx="0"/>
                          <a:effectRef idx="0"/>
                          <a:fontRef idx="minor"/>
                        </wps:style>
                        <wps:txbx>
                          <w:txbxContent>
                            <w:p>
                              <w:pPr>
                                <w:overflowPunct w:val="false"/>
                                <w:spacing w:before="0" w:after="0" w:lineRule="auto" w:line="240"/>
                                <w:jc w:val="left"/>
                                <w:rPr/>
                              </w:pPr>
                              <w:r>
                                <w:rPr>
                                  <w:spacing w:val="0"/>
                                  <w:smallCaps w:val="false"/>
                                  <w:caps w:val="false"/>
                                  <w:iCs w:val="false"/>
                                  <w:bCs w:val="false"/>
                                  <w:szCs w:val="20"/>
                                  <w:vertAlign w:val="baseline"/>
                                  <w:position w:val="0"/>
                                  <w:sz w:val="20"/>
                                  <w:i w:val="false"/>
                                  <w:dstrike w:val="false"/>
                                  <w:strike w:val="false"/>
                                  <w:u w:val="none"/>
                                  <w:b w:val="false"/>
                                  <w:sz w:val="20"/>
                                  <w:rFonts w:eastAsia="游明朝" w:eastAsiaTheme="minorEastAsia" w:cs="Times New Roman" w:ascii="Calibri" w:hAnsi="Calibri"/>
                                  <w:color w:val="000000"/>
                                  <w:lang w:val="en-US" w:eastAsia="en-US"/>
                                </w:rPr>
                                <w:t>Medio</w:t>
                              </w:r>
                            </w:p>
                          </w:txbxContent>
                        </wps:txbx>
                        <wps:bodyPr lIns="90000" rIns="90000" tIns="45000" bIns="45000">
                          <a:noAutofit/>
                        </wps:bodyPr>
                      </wps:wsp>
                      <wps:wsp>
                        <wps:cNvSpPr/>
                        <wps:spPr>
                          <a:xfrm>
                            <a:off x="374760" y="2087280"/>
                            <a:ext cx="2713320" cy="657720"/>
                          </a:xfrm>
                          <a:prstGeom prst="rect">
                            <a:avLst/>
                          </a:prstGeom>
                          <a:solidFill>
                            <a:schemeClr val="lt1"/>
                          </a:solidFill>
                          <a:ln w="9360">
                            <a:noFill/>
                          </a:ln>
                        </wps:spPr>
                        <wps:style>
                          <a:lnRef idx="0"/>
                          <a:fillRef idx="0"/>
                          <a:effectRef idx="0"/>
                          <a:fontRef idx="minor"/>
                        </wps:style>
                        <wps:txbx>
                          <w:txbxContent>
                            <w:p>
                              <w:pPr>
                                <w:overflowPunct w:val="false"/>
                                <w:spacing w:before="0" w:after="0" w:lineRule="auto" w:line="240"/>
                                <w:jc w:val="left"/>
                                <w:rPr/>
                              </w:pPr>
                              <w:r>
                                <w:rPr>
                                  <w:spacing w:val="0"/>
                                  <w:smallCaps w:val="false"/>
                                  <w:caps w:val="false"/>
                                  <w:iCs w:val="false"/>
                                  <w:bCs w:val="false"/>
                                  <w:szCs w:val="20"/>
                                  <w:vertAlign w:val="baseline"/>
                                  <w:position w:val="0"/>
                                  <w:sz w:val="20"/>
                                  <w:i w:val="false"/>
                                  <w:dstrike w:val="false"/>
                                  <w:strike w:val="false"/>
                                  <w:u w:val="none"/>
                                  <w:b w:val="false"/>
                                  <w:sz w:val="20"/>
                                  <w:rFonts w:eastAsia="游明朝" w:eastAsiaTheme="minorEastAsia" w:cs="Times New Roman" w:ascii="Calibri" w:hAnsi="Calibri"/>
                                  <w:color w:val="000000"/>
                                  <w:lang w:val="en-US" w:eastAsia="en-US"/>
                                </w:rPr>
                                <w:t>Muy bajo</w:t>
                              </w:r>
                            </w:p>
                          </w:txbxContent>
                        </wps:txbx>
                        <wps:bodyPr lIns="90000" rIns="90000" tIns="45000" bIns="45000">
                          <a:noAutofit/>
                        </wps:bodyPr>
                      </wps:wsp>
                      <wps:wsp>
                        <wps:cNvSpPr/>
                        <wps:spPr>
                          <a:xfrm>
                            <a:off x="374760" y="1687320"/>
                            <a:ext cx="2517840" cy="396720"/>
                          </a:xfrm>
                          <a:prstGeom prst="rect">
                            <a:avLst/>
                          </a:prstGeom>
                          <a:solidFill>
                            <a:schemeClr val="lt1"/>
                          </a:solidFill>
                          <a:ln w="9360">
                            <a:noFill/>
                          </a:ln>
                        </wps:spPr>
                        <wps:style>
                          <a:lnRef idx="0"/>
                          <a:fillRef idx="0"/>
                          <a:effectRef idx="0"/>
                          <a:fontRef idx="minor"/>
                        </wps:style>
                        <wps:txbx>
                          <w:txbxContent>
                            <w:p>
                              <w:pPr>
                                <w:overflowPunct w:val="false"/>
                                <w:spacing w:before="0" w:after="0" w:lineRule="auto" w:line="240"/>
                                <w:jc w:val="left"/>
                                <w:rPr/>
                              </w:pPr>
                              <w:r>
                                <w:rPr>
                                  <w:spacing w:val="0"/>
                                  <w:smallCaps w:val="false"/>
                                  <w:caps w:val="false"/>
                                  <w:iCs w:val="false"/>
                                  <w:bCs w:val="false"/>
                                  <w:szCs w:val="20"/>
                                  <w:vertAlign w:val="baseline"/>
                                  <w:position w:val="0"/>
                                  <w:sz w:val="20"/>
                                  <w:i w:val="false"/>
                                  <w:dstrike w:val="false"/>
                                  <w:strike w:val="false"/>
                                  <w:u w:val="none"/>
                                  <w:b w:val="false"/>
                                  <w:sz w:val="20"/>
                                  <w:rFonts w:eastAsia="游明朝" w:eastAsiaTheme="minorEastAsia" w:cs="Times New Roman" w:ascii="Calibri" w:hAnsi="Calibri"/>
                                  <w:color w:val="000000"/>
                                  <w:lang w:val="en-US" w:eastAsia="en-US"/>
                                </w:rPr>
                                <w:t>Bajo</w:t>
                              </w:r>
                            </w:p>
                          </w:txbxContent>
                        </wps:txbx>
                        <wps:bodyPr lIns="90000" rIns="90000" tIns="45000" bIns="45000">
                          <a:noAutofit/>
                        </wps:bodyPr>
                      </wps:wsp>
                    </wpg:wgp>
                  </a:graphicData>
                </a:graphic>
              </wp:anchor>
            </w:drawing>
          </mc:Choice>
          <mc:Fallback>
            <w:pict>
              <v:group id="shape_0" alt="Group 9" style="position:absolute;margin-left:143.35pt;margin-top:21.45pt;width:306.7pt;height:216.15pt" coordorigin="2867,429" coordsize="6134,4323">
                <v:rect id="shape_0" ID="Rectángulo 8" fillcolor="white" stroked="f" style="position:absolute;left:2867;top:429;width:6133;height:610">
                  <v:textbox>
                    <w:txbxContent>
                      <w:p>
                        <w:pPr>
                          <w:overflowPunct w:val="false"/>
                          <w:spacing w:before="0" w:after="0" w:lineRule="auto" w:line="240"/>
                          <w:jc w:val="left"/>
                          <w:rPr/>
                        </w:pPr>
                        <w:r>
                          <w:rPr>
                            <w:spacing w:val="0"/>
                            <w:smallCaps w:val="false"/>
                            <w:caps w:val="false"/>
                            <w:iCs w:val="false"/>
                            <w:bCs w:val="false"/>
                            <w:szCs w:val="20"/>
                            <w:vertAlign w:val="baseline"/>
                            <w:position w:val="0"/>
                            <w:sz w:val="20"/>
                            <w:i w:val="false"/>
                            <w:dstrike w:val="false"/>
                            <w:strike w:val="false"/>
                            <w:u w:val="none"/>
                            <w:b w:val="false"/>
                            <w:sz w:val="20"/>
                            <w:rFonts w:eastAsia="游明朝" w:eastAsiaTheme="minorEastAsia" w:cs="Times New Roman" w:ascii="Calibri" w:hAnsi="Calibri"/>
                            <w:color w:val="000000"/>
                            <w:lang w:val="en-US" w:eastAsia="en-US"/>
                          </w:rPr>
                          <w:t>Muy alto</w:t>
                        </w:r>
                      </w:p>
                    </w:txbxContent>
                  </v:textbox>
                  <w10:wrap type="square"/>
                  <v:fill o:detectmouseclick="t" type="solid" color2="black"/>
                  <v:stroke color="#3465a4" weight="9360" joinstyle="round" endcap="flat"/>
                </v:rect>
                <v:rect id="shape_0" ID="Rectángulo 10" fillcolor="white" stroked="f" style="position:absolute;left:3152;top:1361;width:3598;height:601">
                  <v:textbox>
                    <w:txbxContent>
                      <w:p>
                        <w:pPr>
                          <w:overflowPunct w:val="false"/>
                          <w:spacing w:before="0" w:after="0" w:lineRule="auto" w:line="240"/>
                          <w:jc w:val="left"/>
                          <w:rPr/>
                        </w:pPr>
                        <w:r>
                          <w:rPr>
                            <w:spacing w:val="0"/>
                            <w:smallCaps w:val="false"/>
                            <w:caps w:val="false"/>
                            <w:iCs w:val="false"/>
                            <w:bCs w:val="false"/>
                            <w:szCs w:val="20"/>
                            <w:vertAlign w:val="baseline"/>
                            <w:position w:val="0"/>
                            <w:sz w:val="20"/>
                            <w:i w:val="false"/>
                            <w:dstrike w:val="false"/>
                            <w:strike w:val="false"/>
                            <w:u w:val="none"/>
                            <w:b w:val="false"/>
                            <w:sz w:val="20"/>
                            <w:rFonts w:eastAsia="游明朝" w:eastAsiaTheme="minorEastAsia" w:cs="Times New Roman" w:ascii="Calibri" w:hAnsi="Calibri"/>
                            <w:color w:val="000000"/>
                            <w:lang w:val="en-US" w:eastAsia="en-US"/>
                          </w:rPr>
                          <w:t>Alto</w:t>
                        </w:r>
                      </w:p>
                    </w:txbxContent>
                  </v:textbox>
                  <w10:wrap type="square"/>
                  <v:fill o:detectmouseclick="t" type="solid" color2="black"/>
                  <v:stroke color="#3465a4" weight="9360" joinstyle="round" endcap="flat"/>
                </v:rect>
                <v:rect id="shape_0" ID="Rectángulo 12" fillcolor="white" stroked="f" style="position:absolute;left:2867;top:2159;width:4269;height:586">
                  <v:textbox>
                    <w:txbxContent>
                      <w:p>
                        <w:pPr>
                          <w:overflowPunct w:val="false"/>
                          <w:spacing w:before="0" w:after="0" w:lineRule="auto" w:line="240"/>
                          <w:jc w:val="left"/>
                          <w:rPr/>
                        </w:pPr>
                        <w:r>
                          <w:rPr>
                            <w:spacing w:val="0"/>
                            <w:smallCaps w:val="false"/>
                            <w:caps w:val="false"/>
                            <w:iCs w:val="false"/>
                            <w:bCs w:val="false"/>
                            <w:szCs w:val="20"/>
                            <w:vertAlign w:val="baseline"/>
                            <w:position w:val="0"/>
                            <w:sz w:val="20"/>
                            <w:i w:val="false"/>
                            <w:dstrike w:val="false"/>
                            <w:strike w:val="false"/>
                            <w:u w:val="none"/>
                            <w:b w:val="false"/>
                            <w:sz w:val="20"/>
                            <w:rFonts w:eastAsia="游明朝" w:eastAsiaTheme="minorEastAsia" w:cs="Times New Roman" w:ascii="Calibri" w:hAnsi="Calibri"/>
                            <w:color w:val="000000"/>
                            <w:lang w:val="en-US" w:eastAsia="en-US"/>
                          </w:rPr>
                          <w:t>Medio</w:t>
                        </w:r>
                      </w:p>
                    </w:txbxContent>
                  </v:textbox>
                  <w10:wrap type="square"/>
                  <v:fill o:detectmouseclick="t" type="solid" color2="black"/>
                  <v:stroke color="#3465a4" weight="9360" joinstyle="round" endcap="flat"/>
                </v:rect>
                <v:rect id="shape_0" ID="Rectángulo 18" fillcolor="white" stroked="f" style="position:absolute;left:3457;top:3716;width:4272;height:1035">
                  <v:textbox>
                    <w:txbxContent>
                      <w:p>
                        <w:pPr>
                          <w:overflowPunct w:val="false"/>
                          <w:spacing w:before="0" w:after="0" w:lineRule="auto" w:line="240"/>
                          <w:jc w:val="left"/>
                          <w:rPr/>
                        </w:pPr>
                        <w:r>
                          <w:rPr>
                            <w:spacing w:val="0"/>
                            <w:smallCaps w:val="false"/>
                            <w:caps w:val="false"/>
                            <w:iCs w:val="false"/>
                            <w:bCs w:val="false"/>
                            <w:szCs w:val="20"/>
                            <w:vertAlign w:val="baseline"/>
                            <w:position w:val="0"/>
                            <w:sz w:val="20"/>
                            <w:i w:val="false"/>
                            <w:dstrike w:val="false"/>
                            <w:strike w:val="false"/>
                            <w:u w:val="none"/>
                            <w:b w:val="false"/>
                            <w:sz w:val="20"/>
                            <w:rFonts w:eastAsia="游明朝" w:eastAsiaTheme="minorEastAsia" w:cs="Times New Roman" w:ascii="Calibri" w:hAnsi="Calibri"/>
                            <w:color w:val="000000"/>
                            <w:lang w:val="en-US" w:eastAsia="en-US"/>
                          </w:rPr>
                          <w:t>Muy bajo</w:t>
                        </w:r>
                      </w:p>
                    </w:txbxContent>
                  </v:textbox>
                  <w10:wrap type="square"/>
                  <v:fill o:detectmouseclick="t" type="solid" color2="black"/>
                  <v:stroke color="#3465a4" weight="9360" joinstyle="round" endcap="flat"/>
                </v:rect>
                <v:rect id="shape_0" ID="Rectángulo 21" fillcolor="white" stroked="f" style="position:absolute;left:3457;top:3086;width:3964;height:624">
                  <v:textbox>
                    <w:txbxContent>
                      <w:p>
                        <w:pPr>
                          <w:overflowPunct w:val="false"/>
                          <w:spacing w:before="0" w:after="0" w:lineRule="auto" w:line="240"/>
                          <w:jc w:val="left"/>
                          <w:rPr/>
                        </w:pPr>
                        <w:r>
                          <w:rPr>
                            <w:spacing w:val="0"/>
                            <w:smallCaps w:val="false"/>
                            <w:caps w:val="false"/>
                            <w:iCs w:val="false"/>
                            <w:bCs w:val="false"/>
                            <w:szCs w:val="20"/>
                            <w:vertAlign w:val="baseline"/>
                            <w:position w:val="0"/>
                            <w:sz w:val="20"/>
                            <w:i w:val="false"/>
                            <w:dstrike w:val="false"/>
                            <w:strike w:val="false"/>
                            <w:u w:val="none"/>
                            <w:b w:val="false"/>
                            <w:sz w:val="20"/>
                            <w:rFonts w:eastAsia="游明朝" w:eastAsiaTheme="minorEastAsia" w:cs="Times New Roman" w:ascii="Calibri" w:hAnsi="Calibri"/>
                            <w:color w:val="000000"/>
                            <w:lang w:val="en-US" w:eastAsia="en-US"/>
                          </w:rPr>
                          <w:t>Bajo</w:t>
                        </w:r>
                      </w:p>
                    </w:txbxContent>
                  </v:textbox>
                  <w10:wrap type="square"/>
                  <v:fill o:detectmouseclick="t" type="solid" color2="black"/>
                  <v:stroke color="#3465a4" weight="9360" joinstyle="round" endcap="flat"/>
                </v:rect>
              </v:group>
            </w:pict>
          </mc:Fallback>
        </mc:AlternateContent>
      </w:r>
      <w:r>
        <w:rPr/>
        <w:t xml:space="preserve"> </w:t>
      </w:r>
      <w:r>
        <w:rPr>
          <w:lang w:val="en-US"/>
        </w:rPr>
        <w:t xml:space="preserve">Los resúmenes generados fueron evaluados por un conjunto de expertos en los idiomas especificados (ver </w:t>
      </w:r>
      <w:r>
        <w:rPr>
          <w:lang w:val="en-US"/>
        </w:rPr>
        <w:fldChar w:fldCharType="begin"/>
      </w:r>
      <w:r>
        <w:instrText> REF _Ref77700493 \h </w:instrText>
      </w:r>
      <w:r>
        <w:fldChar w:fldCharType="separate"/>
      </w:r>
      <w:r>
        <w:t>Anexo 15</w:t>
      </w:r>
      <w:r>
        <w:fldChar w:fldCharType="end"/>
      </w:r>
      <w:r>
        <w:rPr>
          <w:lang w:val="en-US"/>
        </w:rPr>
        <w:t xml:space="preserve">) respecto a los siguientes criterios: </w:t>
      </w:r>
      <w:bookmarkStart w:id="3643" w:name="_Hlk78872394"/>
      <w:r>
        <w:rPr>
          <w:lang w:val="en-US"/>
        </w:rPr>
        <w:t>gramática, sencillez, legibilidad y ortografía.</w:t>
      </w:r>
      <w:bookmarkEnd w:id="3643"/>
      <w:r>
        <w:rPr>
          <w:lang w:val="en-US"/>
        </w:rPr>
        <w:t xml:space="preserve"> </w:t>
      </w:r>
      <w:r>
        <w:rPr/>
        <w:t xml:space="preserve">Para la agregación de las preferencias de los expertos se aplica la técnica de computación con palabras 2-tuplas </w:t>
      </w:r>
      <w:r>
        <w:fldChar w:fldCharType="begin"/>
      </w:r>
      <w:r>
        <w:instrText>ADDIN ZOTERO_ITEM CSL_CITATION {"citationID":"cLGqyCTe","properties":{"formattedCitation":"(Herrera y Mart\\uc0\\u237{}nez 2000)","plainCitation":"(Herrera y Martínez 2000)","noteIndex":0},"citationItems":[{"id":18,"uris":["http://zotero.org/users/local/EJ15hJE2/items/753QZKMA"],"uri":["http://zotero.org/users/local/EJ15hJE2/items/753QZKMA"],"itemData":{"id":18,"type":"article-journal","container-title":"IEEE Transactions on fuzzy systems","DOI":"10.1109/91.890332","ISSN":"1063-6706","issue":"6","page":"746–752","title":"A 2-tuple fuzzy linguistic representation model for computing with words","volume":"8","author":[{"family":"Herrera","given":"Francisco"},{"family":"Martínez","given":"Luis"}],"issued":{"date-parts":[["2000"]]}}}],"schema":"https://github.com/citation-style-language/schema/raw/master/csl-citation.json"}</w:instrText>
      </w:r>
      <w:r>
        <w:fldChar w:fldCharType="separate"/>
      </w:r>
      <w:bookmarkStart w:id="3644" w:name="__Fieldmark__19827_2067855929"/>
      <w:r>
        <w:rPr/>
      </w:r>
      <w:r>
        <w:rPr>
          <w:szCs w:val="24"/>
        </w:rPr>
        <w:t>(</w:t>
      </w:r>
      <w:bookmarkStart w:id="3645" w:name="__Fieldmark__18053_498839314"/>
      <w:r>
        <w:rPr>
          <w:szCs w:val="24"/>
        </w:rPr>
        <w:t>H</w:t>
      </w:r>
      <w:bookmarkStart w:id="3646" w:name="__Fieldmark__16905_998588997"/>
      <w:r>
        <w:rPr>
          <w:szCs w:val="24"/>
        </w:rPr>
        <w:t>e</w:t>
      </w:r>
      <w:bookmarkStart w:id="3647" w:name="__Fieldmark__22145_118561941"/>
      <w:r>
        <w:rPr>
          <w:szCs w:val="24"/>
        </w:rPr>
        <w:t>rrera y Martínez 2000)</w:t>
      </w:r>
      <w:r>
        <w:rPr/>
      </w:r>
      <w:r>
        <w:fldChar w:fldCharType="end"/>
      </w:r>
      <w:bookmarkEnd w:id="3644"/>
      <w:bookmarkEnd w:id="3645"/>
      <w:bookmarkEnd w:id="3646"/>
      <w:bookmarkEnd w:id="3647"/>
      <w:r>
        <w:rPr/>
        <w:t xml:space="preserve"> </w:t>
      </w:r>
      <w:r>
        <w:fldChar w:fldCharType="begin"/>
      </w:r>
      <w:r>
        <w:instrText>ADDIN ZOTERO_ITEM CSL_CITATION {"citationID":"SsSdGcZq","properties":{"formattedCitation":"(Zhang, S. et\\uc0\\u160{}al. 2020)","plainCitation":"(Zhang, S. et al. 2020)","noteIndex":0},"citationItems":[{"id":2964,"uris":["http://zotero.org/users/local/EJ15hJE2/items/UNDEVS67"],"uri":["http://zotero.org/users/local/EJ15hJE2/items/UNDEVS67"],"itemData":{"id":2964,"type":"article-journal","container-title":"Soft Computing","DOI":"10.1007/s00500-019-04364-x","issue":"8","page":"5819–5829","title":"MABAC method for multiple attribute group decision making under picture 2-tuple linguistic environment","volume":"24","author":[{"family":"Zhang","given":"S."},{"family":"Wei","given":"G."},{"family":"Alsaadi","given":"F.E."},{"family":"Hayat","given":"T."},{"family":"Wei","given":"C."},{"family":"Zhang","given":"Z."}],"issued":{"date-parts":[["2020"]]}}}],"schema":"https://github.com/citation-style-language/schema/raw/master/csl-citation.json"}</w:instrText>
      </w:r>
      <w:r>
        <w:fldChar w:fldCharType="separate"/>
      </w:r>
      <w:bookmarkStart w:id="3648" w:name="__Fieldmark__19842_2067855929"/>
      <w:r>
        <w:rPr/>
      </w:r>
      <w:r>
        <w:rPr>
          <w:szCs w:val="24"/>
        </w:rPr>
        <w:t>(</w:t>
      </w:r>
      <w:bookmarkStart w:id="3649" w:name="__Fieldmark__18064_498839314"/>
      <w:r>
        <w:rPr>
          <w:szCs w:val="24"/>
        </w:rPr>
        <w:t>Z</w:t>
      </w:r>
      <w:bookmarkStart w:id="3650" w:name="__Fieldmark__16912_998588997"/>
      <w:r>
        <w:rPr>
          <w:szCs w:val="24"/>
        </w:rPr>
        <w:t>h</w:t>
      </w:r>
      <w:bookmarkStart w:id="3651" w:name="__Fieldmark__22150_118561941"/>
      <w:r>
        <w:rPr>
          <w:szCs w:val="24"/>
        </w:rPr>
        <w:t>ang, S. et al. 2020)</w:t>
      </w:r>
      <w:r>
        <w:rPr/>
      </w:r>
      <w:r>
        <w:fldChar w:fldCharType="end"/>
      </w:r>
      <w:bookmarkEnd w:id="3648"/>
      <w:bookmarkEnd w:id="3649"/>
      <w:bookmarkEnd w:id="3650"/>
      <w:bookmarkEnd w:id="3651"/>
      <w:r>
        <w:rPr/>
        <w:t xml:space="preserve"> con el siguiente conjunto de términos lingüísticos </w:t>
      </w:r>
      <w:r>
        <w:rPr>
          <w:i/>
        </w:rPr>
        <w:t xml:space="preserve">LBTL = {Muy bajo, Bajo, Medio, Alto, Muy alto}. </w:t>
      </w:r>
      <w:r>
        <w:rPr>
          <w:lang w:val="en-US"/>
        </w:rPr>
        <w:t xml:space="preserve">En la </w:t>
      </w:r>
      <w:r>
        <w:rPr>
          <w:lang w:val="en-US"/>
        </w:rPr>
        <w:fldChar w:fldCharType="begin"/>
      </w:r>
      <w:r>
        <w:instrText> REF _Ref79475454 \h </w:instrText>
      </w:r>
      <w:r>
        <w:fldChar w:fldCharType="separate"/>
      </w:r>
      <w:r>
        <w:t>Figura 26</w:t>
      </w:r>
      <w:r>
        <w:fldChar w:fldCharType="end"/>
      </w:r>
      <w:r>
        <w:rPr/>
        <w:t>, se representa l</w:t>
      </w:r>
      <w:r>
        <w:rPr>
          <w:lang w:val="en-US"/>
        </w:rPr>
        <w:t xml:space="preserve">a agregación de las evaluaciones asignadas por los expertos en </w:t>
      </w:r>
      <w:r>
        <w:rPr/>
        <w:t xml:space="preserve">estos </w:t>
      </w:r>
      <w:r>
        <w:rPr>
          <w:lang w:val="en-US"/>
        </w:rPr>
        <w:t xml:space="preserve">idiomas </w:t>
      </w:r>
      <w:r>
        <w:rPr/>
        <w:t xml:space="preserve">a los resúmenes lingüísticos generados en el caso de estudio, </w:t>
      </w:r>
      <w:r>
        <w:rPr>
          <w:lang w:val="en-US"/>
        </w:rPr>
        <w:t>oscilando entre “alta” y “muy alta”.</w:t>
      </w:r>
      <w:r>
        <w:rPr/>
        <w:t xml:space="preserve"> </w:t>
      </w:r>
    </w:p>
    <w:p>
      <w:pPr>
        <w:pStyle w:val="Normal"/>
        <w:rPr/>
      </w:pPr>
      <w:r>
        <w:rPr/>
        <w:t xml:space="preserve">En esta figura </w:t>
      </w:r>
      <w:r>
        <w:rPr>
          <w:lang w:val="en-US"/>
        </w:rPr>
        <w:t>se</w:t>
      </w:r>
      <w:r>
        <w:rPr/>
        <w:t xml:space="preserve"> observa que los criterios mejor evaluados globalmente fueron la sencillez y la ortografía. El árabe y el japonés resultaron mejor evaluados que el inglés, pero en los tres idiomas, la mayoría de los criterios obtuvieron calificaciones de alto o muy alto. En general, los expertos consultados se mostraron satisfechos con los resultados, pero se identifica como una línea abierta de la investigación, continuar trabajando en la legibilidad.</w:t>
      </w:r>
    </w:p>
    <w:p>
      <w:pPr>
        <w:pStyle w:val="Heading2"/>
        <w:numPr>
          <w:ilvl w:val="1"/>
          <w:numId w:val="80"/>
        </w:numPr>
        <w:rPr/>
      </w:pPr>
      <w:bookmarkStart w:id="3652" w:name="_Toc84598949"/>
      <w:bookmarkEnd w:id="3652"/>
      <w:r>
        <w:rPr/>
        <w:t>Conclusiones del capítulo</w:t>
      </w:r>
    </w:p>
    <w:p>
      <w:pPr>
        <w:pStyle w:val="TDNormalLista"/>
        <w:rPr/>
      </w:pPr>
      <w:r>
        <w:rPr/>
        <w:t xml:space="preserve">En este capítulo se combinan técnicas cuantitativas y cualitativas que permiten comparar el comportamiento de los algoritmos propuestos </w:t>
      </w:r>
      <w:r>
        <w:rPr>
          <w:rFonts w:cs="Courier New" w:ascii="Courier New" w:hAnsi="Courier New"/>
          <w:i/>
          <w:iCs/>
          <w:szCs w:val="20"/>
        </w:rPr>
        <w:t>RST_LDS</w:t>
      </w:r>
      <w:r>
        <w:rPr>
          <w:rFonts w:eastAsia="Times New Roman"/>
          <w:i/>
          <w:iCs/>
        </w:rPr>
        <w:t xml:space="preserve">, </w:t>
      </w:r>
      <w:r>
        <w:rPr>
          <w:rFonts w:cs="Courier New" w:ascii="Courier New" w:hAnsi="Courier New"/>
          <w:i/>
          <w:iCs/>
          <w:szCs w:val="20"/>
        </w:rPr>
        <w:t>PCA_LDS</w:t>
      </w:r>
      <w:r>
        <w:rPr/>
        <w:t xml:space="preserve"> y </w:t>
      </w:r>
      <w:r>
        <w:rPr>
          <w:rFonts w:cs="Courier New" w:ascii="Courier New" w:hAnsi="Courier New"/>
          <w:i/>
          <w:iCs/>
          <w:szCs w:val="20"/>
        </w:rPr>
        <w:t>LPA_LDS</w:t>
      </w:r>
      <w:r>
        <w:rPr/>
        <w:t xml:space="preserve"> con los algoritmos </w:t>
      </w:r>
      <w:r>
        <w:rPr>
          <w:rFonts w:cs="Courier New" w:ascii="Courier New" w:hAnsi="Courier New"/>
          <w:i/>
          <w:iCs/>
          <w:szCs w:val="20"/>
        </w:rPr>
        <w:t>Apriori_LDS</w:t>
      </w:r>
      <w:r>
        <w:rPr/>
        <w:t xml:space="preserve">, </w:t>
      </w:r>
      <w:r>
        <w:rPr>
          <w:rFonts w:cs="Courier New" w:ascii="Courier New" w:hAnsi="Courier New"/>
          <w:i/>
          <w:iCs/>
          <w:szCs w:val="20"/>
        </w:rPr>
        <w:t>ACO_LDS</w:t>
      </w:r>
      <w:r>
        <w:rPr>
          <w:i/>
          <w:iCs/>
        </w:rPr>
        <w:t xml:space="preserve"> </w:t>
      </w:r>
      <w:r>
        <w:rPr>
          <w:rFonts w:eastAsia="Times New Roman"/>
        </w:rPr>
        <w:t xml:space="preserve">y </w:t>
      </w:r>
      <w:r>
        <w:rPr>
          <w:rFonts w:cs="Courier New" w:ascii="Courier New" w:hAnsi="Courier New"/>
          <w:i/>
          <w:iCs/>
          <w:szCs w:val="20"/>
        </w:rPr>
        <w:t>AG_LDS</w:t>
      </w:r>
      <w:r>
        <w:rPr/>
        <w:t xml:space="preserve"> reportados en la bibliografía y se concluye: </w:t>
      </w:r>
    </w:p>
    <w:p>
      <w:pPr>
        <w:pStyle w:val="TDNormalLista"/>
        <w:numPr>
          <w:ilvl w:val="0"/>
          <w:numId w:val="86"/>
        </w:numPr>
        <w:ind w:left="426" w:hanging="284"/>
        <w:rPr/>
      </w:pPr>
      <w:r>
        <w:rPr/>
        <w:t xml:space="preserve">El algoritmo </w:t>
      </w:r>
      <w:r>
        <w:rPr>
          <w:rFonts w:cs="Courier New" w:ascii="Courier New" w:hAnsi="Courier New"/>
          <w:szCs w:val="20"/>
        </w:rPr>
        <w:t>GA_LDS</w:t>
      </w:r>
      <w:r>
        <w:rPr/>
        <w:t xml:space="preserve"> reportó los mejores resultados en los indicadores </w:t>
      </w:r>
      <w:r>
        <w:rPr>
          <w:i/>
          <w:lang w:val="en-US"/>
        </w:rPr>
        <w:t>T</w:t>
      </w:r>
      <w:r>
        <w:rPr>
          <w:i/>
          <w:vertAlign w:val="subscript"/>
          <w:lang w:val="en-US"/>
        </w:rPr>
        <w:t>1</w:t>
      </w:r>
      <w:r>
        <w:rPr>
          <w:i/>
          <w:lang w:val="en-US"/>
        </w:rPr>
        <w:t>,</w:t>
      </w:r>
      <w:r>
        <w:rPr>
          <w:i/>
          <w:vertAlign w:val="subscript"/>
          <w:lang w:val="en-US"/>
        </w:rPr>
        <w:t xml:space="preserve"> </w:t>
      </w:r>
      <w:r>
        <w:rPr>
          <w:i/>
          <w:lang w:val="en-US"/>
        </w:rPr>
        <w:t>T</w:t>
      </w:r>
      <w:r>
        <w:rPr>
          <w:i/>
          <w:vertAlign w:val="subscript"/>
          <w:lang w:val="en-US"/>
        </w:rPr>
        <w:t>4</w:t>
      </w:r>
      <w:r>
        <w:rPr>
          <w:lang w:val="en-US"/>
        </w:rPr>
        <w:t xml:space="preserve"> y </w:t>
      </w:r>
      <w:r>
        <w:rPr>
          <w:i/>
          <w:lang w:val="en-US"/>
        </w:rPr>
        <w:t>Te</w:t>
      </w:r>
      <w:r>
        <w:rPr>
          <w:i/>
          <w:vertAlign w:val="subscript"/>
          <w:lang w:val="en-US"/>
        </w:rPr>
        <w:t>5</w:t>
      </w:r>
      <w:r>
        <w:rPr>
          <w:lang w:val="en-US"/>
        </w:rPr>
        <w:t xml:space="preserve">; pero obtuvo los peores resultados en los indicadores </w:t>
      </w:r>
      <w:r>
        <w:rPr>
          <w:i/>
          <w:lang w:val="en-US"/>
        </w:rPr>
        <w:t>Te</w:t>
      </w:r>
      <w:r>
        <w:rPr>
          <w:i/>
          <w:vertAlign w:val="subscript"/>
          <w:lang w:val="en-US"/>
        </w:rPr>
        <w:t>1a</w:t>
      </w:r>
      <w:r>
        <w:rPr>
          <w:lang w:val="en-US"/>
        </w:rPr>
        <w:t xml:space="preserve">, </w:t>
      </w:r>
      <w:r>
        <w:rPr>
          <w:i/>
          <w:lang w:val="en-US"/>
        </w:rPr>
        <w:t>Te</w:t>
      </w:r>
      <w:r>
        <w:rPr>
          <w:i/>
          <w:vertAlign w:val="subscript"/>
          <w:lang w:val="en-US"/>
        </w:rPr>
        <w:t xml:space="preserve">3 </w:t>
      </w:r>
      <w:r>
        <w:rPr>
          <w:lang w:val="en-US"/>
        </w:rPr>
        <w:t>y “Cubrimiento de diferentes situaciones en la base de datos”</w:t>
      </w:r>
      <w:r>
        <w:rPr>
          <w:i/>
          <w:lang w:val="en-US"/>
        </w:rPr>
        <w:t xml:space="preserve">. </w:t>
      </w:r>
      <w:r>
        <w:rPr>
          <w:lang w:val="en-US"/>
        </w:rPr>
        <w:t xml:space="preserve">Mientras que el </w:t>
      </w:r>
      <w:r>
        <w:rPr>
          <w:rFonts w:cs="Courier New" w:ascii="Courier New" w:hAnsi="Courier New"/>
          <w:i/>
          <w:iCs/>
          <w:szCs w:val="20"/>
        </w:rPr>
        <w:t>ACO_LDS</w:t>
      </w:r>
      <w:r>
        <w:rPr>
          <w:lang w:val="en-US"/>
        </w:rPr>
        <w:t xml:space="preserve"> solo logró superar a los demás algoritmos en el indicador “Cubrimiento de diferentes situaciones en la base de datos” y obtuvo los peores resultados en los indicadores </w:t>
      </w:r>
      <w:r>
        <w:rPr>
          <w:i/>
          <w:lang w:val="en-US"/>
        </w:rPr>
        <w:t>T</w:t>
      </w:r>
      <w:r>
        <w:rPr>
          <w:i/>
          <w:vertAlign w:val="subscript"/>
          <w:lang w:val="en-US"/>
        </w:rPr>
        <w:t>3</w:t>
      </w:r>
      <w:r>
        <w:rPr>
          <w:lang w:val="en-US"/>
        </w:rPr>
        <w:t xml:space="preserve">, </w:t>
      </w:r>
      <w:r>
        <w:rPr>
          <w:i/>
          <w:lang w:val="en-US"/>
        </w:rPr>
        <w:t>T</w:t>
      </w:r>
      <w:r>
        <w:rPr>
          <w:i/>
          <w:vertAlign w:val="subscript"/>
          <w:lang w:val="en-US"/>
        </w:rPr>
        <w:t>5</w:t>
      </w:r>
      <w:r>
        <w:rPr>
          <w:i/>
          <w:lang w:val="en-US"/>
        </w:rPr>
        <w:t>, Te</w:t>
      </w:r>
      <w:r>
        <w:rPr>
          <w:i/>
          <w:vertAlign w:val="subscript"/>
          <w:lang w:val="en-US"/>
        </w:rPr>
        <w:t>1b</w:t>
      </w:r>
      <w:r>
        <w:rPr>
          <w:i/>
          <w:lang w:val="en-US"/>
        </w:rPr>
        <w:t>,</w:t>
      </w:r>
      <w:r>
        <w:rPr>
          <w:i/>
          <w:vertAlign w:val="subscript"/>
          <w:lang w:val="en-US"/>
        </w:rPr>
        <w:t xml:space="preserve"> </w:t>
      </w:r>
      <w:r>
        <w:rPr>
          <w:i/>
          <w:lang w:val="en-US"/>
        </w:rPr>
        <w:t>Te</w:t>
      </w:r>
      <w:r>
        <w:rPr>
          <w:i/>
          <w:vertAlign w:val="subscript"/>
          <w:lang w:val="en-US"/>
        </w:rPr>
        <w:t>4</w:t>
      </w:r>
      <w:r>
        <w:rPr>
          <w:lang w:val="en-US"/>
        </w:rPr>
        <w:t>, “Fortaleza</w:t>
      </w:r>
      <w:r>
        <w:rPr/>
        <w:t xml:space="preserve"> de las dependencias</w:t>
      </w:r>
      <w:r>
        <w:rPr>
          <w:lang w:val="en-US"/>
        </w:rPr>
        <w:t>” y “</w:t>
      </w:r>
      <w:r>
        <w:rPr/>
        <w:t>Tiempo de ejecución</w:t>
      </w:r>
      <w:r>
        <w:rPr>
          <w:lang w:val="en-US"/>
        </w:rPr>
        <w:t>”</w:t>
      </w:r>
      <w:r>
        <w:rPr>
          <w:i/>
        </w:rPr>
        <w:t xml:space="preserve">. </w:t>
      </w:r>
      <w:r>
        <w:rPr/>
        <w:t xml:space="preserve">En el análisis del comportamiento global con el </w:t>
      </w:r>
      <w:r>
        <w:rPr>
          <w:i/>
        </w:rPr>
        <w:t xml:space="preserve">Page’s L Test, </w:t>
      </w:r>
      <w:r>
        <w:rPr/>
        <w:t xml:space="preserve">estos algoritmos quedaron ubicados entre los últimos lugares siendo </w:t>
      </w:r>
      <w:r>
        <w:rPr>
          <w:rFonts w:cs="Courier New" w:ascii="Courier New" w:hAnsi="Courier New"/>
          <w:i/>
          <w:iCs/>
          <w:szCs w:val="20"/>
        </w:rPr>
        <w:t>ACO_LDS</w:t>
      </w:r>
      <w:r>
        <w:rPr>
          <w:rFonts w:cs="Courier New" w:ascii="Courier New" w:hAnsi="Courier New"/>
          <w:szCs w:val="20"/>
        </w:rPr>
        <w:t xml:space="preserve"> </w:t>
      </w:r>
      <w:r>
        <w:rPr/>
        <w:t>el de peores resultados.</w:t>
      </w:r>
    </w:p>
    <w:p>
      <w:pPr>
        <w:pStyle w:val="TDNormalLista"/>
        <w:numPr>
          <w:ilvl w:val="0"/>
          <w:numId w:val="86"/>
        </w:numPr>
        <w:ind w:left="426" w:hanging="284"/>
        <w:rPr/>
      </w:pPr>
      <w:r>
        <w:rPr>
          <w:lang w:val="en-US"/>
        </w:rPr>
        <w:t xml:space="preserve">Se demuestra que los algoritmos </w:t>
      </w:r>
      <w:r>
        <w:rPr>
          <w:rFonts w:cs="Courier New" w:ascii="Courier New" w:hAnsi="Courier New"/>
          <w:i/>
          <w:iCs/>
          <w:szCs w:val="20"/>
        </w:rPr>
        <w:t>PCA_LDS</w:t>
      </w:r>
      <w:r>
        <w:rPr>
          <w:lang w:val="en-US"/>
        </w:rPr>
        <w:t xml:space="preserve"> y </w:t>
      </w:r>
      <w:r>
        <w:rPr>
          <w:rFonts w:cs="Courier New" w:ascii="Courier New" w:hAnsi="Courier New"/>
          <w:i/>
          <w:iCs/>
          <w:szCs w:val="20"/>
        </w:rPr>
        <w:t>RST_LDS</w:t>
      </w:r>
      <w:r>
        <w:rPr>
          <w:lang w:val="en-US"/>
        </w:rPr>
        <w:t xml:space="preserve"> superaron a los reportados en la bibliografía en la mayoría de los experimentos realizados. </w:t>
      </w:r>
    </w:p>
    <w:p>
      <w:pPr>
        <w:pStyle w:val="TDNormalLista"/>
        <w:numPr>
          <w:ilvl w:val="0"/>
          <w:numId w:val="86"/>
        </w:numPr>
        <w:ind w:left="426" w:hanging="284"/>
        <w:rPr/>
      </w:pPr>
      <w:r>
        <w:rPr>
          <w:lang w:val="en-US"/>
        </w:rPr>
        <w:t xml:space="preserve">El </w:t>
      </w:r>
      <w:r>
        <w:rPr>
          <w:rFonts w:cs="Courier New" w:ascii="Courier New" w:hAnsi="Courier New"/>
          <w:i/>
          <w:iCs/>
          <w:szCs w:val="20"/>
        </w:rPr>
        <w:t>RST_LDS</w:t>
      </w:r>
      <w:r>
        <w:rPr>
          <w:i/>
          <w:sz w:val="28"/>
          <w:lang w:val="en-US"/>
        </w:rPr>
        <w:t xml:space="preserve"> </w:t>
      </w:r>
      <w:r>
        <w:rPr>
          <w:lang w:val="en-US"/>
        </w:rPr>
        <w:t xml:space="preserve">quedó ubicado como el mejor algoritmo </w:t>
      </w:r>
      <w:r>
        <w:rPr/>
        <w:t xml:space="preserve">en el </w:t>
      </w:r>
      <w:r>
        <w:rPr>
          <w:lang w:val="en-US"/>
        </w:rPr>
        <w:t xml:space="preserve">análisis global y obtuvo mejores resultados que el resto de los algoritmos en los indicadores </w:t>
      </w:r>
      <w:r>
        <w:rPr>
          <w:i/>
          <w:lang w:val="en-US"/>
        </w:rPr>
        <w:t>T</w:t>
      </w:r>
      <w:r>
        <w:rPr>
          <w:i/>
          <w:vertAlign w:val="subscript"/>
          <w:lang w:val="en-US"/>
        </w:rPr>
        <w:t>2</w:t>
      </w:r>
      <w:r>
        <w:rPr>
          <w:lang w:val="en-US"/>
        </w:rPr>
        <w:t xml:space="preserve">, </w:t>
      </w:r>
      <w:r>
        <w:rPr>
          <w:i/>
          <w:lang w:val="en-US"/>
        </w:rPr>
        <w:t>T</w:t>
      </w:r>
      <w:r>
        <w:rPr>
          <w:i/>
          <w:vertAlign w:val="subscript"/>
          <w:lang w:val="en-US"/>
        </w:rPr>
        <w:t>3</w:t>
      </w:r>
      <w:r>
        <w:rPr>
          <w:lang w:val="en-US"/>
        </w:rPr>
        <w:t xml:space="preserve">, </w:t>
      </w:r>
      <w:r>
        <w:rPr>
          <w:i/>
          <w:lang w:val="en-US"/>
        </w:rPr>
        <w:t>T</w:t>
      </w:r>
      <w:r>
        <w:rPr>
          <w:i/>
          <w:vertAlign w:val="subscript"/>
          <w:lang w:val="en-US"/>
        </w:rPr>
        <w:t>5</w:t>
      </w:r>
      <w:r>
        <w:rPr>
          <w:i/>
          <w:lang w:val="en-US"/>
        </w:rPr>
        <w:t>,</w:t>
      </w:r>
      <w:r>
        <w:rPr>
          <w:i/>
          <w:vertAlign w:val="subscript"/>
          <w:lang w:val="en-US"/>
        </w:rPr>
        <w:t xml:space="preserve"> </w:t>
      </w:r>
      <w:r>
        <w:rPr>
          <w:i/>
          <w:lang w:val="en-US"/>
        </w:rPr>
        <w:t>Te</w:t>
      </w:r>
      <w:r>
        <w:rPr>
          <w:i/>
          <w:vertAlign w:val="subscript"/>
          <w:lang w:val="en-US"/>
        </w:rPr>
        <w:t>1a</w:t>
      </w:r>
      <w:r>
        <w:rPr>
          <w:i/>
          <w:lang w:val="en-US"/>
        </w:rPr>
        <w:t>,</w:t>
      </w:r>
      <w:r>
        <w:rPr>
          <w:i/>
          <w:vertAlign w:val="subscript"/>
          <w:lang w:val="en-US"/>
        </w:rPr>
        <w:t xml:space="preserve"> </w:t>
      </w:r>
      <w:r>
        <w:rPr>
          <w:i/>
          <w:lang w:val="en-US"/>
        </w:rPr>
        <w:t>Te</w:t>
      </w:r>
      <w:r>
        <w:rPr>
          <w:i/>
          <w:vertAlign w:val="subscript"/>
          <w:lang w:val="en-US"/>
        </w:rPr>
        <w:t>1b</w:t>
      </w:r>
      <w:r>
        <w:rPr>
          <w:i/>
          <w:lang w:val="en-US"/>
        </w:rPr>
        <w:t>,</w:t>
      </w:r>
      <w:r>
        <w:rPr>
          <w:i/>
          <w:vertAlign w:val="subscript"/>
          <w:lang w:val="en-US"/>
        </w:rPr>
        <w:t xml:space="preserve"> </w:t>
      </w:r>
      <w:r>
        <w:rPr>
          <w:i/>
          <w:lang w:val="en-US"/>
        </w:rPr>
        <w:t>Te</w:t>
      </w:r>
      <w:r>
        <w:rPr>
          <w:i/>
          <w:vertAlign w:val="subscript"/>
          <w:lang w:val="en-US"/>
        </w:rPr>
        <w:t>5</w:t>
      </w:r>
      <w:r>
        <w:rPr>
          <w:lang w:val="en-US"/>
        </w:rPr>
        <w:t>,</w:t>
      </w:r>
      <w:r>
        <w:rPr>
          <w:i/>
          <w:lang w:val="en-US"/>
        </w:rPr>
        <w:t xml:space="preserve"> Fortaleza</w:t>
      </w:r>
      <w:r>
        <w:rPr>
          <w:i/>
        </w:rPr>
        <w:t xml:space="preserve"> de las dependencias</w:t>
      </w:r>
      <w:r>
        <w:rPr>
          <w:lang w:val="en-US"/>
        </w:rPr>
        <w:t xml:space="preserve"> y </w:t>
      </w:r>
      <w:r>
        <w:rPr>
          <w:i/>
        </w:rPr>
        <w:t>Tiempo de ejecución</w:t>
      </w:r>
      <w:r>
        <w:rPr>
          <w:lang w:val="en-US"/>
        </w:rPr>
        <w:t>. Este algoritmo nunca quedó ubicado como el peor en los indicadores analizados.</w:t>
      </w:r>
    </w:p>
    <w:p>
      <w:pPr>
        <w:pStyle w:val="TDNormalLista"/>
        <w:numPr>
          <w:ilvl w:val="0"/>
          <w:numId w:val="86"/>
        </w:numPr>
        <w:ind w:left="426" w:hanging="284"/>
        <w:rPr/>
      </w:pPr>
      <w:r>
        <w:rPr>
          <w:lang w:val="en-US"/>
        </w:rPr>
        <w:t xml:space="preserve">En la mayoría de los experimentos realizados el algoritmo </w:t>
      </w:r>
      <w:r>
        <w:rPr>
          <w:rFonts w:cs="Courier New" w:ascii="Courier New" w:hAnsi="Courier New"/>
          <w:i/>
          <w:iCs/>
          <w:szCs w:val="20"/>
        </w:rPr>
        <w:t>PCA_LDS</w:t>
      </w:r>
      <w:r>
        <w:rPr/>
        <w:t xml:space="preserve"> fue ligeramente superior al </w:t>
      </w:r>
      <w:r>
        <w:rPr>
          <w:rFonts w:cs="Courier New" w:ascii="Courier New" w:hAnsi="Courier New"/>
          <w:i/>
          <w:iCs/>
          <w:szCs w:val="20"/>
        </w:rPr>
        <w:t>Apriori_LDS</w:t>
      </w:r>
      <w:r>
        <w:rPr>
          <w:rFonts w:eastAsia="Times New Roman"/>
        </w:rPr>
        <w:t>, pero sin diferencias significativas entre ellos.</w:t>
      </w:r>
    </w:p>
    <w:p>
      <w:pPr>
        <w:pStyle w:val="TDNormalLista"/>
        <w:numPr>
          <w:ilvl w:val="0"/>
          <w:numId w:val="86"/>
        </w:numPr>
        <w:ind w:left="426" w:hanging="284"/>
        <w:rPr/>
      </w:pPr>
      <w:r>
        <w:rPr>
          <w:lang w:val="en-US"/>
        </w:rPr>
        <w:t xml:space="preserve">El algoritmo </w:t>
      </w:r>
      <w:r>
        <w:rPr>
          <w:rFonts w:cs="Courier New" w:ascii="Courier New" w:hAnsi="Courier New"/>
          <w:i/>
          <w:iCs/>
          <w:szCs w:val="20"/>
        </w:rPr>
        <w:t>LPA_LDS</w:t>
      </w:r>
      <w:r>
        <w:rPr>
          <w:lang w:val="en-US"/>
        </w:rPr>
        <w:t xml:space="preserve"> es el segundo respecto a los peores resultados en el análisis global y fue el de peores resultados en los indicadores </w:t>
      </w:r>
      <w:r>
        <w:rPr>
          <w:i/>
          <w:lang w:val="en-US"/>
        </w:rPr>
        <w:t>T</w:t>
      </w:r>
      <w:r>
        <w:rPr>
          <w:i/>
          <w:vertAlign w:val="subscript"/>
          <w:lang w:val="en-US"/>
        </w:rPr>
        <w:t>1</w:t>
      </w:r>
      <w:r>
        <w:rPr>
          <w:lang w:val="en-US"/>
        </w:rPr>
        <w:t xml:space="preserve"> y </w:t>
      </w:r>
      <w:r>
        <w:rPr>
          <w:i/>
          <w:lang w:val="en-US"/>
        </w:rPr>
        <w:t>T</w:t>
      </w:r>
      <w:r>
        <w:rPr>
          <w:i/>
          <w:vertAlign w:val="subscript"/>
          <w:lang w:val="en-US"/>
        </w:rPr>
        <w:t>2</w:t>
      </w:r>
      <w:r>
        <w:rPr/>
        <w:t>.</w:t>
      </w:r>
    </w:p>
    <w:p>
      <w:pPr>
        <w:pStyle w:val="TDNormalLista"/>
        <w:numPr>
          <w:ilvl w:val="0"/>
          <w:numId w:val="86"/>
        </w:numPr>
        <w:ind w:left="426" w:hanging="284"/>
        <w:rPr/>
      </w:pPr>
      <w:r>
        <w:rPr/>
        <w:t xml:space="preserve">Se demuestra la aplicabilidad de los algoritmos propuestos a través de casos de estudio sobre tratamiento de embarazadas cardiópatas y sobre evaluación de gestión de proyectos. En la experimentación se evidencia la complementariedad entre los algoritmos </w:t>
      </w:r>
      <w:r>
        <w:rPr>
          <w:rFonts w:cs="Courier New" w:ascii="Courier New" w:hAnsi="Courier New"/>
          <w:i/>
          <w:iCs/>
          <w:szCs w:val="20"/>
        </w:rPr>
        <w:t>RST_LDS</w:t>
      </w:r>
      <w:r>
        <w:rPr/>
        <w:t xml:space="preserve">, </w:t>
      </w:r>
      <w:r>
        <w:rPr>
          <w:rFonts w:cs="Courier New" w:ascii="Courier New" w:hAnsi="Courier New"/>
          <w:i/>
          <w:iCs/>
          <w:szCs w:val="20"/>
        </w:rPr>
        <w:t>LPA_LDS</w:t>
      </w:r>
      <w:r>
        <w:rPr/>
        <w:t xml:space="preserve"> y</w:t>
      </w:r>
      <w:r>
        <w:rPr>
          <w:i/>
          <w:iCs/>
        </w:rPr>
        <w:t xml:space="preserve"> </w:t>
      </w:r>
      <w:r>
        <w:rPr>
          <w:rFonts w:cs="Courier New" w:ascii="Courier New" w:hAnsi="Courier New"/>
          <w:i/>
          <w:iCs/>
          <w:szCs w:val="20"/>
        </w:rPr>
        <w:t>PCA_LDS</w:t>
      </w:r>
      <w:r>
        <w:rPr/>
        <w:t xml:space="preserve"> y</w:t>
      </w:r>
      <w:r>
        <w:rPr>
          <w:i/>
          <w:iCs/>
        </w:rPr>
        <w:t xml:space="preserve"> </w:t>
      </w:r>
      <w:r>
        <w:rPr/>
        <w:t xml:space="preserve">se construye el meta-algoritmo </w:t>
      </w:r>
      <w:r>
        <w:rPr>
          <w:rFonts w:cs="Courier New" w:ascii="Courier New" w:hAnsi="Courier New"/>
          <w:i/>
          <w:iCs/>
          <w:szCs w:val="20"/>
        </w:rPr>
        <w:t>Hybrid_LDS</w:t>
      </w:r>
      <w:r>
        <w:rPr/>
        <w:t xml:space="preserve"> como parte del ecosistema Cuadro de Mando para la Toma de Decisiones. </w:t>
      </w:r>
    </w:p>
    <w:p>
      <w:pPr>
        <w:pStyle w:val="TDNormalLista"/>
        <w:numPr>
          <w:ilvl w:val="0"/>
          <w:numId w:val="86"/>
        </w:numPr>
        <w:ind w:left="426" w:hanging="284"/>
        <w:rPr/>
      </w:pPr>
      <w:r>
        <w:rPr/>
        <w:t xml:space="preserve">Se valida la interpretabilidad de los resúmenes desde un enfoque multilingüe y se someten los resultados obtenidos al análisis de expertos en los idiomas </w:t>
      </w:r>
      <w:r>
        <w:rPr>
          <w:lang w:val="en-US"/>
        </w:rPr>
        <w:t>español, inglés, japonés y árabe; considerando los criterios gramática, sencillez, legibilidad y ortografía. En la mayoría de los criterios, la evaluación fue entre alta y muy alta, siendo la ortografía el criterio de mejor evaluación y la legibilidad de los resúmenes en inglés, el criterio que obtuvo la menor evaluación.</w:t>
      </w:r>
    </w:p>
    <w:p>
      <w:pPr>
        <w:pStyle w:val="Normal"/>
        <w:rPr/>
      </w:pPr>
      <w:r>
        <w:rPr/>
      </w:r>
    </w:p>
    <w:p>
      <w:pPr>
        <w:pStyle w:val="Heading1"/>
        <w:numPr>
          <w:ilvl w:val="0"/>
          <w:numId w:val="80"/>
        </w:numPr>
        <w:rPr/>
      </w:pPr>
      <w:bookmarkStart w:id="3653" w:name="_Toc476476173"/>
      <w:bookmarkStart w:id="3654" w:name="_Toc484293923"/>
      <w:bookmarkStart w:id="3655" w:name="_Toc84598950"/>
      <w:bookmarkEnd w:id="3653"/>
      <w:bookmarkEnd w:id="3654"/>
      <w:bookmarkEnd w:id="3655"/>
      <w:r>
        <w:rPr/>
        <w:t>Conclusiones generales</w:t>
      </w:r>
    </w:p>
    <w:p>
      <w:pPr>
        <w:pStyle w:val="Normal"/>
        <w:rPr/>
      </w:pPr>
      <w:r>
        <w:rPr/>
        <w:t xml:space="preserve">En la bibliografía analizada se identifica que hay consenso entre los diferentes investigadores respecto a los elementos que conforman los resúmenes lingüísticos. Además, se identificó que la mayoría de las protoformas y algoritmos reportados en la bibliografía están diseñados para el idioma inglés, afectando su capacidad de poder representar los resúmenes en múltiples idiomas. </w:t>
      </w:r>
    </w:p>
    <w:p>
      <w:pPr>
        <w:pStyle w:val="Normal"/>
        <w:spacing w:before="120" w:after="120"/>
        <w:rPr/>
      </w:pPr>
      <w:r>
        <w:rPr/>
        <w:t>En la bibliografía consultada, las técnicas más empleadas para la generación de resúmenes lingüísticos emplean enfoques basados en consultas y en el uso de metaheurísticas. En el análisis de la bibliografía se identifican líneas abiertas a la investigación asociadas a la hibridación de técnicas que eleven la eficacia en la generación de resúmenes con menos costo computacional.</w:t>
      </w:r>
    </w:p>
    <w:p>
      <w:pPr>
        <w:pStyle w:val="Normal"/>
        <w:spacing w:before="120" w:after="120"/>
        <w:rPr/>
      </w:pPr>
      <w:r>
        <w:rPr/>
        <w:t xml:space="preserve">En esta tesis se proponen los algoritmos </w:t>
      </w:r>
      <w:r>
        <w:rPr>
          <w:rFonts w:cs="Courier New" w:ascii="Courier New" w:hAnsi="Courier New"/>
          <w:i/>
          <w:iCs/>
          <w:szCs w:val="20"/>
        </w:rPr>
        <w:t>RST_LDS</w:t>
      </w:r>
      <w:r>
        <w:rPr>
          <w:i/>
          <w:iCs/>
        </w:rPr>
        <w:t xml:space="preserve">, </w:t>
      </w:r>
      <w:r>
        <w:rPr>
          <w:rFonts w:cs="Courier New" w:ascii="Courier New" w:hAnsi="Courier New"/>
          <w:i/>
          <w:iCs/>
          <w:szCs w:val="20"/>
        </w:rPr>
        <w:t>PCA_LDS</w:t>
      </w:r>
      <w:r>
        <w:rPr>
          <w:i/>
          <w:iCs/>
        </w:rPr>
        <w:t xml:space="preserve">, </w:t>
      </w:r>
      <w:r>
        <w:rPr>
          <w:rFonts w:cs="Courier New" w:ascii="Courier New" w:hAnsi="Courier New"/>
          <w:i/>
          <w:iCs/>
          <w:szCs w:val="20"/>
        </w:rPr>
        <w:t>LPA_LDS</w:t>
      </w:r>
      <w:r>
        <w:rPr/>
        <w:t xml:space="preserve"> y</w:t>
      </w:r>
      <w:r>
        <w:rPr>
          <w:rFonts w:cs="Times New Roman"/>
        </w:rPr>
        <w:t xml:space="preserve"> </w:t>
      </w:r>
      <w:r>
        <w:rPr>
          <w:rFonts w:cs="Courier New" w:ascii="Courier New" w:hAnsi="Courier New"/>
          <w:i/>
          <w:iCs/>
          <w:szCs w:val="20"/>
        </w:rPr>
        <w:t>LDS_outliers</w:t>
      </w:r>
      <w:r>
        <w:rPr>
          <w:rFonts w:cs="Courier New" w:ascii="Courier New" w:hAnsi="Courier New"/>
          <w:szCs w:val="20"/>
        </w:rPr>
        <w:t xml:space="preserve"> </w:t>
      </w:r>
      <w:r>
        <w:rPr/>
        <w:t>que combinan diferentes técnicas de computación emergente, entre las que se destacan la teoría neutrosófica, los conjuntos aproximados, el aprendizaje de reglas de asociación y el aprendizaje de grafos probabilísticos. Estos algoritmos facilitan la presentación de los resúmenes en múltiples idiomas empleando lenguajes naturales controlados.</w:t>
      </w:r>
    </w:p>
    <w:p>
      <w:pPr>
        <w:pStyle w:val="Normal"/>
        <w:spacing w:before="120" w:after="120"/>
        <w:rPr>
          <w:lang w:val="en-US"/>
        </w:rPr>
      </w:pPr>
      <w:r>
        <w:rPr>
          <w:lang w:val="en-US"/>
        </w:rPr>
        <w:t xml:space="preserve">Se demuestra que los algoritmos </w:t>
      </w:r>
      <w:r>
        <w:rPr>
          <w:rFonts w:cs="Courier New" w:ascii="Courier New" w:hAnsi="Courier New"/>
          <w:i/>
          <w:iCs/>
          <w:szCs w:val="20"/>
        </w:rPr>
        <w:t>PCA_LDS</w:t>
      </w:r>
      <w:r>
        <w:rPr>
          <w:lang w:val="en-US"/>
        </w:rPr>
        <w:t xml:space="preserve"> y </w:t>
      </w:r>
      <w:r>
        <w:rPr>
          <w:rFonts w:cs="Courier New" w:ascii="Courier New" w:hAnsi="Courier New"/>
          <w:i/>
          <w:iCs/>
          <w:szCs w:val="20"/>
        </w:rPr>
        <w:t>RST_LDS</w:t>
      </w:r>
      <w:r>
        <w:rPr>
          <w:lang w:val="en-US"/>
        </w:rPr>
        <w:t xml:space="preserve"> superaron a los algoritmos reportados en la bibliografía en la mayoría de los experimentos realizados, siendo el algoritmo </w:t>
      </w:r>
      <w:r>
        <w:rPr>
          <w:rFonts w:cs="Courier New" w:ascii="Courier New" w:hAnsi="Courier New"/>
          <w:i/>
          <w:iCs/>
          <w:szCs w:val="20"/>
        </w:rPr>
        <w:t>RST_LDS</w:t>
      </w:r>
      <w:r>
        <w:rPr>
          <w:i/>
          <w:sz w:val="28"/>
          <w:lang w:val="en-US"/>
        </w:rPr>
        <w:t xml:space="preserve"> </w:t>
      </w:r>
      <w:r>
        <w:rPr>
          <w:lang w:val="en-US"/>
        </w:rPr>
        <w:t xml:space="preserve">el que reportó los mejores resultados. </w:t>
      </w:r>
    </w:p>
    <w:p>
      <w:pPr>
        <w:pStyle w:val="Normal"/>
        <w:spacing w:before="120" w:after="120"/>
        <w:rPr/>
      </w:pPr>
      <w:r>
        <w:rPr/>
        <w:t xml:space="preserve">En la investigación se proponen dos enfoques que posibilitan aplicar los resúmenes lingüísticos en la minería de datos anómalos. El algoritmo </w:t>
      </w:r>
      <w:r>
        <w:rPr>
          <w:rFonts w:cs="Courier New" w:ascii="Courier New" w:hAnsi="Courier New"/>
          <w:i/>
          <w:iCs/>
          <w:szCs w:val="20"/>
        </w:rPr>
        <w:t>RST_LDS</w:t>
      </w:r>
      <w:r>
        <w:rPr/>
        <w:t xml:space="preserve"> representa el primer enfoque centrado en identificar situaciones poco frecuentes en la base de datos, que puedan representar datos anómalos. Mientras que el algoritmo </w:t>
      </w:r>
      <w:r>
        <w:rPr>
          <w:rFonts w:cs="Courier New" w:ascii="Courier New" w:hAnsi="Courier New"/>
          <w:i/>
          <w:iCs/>
          <w:szCs w:val="20"/>
        </w:rPr>
        <w:t>LDS_outliers</w:t>
      </w:r>
      <w:r>
        <w:rPr/>
        <w:t xml:space="preserve"> representa al segundo enfoque donde se aplican métodos para el descubrimiento de datos anómalos y luego la construcción de resúmenes lingüísticos a partir de éstos.</w:t>
      </w:r>
    </w:p>
    <w:p>
      <w:pPr>
        <w:pStyle w:val="Normal"/>
        <w:spacing w:before="120" w:after="120"/>
        <w:rPr/>
      </w:pPr>
      <w:r>
        <w:rPr/>
        <w:t>Los nuevos indicadores propuestos para la evaluación de los resúmenes lingüísticos complementan a los indicadores tradicionales reportados en la bibliografía, mejorando el tratamiento de la indeterminación y la falsedad. Se demuestra que:</w:t>
      </w:r>
    </w:p>
    <w:p>
      <w:pPr>
        <w:pStyle w:val="ListParagraph"/>
        <w:numPr>
          <w:ilvl w:val="0"/>
          <w:numId w:val="87"/>
        </w:numPr>
        <w:ind w:left="426" w:hanging="284"/>
        <w:rPr/>
      </w:pPr>
      <w:r>
        <w:rPr>
          <w:lang w:val="es-ES"/>
        </w:rPr>
        <w:t xml:space="preserve">La introducción de conceptos como el parámetro </w:t>
      </w:r>
      <w:r>
        <w:rPr>
          <w:rFonts w:eastAsia="Symbol" w:cs="Symbol" w:ascii="Symbol" w:hAnsi="Symbol"/>
          <w:i/>
          <w:iCs/>
        </w:rPr>
        <w:t></w:t>
      </w:r>
      <w:r>
        <w:rPr>
          <w:i/>
          <w:iCs/>
          <w:lang w:val="en-US"/>
        </w:rPr>
        <w:t>-corte</w:t>
      </w:r>
      <w:r>
        <w:rPr>
          <w:lang w:val="en-US"/>
        </w:rPr>
        <w:t>, así como la aproximación superior y la aproximación inferior en el cálculo de los indicadores, permiten regular con mayor flexibilidad el nivel de rigor en la evaluación de los resúmenes lingüísticos.</w:t>
      </w:r>
    </w:p>
    <w:p>
      <w:pPr>
        <w:pStyle w:val="ListParagraph"/>
        <w:numPr>
          <w:ilvl w:val="0"/>
          <w:numId w:val="87"/>
        </w:numPr>
        <w:spacing w:before="120" w:after="120"/>
        <w:ind w:left="426" w:hanging="284"/>
        <w:rPr/>
      </w:pPr>
      <w:r>
        <w:rPr>
          <w:lang w:val="es-ES"/>
        </w:rPr>
        <w:t>E</w:t>
      </w:r>
      <w:r>
        <w:rPr/>
        <w:t xml:space="preserve">l indicador </w:t>
      </w:r>
      <w:r>
        <w:rPr>
          <w:i/>
        </w:rPr>
        <w:t>Te</w:t>
      </w:r>
      <w:r>
        <w:rPr>
          <w:i/>
          <w:vertAlign w:val="subscript"/>
        </w:rPr>
        <w:t>1a</w:t>
      </w:r>
      <w:r>
        <w:rPr/>
        <w:t xml:space="preserve"> report</w:t>
      </w:r>
      <w:r>
        <w:rPr>
          <w:lang w:val="es-ES"/>
        </w:rPr>
        <w:t>a</w:t>
      </w:r>
      <w:r>
        <w:rPr/>
        <w:t xml:space="preserve"> un comportamiento mejor que la variante tradicional </w:t>
      </w:r>
      <w:r>
        <w:rPr>
          <w:i/>
        </w:rPr>
        <w:t>T</w:t>
      </w:r>
      <w:r>
        <w:rPr>
          <w:i/>
          <w:vertAlign w:val="subscript"/>
        </w:rPr>
        <w:t>1</w:t>
      </w:r>
      <w:r>
        <w:rPr/>
        <w:t xml:space="preserve"> en las clases de prueba analizadas</w:t>
      </w:r>
      <w:r>
        <w:rPr>
          <w:lang w:val="en-US"/>
        </w:rPr>
        <w:t xml:space="preserve">. </w:t>
      </w:r>
    </w:p>
    <w:p>
      <w:pPr>
        <w:pStyle w:val="ListParagraph"/>
        <w:numPr>
          <w:ilvl w:val="0"/>
          <w:numId w:val="87"/>
        </w:numPr>
        <w:ind w:left="426" w:hanging="284"/>
        <w:rPr/>
      </w:pPr>
      <w:r>
        <w:rPr>
          <w:lang w:val="en-US"/>
        </w:rPr>
        <w:t xml:space="preserve">Los indicadores propuestos para medir la imprecisión, complementan al </w:t>
      </w:r>
      <w:r>
        <w:rPr>
          <w:i/>
        </w:rPr>
        <w:t>T</w:t>
      </w:r>
      <w:r>
        <w:rPr>
          <w:i/>
          <w:vertAlign w:val="subscript"/>
        </w:rPr>
        <w:t>2</w:t>
      </w:r>
      <w:r>
        <w:rPr>
          <w:lang w:val="en-US"/>
        </w:rPr>
        <w:t xml:space="preserve">, no lo reemplaza. Las extensiones </w:t>
      </w:r>
      <w:r>
        <w:rPr>
          <w:i/>
        </w:rPr>
        <w:t>Te</w:t>
      </w:r>
      <w:r>
        <w:rPr>
          <w:i/>
          <w:vertAlign w:val="subscript"/>
        </w:rPr>
        <w:t>2c</w:t>
      </w:r>
      <w:r>
        <w:rPr>
          <w:lang w:val="en-US"/>
        </w:rPr>
        <w:t xml:space="preserve"> y </w:t>
      </w:r>
      <w:r>
        <w:rPr>
          <w:i/>
        </w:rPr>
        <w:t>Te</w:t>
      </w:r>
      <w:r>
        <w:rPr>
          <w:i/>
          <w:vertAlign w:val="subscript"/>
        </w:rPr>
        <w:t>2d</w:t>
      </w:r>
      <w:r>
        <w:rPr>
          <w:lang w:val="en-US"/>
        </w:rPr>
        <w:t xml:space="preserve"> permiten medir de forma diferenciada la indeterminación y la falsedad respectivamente. El indicador </w:t>
      </w:r>
      <w:r>
        <w:rPr>
          <w:i/>
        </w:rPr>
        <w:t>Te</w:t>
      </w:r>
      <w:r>
        <w:rPr>
          <w:i/>
          <w:vertAlign w:val="subscript"/>
        </w:rPr>
        <w:t>2a</w:t>
      </w:r>
      <w:r>
        <w:rPr>
          <w:lang w:val="en-US"/>
        </w:rPr>
        <w:t xml:space="preserve"> mide la impresión combinando la certeza, la indeterminación y la falsedad mientras que el </w:t>
      </w:r>
      <w:r>
        <w:rPr>
          <w:i/>
        </w:rPr>
        <w:t>Te</w:t>
      </w:r>
      <w:r>
        <w:rPr>
          <w:i/>
          <w:vertAlign w:val="subscript"/>
        </w:rPr>
        <w:t>2b</w:t>
      </w:r>
      <w:r>
        <w:rPr>
          <w:lang w:val="en-US"/>
        </w:rPr>
        <w:t xml:space="preserve"> calcula la imprecisión solo considerando la indeterminación y la falsedad.</w:t>
      </w:r>
    </w:p>
    <w:p>
      <w:pPr>
        <w:pStyle w:val="ListParagraph"/>
        <w:numPr>
          <w:ilvl w:val="0"/>
          <w:numId w:val="87"/>
        </w:numPr>
        <w:spacing w:before="120" w:after="120"/>
        <w:ind w:left="426" w:hanging="284"/>
        <w:rPr/>
      </w:pPr>
      <w:r>
        <w:rPr>
          <w:lang w:val="es-ES"/>
        </w:rPr>
        <w:t>El indicador</w:t>
      </w:r>
      <w:r>
        <w:rPr>
          <w:i/>
          <w:iCs/>
          <w:lang w:val="es-ES"/>
        </w:rPr>
        <w:t xml:space="preserve"> </w:t>
      </w:r>
      <w:r>
        <w:rPr>
          <w:i/>
        </w:rPr>
        <w:t>Te</w:t>
      </w:r>
      <w:r>
        <w:rPr>
          <w:i/>
          <w:vertAlign w:val="subscript"/>
        </w:rPr>
        <w:t xml:space="preserve">3 </w:t>
      </w:r>
      <w:r>
        <w:rPr/>
        <w:t xml:space="preserve">extendido </w:t>
      </w:r>
      <w:r>
        <w:rPr>
          <w:lang w:val="es-ES"/>
        </w:rPr>
        <w:t xml:space="preserve">asociado al </w:t>
      </w:r>
      <w:r>
        <w:rPr>
          <w:iCs/>
          <w:lang w:val="en-US"/>
        </w:rPr>
        <w:t>grado de cobertura</w:t>
      </w:r>
      <w:r>
        <w:rPr>
          <w:lang w:val="en-US"/>
        </w:rPr>
        <w:t xml:space="preserve"> </w:t>
      </w:r>
      <w:r>
        <w:rPr/>
        <w:t xml:space="preserve">es más estricto que el </w:t>
      </w:r>
      <w:r>
        <w:rPr>
          <w:i/>
        </w:rPr>
        <w:t>T</w:t>
      </w:r>
      <w:r>
        <w:rPr>
          <w:i/>
          <w:vertAlign w:val="subscript"/>
        </w:rPr>
        <w:t>3</w:t>
      </w:r>
      <w:r>
        <w:rPr/>
        <w:t xml:space="preserve"> tradicional y diferencia mejor los escenarios representados </w:t>
      </w:r>
      <w:r>
        <w:rPr>
          <w:lang w:val="es-ES"/>
        </w:rPr>
        <w:t xml:space="preserve">en </w:t>
      </w:r>
      <w:r>
        <w:rPr/>
        <w:t>las clases de prueba.</w:t>
      </w:r>
    </w:p>
    <w:p>
      <w:pPr>
        <w:pStyle w:val="ListParagraph"/>
        <w:numPr>
          <w:ilvl w:val="0"/>
          <w:numId w:val="87"/>
        </w:numPr>
        <w:spacing w:before="120" w:after="120"/>
        <w:ind w:left="426" w:hanging="284"/>
        <w:rPr/>
      </w:pPr>
      <w:r>
        <w:rPr>
          <w:lang w:val="es-ES"/>
        </w:rPr>
        <w:t xml:space="preserve">El indicador </w:t>
      </w:r>
      <w:r>
        <w:rPr>
          <w:i/>
        </w:rPr>
        <w:t>Te</w:t>
      </w:r>
      <w:r>
        <w:rPr>
          <w:i/>
          <w:vertAlign w:val="subscript"/>
        </w:rPr>
        <w:t>4</w:t>
      </w:r>
      <w:r>
        <w:rPr>
          <w:i/>
        </w:rPr>
        <w:t xml:space="preserve"> </w:t>
      </w:r>
      <w:r>
        <w:rPr>
          <w:lang w:val="es-ES"/>
        </w:rPr>
        <w:t xml:space="preserve">relacionado con el </w:t>
      </w:r>
      <w:r>
        <w:rPr>
          <w:iCs/>
        </w:rPr>
        <w:t>grado de adecuación</w:t>
      </w:r>
      <w:r>
        <w:rPr/>
        <w:t xml:space="preserve"> </w:t>
      </w:r>
      <w:r>
        <w:rPr>
          <w:lang w:val="es-ES"/>
        </w:rPr>
        <w:t xml:space="preserve">combina el grado de certidumbre con la </w:t>
      </w:r>
      <w:r>
        <w:rPr/>
        <w:t xml:space="preserve">indeterminación y </w:t>
      </w:r>
      <w:r>
        <w:rPr>
          <w:lang w:val="es-ES"/>
        </w:rPr>
        <w:t xml:space="preserve">la falsedad; discrimina mejor los diferentes </w:t>
      </w:r>
      <w:r>
        <w:rPr/>
        <w:t xml:space="preserve">escenarios representados </w:t>
      </w:r>
      <w:r>
        <w:rPr>
          <w:lang w:val="es-ES"/>
        </w:rPr>
        <w:t xml:space="preserve">en </w:t>
      </w:r>
      <w:r>
        <w:rPr/>
        <w:t xml:space="preserve">las clases de prueba </w:t>
      </w:r>
      <w:r>
        <w:rPr>
          <w:lang w:val="es-ES"/>
        </w:rPr>
        <w:t xml:space="preserve">respecto al indicador </w:t>
      </w:r>
      <w:r>
        <w:rPr>
          <w:i/>
        </w:rPr>
        <w:t>T</w:t>
      </w:r>
      <w:r>
        <w:rPr>
          <w:i/>
          <w:vertAlign w:val="subscript"/>
        </w:rPr>
        <w:t>4</w:t>
      </w:r>
      <w:r>
        <w:rPr/>
        <w:t>.</w:t>
      </w:r>
    </w:p>
    <w:p>
      <w:pPr>
        <w:pStyle w:val="ListParagraph"/>
        <w:numPr>
          <w:ilvl w:val="0"/>
          <w:numId w:val="87"/>
        </w:numPr>
        <w:spacing w:before="120" w:after="120"/>
        <w:ind w:left="426" w:hanging="284"/>
        <w:rPr/>
      </w:pPr>
      <w:r>
        <w:rPr>
          <w:lang w:val="es-ES" w:eastAsia="en-US"/>
        </w:rPr>
        <w:t xml:space="preserve">El indicador </w:t>
      </w:r>
      <w:r>
        <w:rPr>
          <w:i/>
        </w:rPr>
        <w:t>Te</w:t>
      </w:r>
      <w:r>
        <w:rPr>
          <w:vertAlign w:val="subscript"/>
        </w:rPr>
        <w:t>5</w:t>
      </w:r>
      <w:r>
        <w:rPr/>
        <w:t xml:space="preserve"> </w:t>
      </w:r>
      <w:r>
        <w:rPr>
          <w:lang w:eastAsia="en-US"/>
        </w:rPr>
        <w:t>extendido</w:t>
      </w:r>
      <w:r>
        <w:rPr>
          <w:lang w:val="es-ES"/>
        </w:rPr>
        <w:t xml:space="preserve"> tiene un mejor comportamiento que su variante </w:t>
      </w:r>
      <w:r>
        <w:rPr/>
        <w:t xml:space="preserve">tradicional </w:t>
      </w:r>
      <w:r>
        <w:rPr>
          <w:i/>
        </w:rPr>
        <w:t>T</w:t>
      </w:r>
      <w:r>
        <w:rPr>
          <w:i/>
          <w:vertAlign w:val="subscript"/>
        </w:rPr>
        <w:t>5</w:t>
      </w:r>
      <w:r>
        <w:rPr>
          <w:lang w:val="es-ES"/>
        </w:rPr>
        <w:t xml:space="preserve">, la curva de valores que representa el </w:t>
      </w:r>
      <w:r>
        <w:rPr>
          <w:i/>
        </w:rPr>
        <w:t>Te</w:t>
      </w:r>
      <w:r>
        <w:rPr>
          <w:vertAlign w:val="subscript"/>
        </w:rPr>
        <w:t>5</w:t>
      </w:r>
      <w:r>
        <w:rPr>
          <w:vertAlign w:val="subscript"/>
          <w:lang w:val="es-ES"/>
        </w:rPr>
        <w:t xml:space="preserve"> </w:t>
      </w:r>
      <w:r>
        <w:rPr>
          <w:lang w:val="es-ES"/>
        </w:rPr>
        <w:t>es más suave.</w:t>
      </w:r>
    </w:p>
    <w:p>
      <w:pPr>
        <w:pStyle w:val="Normal"/>
        <w:spacing w:before="120" w:after="120"/>
        <w:rPr/>
      </w:pPr>
      <w:r>
        <w:rPr/>
        <w:t xml:space="preserve">Se demuestra la aplicabilidad de los algoritmos propuestos para la toma de decisiones a partir de dos casos de estudio y el empleo de métodos multicriterios. En la experimentación se evidencia la complementariedad entre los algoritmos </w:t>
      </w:r>
      <w:r>
        <w:rPr>
          <w:rFonts w:cs="Courier New" w:ascii="Courier New" w:hAnsi="Courier New"/>
          <w:i/>
          <w:iCs/>
          <w:szCs w:val="20"/>
        </w:rPr>
        <w:t>RST_LDS</w:t>
      </w:r>
      <w:r>
        <w:rPr/>
        <w:t xml:space="preserve">, </w:t>
      </w:r>
      <w:r>
        <w:rPr>
          <w:rFonts w:cs="Courier New" w:ascii="Courier New" w:hAnsi="Courier New"/>
          <w:i/>
          <w:iCs/>
          <w:szCs w:val="20"/>
        </w:rPr>
        <w:t>LPA_LDS</w:t>
      </w:r>
      <w:r>
        <w:rPr>
          <w:i/>
          <w:iCs/>
        </w:rPr>
        <w:t xml:space="preserve"> </w:t>
      </w:r>
      <w:r>
        <w:rPr/>
        <w:t>y</w:t>
      </w:r>
      <w:r>
        <w:rPr>
          <w:i/>
          <w:iCs/>
        </w:rPr>
        <w:t xml:space="preserve"> </w:t>
      </w:r>
      <w:r>
        <w:rPr>
          <w:rFonts w:cs="Courier New" w:ascii="Courier New" w:hAnsi="Courier New"/>
          <w:i/>
          <w:iCs/>
          <w:szCs w:val="20"/>
        </w:rPr>
        <w:t>PCA_LDS</w:t>
      </w:r>
      <w:r>
        <w:rPr>
          <w:i/>
          <w:iCs/>
        </w:rPr>
        <w:t xml:space="preserve"> </w:t>
      </w:r>
      <w:r>
        <w:rPr/>
        <w:t>y</w:t>
      </w:r>
      <w:r>
        <w:rPr>
          <w:i/>
          <w:iCs/>
        </w:rPr>
        <w:t xml:space="preserve"> </w:t>
      </w:r>
      <w:r>
        <w:rPr/>
        <w:t xml:space="preserve">se construye el meta-algoritmo </w:t>
      </w:r>
      <w:r>
        <w:rPr>
          <w:rFonts w:cs="Courier New" w:ascii="Courier New" w:hAnsi="Courier New"/>
          <w:i/>
          <w:iCs/>
          <w:szCs w:val="20"/>
        </w:rPr>
        <w:t>Hybrid_LDS</w:t>
      </w:r>
      <w:r>
        <w:rPr/>
        <w:t xml:space="preserve"> como parte del ecosistema Cuadro de Mando para la Toma de Decisiones. </w:t>
      </w:r>
    </w:p>
    <w:p>
      <w:pPr>
        <w:pStyle w:val="Normal"/>
        <w:spacing w:before="120" w:after="120"/>
        <w:rPr>
          <w:lang w:val="en-US"/>
        </w:rPr>
      </w:pPr>
      <w:r>
        <w:rPr/>
        <w:t xml:space="preserve">Finalmente se valida la capacidad de los algoritmos propuestos para la generación de resúmenes lingüísticos en los idiomas </w:t>
      </w:r>
      <w:r>
        <w:rPr>
          <w:lang w:val="en-US"/>
        </w:rPr>
        <w:t xml:space="preserve">español, inglés, japonés y árabe respecto a los criterios gramática, sencillez, legibilidad y ortografía. En la mayoría de los criterios, la evaluación fue entre alta y muy alta, siendo la legibilidad de los resúmenes en inglés el criterio que obtuvo la menor evaluación. </w:t>
      </w:r>
    </w:p>
    <w:p>
      <w:pPr>
        <w:pStyle w:val="Normal"/>
        <w:spacing w:before="120" w:after="120"/>
        <w:rPr>
          <w:lang w:val="en-US"/>
        </w:rPr>
      </w:pPr>
      <w:r>
        <w:rPr>
          <w:lang w:val="en-US"/>
        </w:rPr>
      </w:r>
    </w:p>
    <w:p>
      <w:pPr>
        <w:pStyle w:val="Heading1"/>
        <w:numPr>
          <w:ilvl w:val="0"/>
          <w:numId w:val="80"/>
        </w:numPr>
        <w:rPr/>
      </w:pPr>
      <w:bookmarkStart w:id="3656" w:name="_Toc476476174"/>
      <w:bookmarkStart w:id="3657" w:name="_Toc484293924"/>
      <w:bookmarkStart w:id="3658" w:name="_Toc84598951"/>
      <w:bookmarkStart w:id="3659" w:name="__RefHeading__386_1220193368"/>
      <w:bookmarkEnd w:id="3656"/>
      <w:bookmarkEnd w:id="3657"/>
      <w:bookmarkEnd w:id="3658"/>
      <w:bookmarkEnd w:id="3659"/>
      <w:r>
        <w:rPr/>
        <w:t>Recomendaciones</w:t>
      </w:r>
    </w:p>
    <w:p>
      <w:pPr>
        <w:pStyle w:val="ListParagraph"/>
        <w:numPr>
          <w:ilvl w:val="0"/>
          <w:numId w:val="57"/>
        </w:numPr>
        <w:spacing w:before="240" w:after="120"/>
        <w:ind w:left="357" w:hanging="357"/>
        <w:rPr/>
      </w:pPr>
      <w:r>
        <w:rPr/>
        <w:t>Continuar aplicando los métodos de sumarización lingüística de datos en otros escenarios para la ayuda a la toma de decisiones</w:t>
      </w:r>
      <w:r>
        <w:rPr>
          <w:lang w:val="es-ES"/>
        </w:rPr>
        <w:t>,</w:t>
      </w:r>
      <w:r>
        <w:rPr/>
        <w:t xml:space="preserve"> explotando </w:t>
      </w:r>
      <w:r>
        <w:rPr>
          <w:lang w:val="es-ES"/>
        </w:rPr>
        <w:t>su flexibilidad para ser combinados con otras técnicas</w:t>
      </w:r>
      <w:r>
        <w:rPr/>
        <w:t>.</w:t>
      </w:r>
    </w:p>
    <w:p>
      <w:pPr>
        <w:pStyle w:val="ListParagraph"/>
        <w:numPr>
          <w:ilvl w:val="0"/>
          <w:numId w:val="57"/>
        </w:numPr>
        <w:spacing w:before="240" w:after="120"/>
        <w:ind w:left="357" w:hanging="357"/>
        <w:rPr/>
      </w:pPr>
      <w:r>
        <w:rPr/>
        <w:t xml:space="preserve">Continuar desarrollando nuevas formas de </w:t>
      </w:r>
      <w:r>
        <w:rPr>
          <w:lang w:val="es-ES"/>
        </w:rPr>
        <w:t>construcción de resúmenes lingüísticos y métodos para su visualización, cubriendo mayor cantidad de idiomas.</w:t>
      </w:r>
    </w:p>
    <w:p>
      <w:pPr>
        <w:pStyle w:val="ListParagraph"/>
        <w:numPr>
          <w:ilvl w:val="0"/>
          <w:numId w:val="57"/>
        </w:numPr>
        <w:spacing w:before="240" w:after="120"/>
        <w:ind w:left="357" w:hanging="357"/>
        <w:rPr>
          <w:sz w:val="21"/>
        </w:rPr>
      </w:pPr>
      <w:r>
        <w:rPr>
          <w:lang w:val="es-ES"/>
        </w:rPr>
        <w:t>Generar nuevos algoritmos basados en protoformas que potencien la integración de múltiples resúmenes, y faciliten no solo la generación de resúmenes en forma de oraciones, sino también la generación de textos largos que apoyen la toma de decisiones.</w:t>
      </w:r>
    </w:p>
    <w:p>
      <w:pPr>
        <w:pStyle w:val="Heading1"/>
        <w:numPr>
          <w:ilvl w:val="0"/>
          <w:numId w:val="80"/>
        </w:numPr>
        <w:rPr>
          <w:lang w:val="en-US"/>
        </w:rPr>
      </w:pPr>
      <w:bookmarkStart w:id="3660" w:name="_Hlk81316168"/>
      <w:bookmarkStart w:id="3661" w:name="_Toc84598952"/>
      <w:bookmarkEnd w:id="3661"/>
      <w:r>
        <w:rPr>
          <w:lang w:val="en-US"/>
        </w:rPr>
        <w:t>Glosario de términos</w:t>
      </w:r>
    </w:p>
    <w:p>
      <w:pPr>
        <w:pStyle w:val="Normal"/>
        <w:ind w:left="284" w:hanging="284"/>
        <w:rPr/>
      </w:pPr>
      <w:r>
        <w:rPr>
          <w:b/>
        </w:rPr>
        <w:t xml:space="preserve">Aprendizaje activo: </w:t>
      </w:r>
      <w:r>
        <w:rPr>
          <w:bCs w:val="false"/>
        </w:rPr>
        <w:t>caso especial de</w:t>
      </w:r>
      <w:r>
        <w:rPr>
          <w:b/>
        </w:rPr>
        <w:t xml:space="preserve"> </w:t>
      </w:r>
      <w:r>
        <w:rPr/>
        <w:t xml:space="preserve">aprendizaje automático en el que un algoritmo de aprendizaje puede consultar de forma interactiva a un experto o usuario para etiquetar nuevos puntos de datos con resultados deseados </w:t>
      </w:r>
      <w:r>
        <w:fldChar w:fldCharType="begin"/>
      </w:r>
      <w:r>
        <w:instrText>ADDIN ZOTERO_ITEM CSL_CITATION {"citationID":"a1g5rpsg4bu","properties":{"formattedCitation":"(Rubens et\\uc0\\u160{}al. 2016)","plainCitation":"(Rubens et al. 2016)","noteIndex":0},"citationItems":[{"id":3459,"uris":["http://zotero.org/users/local/EJ15hJE2/items/LZNSGWMV"],"uri":["http://zotero.org/users/local/EJ15hJE2/items/LZNSGWMV"],"itemData":{"id":3459,"type":"chapter","collection-number":"2da","container-title":"Recommender Systems Handbook","ISBN":"978-1-4899-7637-6","publisher":"Springer. DOI 10.1007/978-1-4899-7637-6","title":"Active learning in recommender systems","author":[{"family":"Rubens","given":"Neil"},{"family":"Elahi","given":"Mehdi"},{"family":"Sugiyama","given":"Masashi"},{"family":"Kaplan","given":"Dain"}],"issued":{"date-parts":[["2016"]]}}}],"schema":"https://github.com/citation-style-language/schema/raw/master/csl-citation.json"}</w:instrText>
      </w:r>
      <w:r>
        <w:fldChar w:fldCharType="separate"/>
      </w:r>
      <w:bookmarkStart w:id="3662" w:name="__Fieldmark__20192_2067855929"/>
      <w:r>
        <w:rPr/>
      </w:r>
      <w:r>
        <w:rPr>
          <w:szCs w:val="24"/>
        </w:rPr>
        <w:t>(</w:t>
      </w:r>
      <w:bookmarkStart w:id="3663" w:name="__Fieldmark__18378_498839314"/>
      <w:r>
        <w:rPr>
          <w:szCs w:val="24"/>
        </w:rPr>
        <w:t>R</w:t>
      </w:r>
      <w:bookmarkStart w:id="3664" w:name="__Fieldmark__17227_998588997"/>
      <w:r>
        <w:rPr>
          <w:szCs w:val="24"/>
        </w:rPr>
        <w:t>u</w:t>
      </w:r>
      <w:bookmarkStart w:id="3665" w:name="__Fieldmark__22755_118561941"/>
      <w:r>
        <w:rPr>
          <w:szCs w:val="24"/>
        </w:rPr>
        <w:t>bens et al. 2016)</w:t>
      </w:r>
      <w:r>
        <w:rPr/>
      </w:r>
      <w:r>
        <w:fldChar w:fldCharType="end"/>
      </w:r>
      <w:bookmarkEnd w:id="3662"/>
      <w:bookmarkEnd w:id="3663"/>
      <w:bookmarkEnd w:id="3664"/>
      <w:bookmarkEnd w:id="3665"/>
      <w:r>
        <w:rPr/>
        <w:t xml:space="preserve">. </w:t>
      </w:r>
    </w:p>
    <w:p>
      <w:pPr>
        <w:pStyle w:val="Normal"/>
        <w:ind w:left="284" w:hanging="284"/>
        <w:rPr/>
      </w:pPr>
      <w:r>
        <w:rPr>
          <w:b/>
        </w:rPr>
        <w:t>Computación con Palabras</w:t>
      </w:r>
      <w:r>
        <w:rPr/>
        <w:t xml:space="preserve">: es una metodología que permite realizar un proceso de computación y razonamiento utilizando palabras en lugar de números </w:t>
      </w:r>
      <w:r>
        <w:fldChar w:fldCharType="begin"/>
      </w:r>
      <w:r>
        <w:instrText>ADDIN ZOTERO_ITEM CSL_CITATION {"citationID":"II8tffBE","properties":{"formattedCitation":"(Mendel et\\uc0\\u160{}al. 2010)","plainCitation":"(Mendel et al. 2010)","noteIndex":0},"citationItems":[{"id":"NJclqhNX/UCUiZvf3","uris":["http://zotero.org/users/local/0ZCKWNYn/items/SSZHRQLB"],"uri":["http://zotero.org/users/local/0ZCKWNYn/items/SSZHRQLB"],"itemData":{"id":2575,"type":"article-journal","title":"What Computing with Words Means to Me [Discussion Forum]","container-title":"IEEE Computational Intelligence Magazine","page":"20-26","volume":"5","issue":"1","source":"IEEE Xplore","abstract":"Computing with words (CWW) means different things to different people. This article is the start of a position paper, written by some of the members of the CIS fuzzy systems technical committee task force on CWW, that answers the question \"What does CWW mean to me\"?","DOI":"10.1109/MCI.2009.934561","ISSN":"1556-6048","note":"Conference Name: IEEE Computational Intelligence Magazine","language":"English","author":[{"family":"Mendel","given":"J. M."},{"family":"Zadeh","given":"L. A."},{"family":"Trillas","given":"E."},{"family":"Yager","given":"R."},{"family":"Lawry","given":"J."},{"family":"Hagras","given":"H."},{"family":"Guadarrama","given":"S."}],"issued":{"date-parts":[["2010",2]]}}}],"schema":"https://github.com/citation-style-language/schema/raw/master/csl-citation.json"}</w:instrText>
      </w:r>
      <w:r>
        <w:fldChar w:fldCharType="separate"/>
      </w:r>
      <w:bookmarkStart w:id="3666" w:name="__Fieldmark__20211_2067855929"/>
      <w:r>
        <w:rPr/>
      </w:r>
      <w:r>
        <w:rPr>
          <w:szCs w:val="24"/>
        </w:rPr>
        <w:t>(</w:t>
      </w:r>
      <w:bookmarkStart w:id="3667" w:name="__Fieldmark__18392_498839314"/>
      <w:r>
        <w:rPr>
          <w:szCs w:val="24"/>
        </w:rPr>
        <w:t>M</w:t>
      </w:r>
      <w:bookmarkStart w:id="3668" w:name="__Fieldmark__17237_998588997"/>
      <w:r>
        <w:rPr>
          <w:szCs w:val="24"/>
        </w:rPr>
        <w:t>e</w:t>
      </w:r>
      <w:bookmarkStart w:id="3669" w:name="__Fieldmark__22764_118561941"/>
      <w:r>
        <w:rPr>
          <w:szCs w:val="24"/>
        </w:rPr>
        <w:t>ndel et al. 2010)</w:t>
      </w:r>
      <w:r>
        <w:rPr/>
      </w:r>
      <w:r>
        <w:fldChar w:fldCharType="end"/>
      </w:r>
      <w:bookmarkEnd w:id="3666"/>
      <w:bookmarkEnd w:id="3667"/>
      <w:bookmarkEnd w:id="3668"/>
      <w:bookmarkEnd w:id="3669"/>
      <w:r>
        <w:rPr/>
        <w:t xml:space="preserve">. Dicha metodología permite crear y enriquecer modelos de decisión en los cuales la información vaga e imprecisa es representada a través de variables lingüísticas </w:t>
      </w:r>
      <w:r>
        <w:fldChar w:fldCharType="begin"/>
      </w:r>
      <w:r>
        <w:instrText>ADDIN ZOTERO_ITEM CSL_CITATION {"citationID":"ByARoTfo","properties":{"formattedCitation":"(Zadeh 1996)","plainCitation":"(Zadeh 1996)","noteIndex":0},"citationItems":[{"id":"NJclqhNX/pBR33kC6","uris":["http://zotero.org/users/local/0ZCKWNYn/items/UKVBIZWJ"],"uri":["http://zotero.org/users/local/0ZCKWNYn/items/UKVBIZWJ"],"itemData":{"id":2572,"type":"article-journal","title":"Fuzzy logic = computing with words","container-title":"IEEE Transactions on Fuzzy Systems","page":"103-111","volume":"4","issue":"2","source":"IEEE Xplore","abstract":"As its name suggests, computing with words (CW) is a methodology in which words are used in place of numbers for computing and reasoning. The point of this note is that fuzzy logic plays a pivotal role in CW and vice-versa. Thus, as an approximation, fuzzy logic may be equated to CW. There are two major imperatives for computing with words. First, computing with words is a necessity when the available information is too imprecise to justify the use of numbers, and second, when there is a tolerance for imprecision which can be exploited to achieve tractability, robustness, low solution cost, and better rapport with reality. Exploitation of the tolerance for imprecision is an issue of central importance in CW. In CW, a word is viewed as a label of a granule; that is, a fuzzy set of points drawn together by similarity, with the fuzzy set playing the role of a fuzzy constraint on a variable. The premises are assumed to be expressed as propositions in a natural language. In coming years, computing with words is likely to evolve into a basic methodology in its own right with wide-ranging ramifications on both basic and applied levels.","DOI":"10.1109/91.493904","ISSN":"1941-0034","note":"Conference Name: IEEE Transactions on Fuzzy Systems","language":"English","author":[{"family":"Zadeh","given":"L. A."}],"issued":{"date-parts":[["1996",5]]}}}],"schema":"https://github.com/citation-style-language/schema/raw/master/csl-citation.json"}</w:instrText>
      </w:r>
      <w:r>
        <w:fldChar w:fldCharType="separate"/>
      </w:r>
      <w:bookmarkStart w:id="3670" w:name="__Fieldmark__20227_2067855929"/>
      <w:r>
        <w:rPr/>
        <w:t>(</w:t>
      </w:r>
      <w:bookmarkStart w:id="3671" w:name="__Fieldmark__18403_498839314"/>
      <w:r>
        <w:rPr/>
        <w:t>Z</w:t>
      </w:r>
      <w:bookmarkStart w:id="3672" w:name="__Fieldmark__17244_998588997"/>
      <w:r>
        <w:rPr/>
        <w:t>a</w:t>
      </w:r>
      <w:bookmarkStart w:id="3673" w:name="__Fieldmark__22769_118561941"/>
      <w:r>
        <w:rPr/>
        <w:t>deh 1996)</w:t>
      </w:r>
      <w:r>
        <w:rPr/>
      </w:r>
      <w:r>
        <w:fldChar w:fldCharType="end"/>
      </w:r>
      <w:bookmarkEnd w:id="3670"/>
      <w:bookmarkEnd w:id="3671"/>
      <w:bookmarkEnd w:id="3672"/>
      <w:bookmarkEnd w:id="3673"/>
      <w:r>
        <w:rPr/>
        <w:t>.</w:t>
      </w:r>
    </w:p>
    <w:p>
      <w:pPr>
        <w:pStyle w:val="Normal"/>
        <w:ind w:left="284" w:hanging="284"/>
        <w:rPr/>
      </w:pPr>
      <w:r>
        <w:rPr>
          <w:b/>
        </w:rPr>
        <w:t>Corte de proyecto</w:t>
      </w:r>
      <w:r>
        <w:rPr/>
        <w:t>: constituye un punto de control del proyecto donde se evalúa el estado del mismo. Generalmente se hace en forma de reuniones periódicas en las que participen los principales interesados del proyecto y en correspondencia con la etapa en que se encuentre el mismo.</w:t>
      </w:r>
    </w:p>
    <w:p>
      <w:pPr>
        <w:pStyle w:val="Normal"/>
        <w:ind w:left="284" w:hanging="284"/>
        <w:rPr/>
      </w:pPr>
      <w:r>
        <w:rPr>
          <w:b/>
        </w:rPr>
        <w:t>Decisiones no estructuradas</w:t>
      </w:r>
      <w:r>
        <w:rPr/>
        <w:t>: responden a situaciones diversas y problemas de decisiones para los cuales se requieren modelos o procesos específicos de solución. El conjunto, de estas decisiones, representa el complemento de las decisiones estructuradas, estas últimas caracterizadas por ser decisiones que responden a problemas que ocurren regularmente, prácticamente cotidianas en el contexto de aplicación y para las cuales existen métodos definidos de solución.</w:t>
      </w:r>
    </w:p>
    <w:p>
      <w:pPr>
        <w:pStyle w:val="Normal"/>
        <w:ind w:left="284" w:hanging="284"/>
        <w:rPr/>
      </w:pPr>
      <w:r>
        <w:rPr>
          <w:b/>
        </w:rPr>
        <w:t>Entorno de toma de decisiones con incertidumbre</w:t>
      </w:r>
      <w:r>
        <w:rPr/>
        <w:t>: se entiende como un escenario real de toma de decisiones no estructuradas donde en los datos que se manejan hay presencia de uno o varios de los siguientes fenómenos: vaguedad, incertidumbre, indeterminación, información incompleta, imprecisión o inconsistencia.</w:t>
      </w:r>
    </w:p>
    <w:p>
      <w:pPr>
        <w:pStyle w:val="Normal"/>
        <w:ind w:left="284" w:hanging="284"/>
        <w:rPr/>
      </w:pPr>
      <w:r>
        <w:rPr>
          <w:b/>
        </w:rPr>
        <w:t>Imprecisión</w:t>
      </w:r>
      <w:r>
        <w:rPr/>
        <w:t>: está relacionada con la calidad de los datos, o sea, mide en qué grado los valores usados son precisos y puede ser provocada por errores en la medición de variables asociadas a un problema en cuestión.</w:t>
      </w:r>
    </w:p>
    <w:p>
      <w:pPr>
        <w:pStyle w:val="Normal"/>
        <w:ind w:left="284" w:hanging="284"/>
        <w:rPr/>
      </w:pPr>
      <w:r>
        <w:rPr>
          <w:b/>
        </w:rPr>
        <w:t>Incertidumbre</w:t>
      </w:r>
      <w:r>
        <w:rPr/>
        <w:t xml:space="preserve">: se refiere a la veracidad del conocimiento utilizado por el sistema y se produce por la falta de certeza de la información. Se refleja en efectos como la imprecisión, la indeterminación, la inconsistencia y la incompletitud de la información, ver taxonomía en </w:t>
      </w:r>
      <w:r>
        <w:rPr/>
        <w:fldChar w:fldCharType="begin"/>
      </w:r>
      <w:r>
        <w:instrText> REF _Ref79475164 \h </w:instrText>
      </w:r>
      <w:r>
        <w:fldChar w:fldCharType="separate"/>
      </w:r>
      <w:r>
        <w:t>Anexo 5</w:t>
      </w:r>
      <w:r>
        <w:fldChar w:fldCharType="end"/>
      </w:r>
      <w:r>
        <w:rPr/>
        <w:t xml:space="preserve"> </w:t>
      </w:r>
      <w:r>
        <w:rPr/>
        <w:fldChar w:fldCharType="begin"/>
      </w:r>
      <w:r>
        <w:instrText> REF _Ref79475209 \h </w:instrText>
      </w:r>
      <w:r>
        <w:fldChar w:fldCharType="separate"/>
      </w:r>
      <w:r>
        <w:t>Figura 35</w:t>
      </w:r>
      <w:r>
        <w:fldChar w:fldCharType="end"/>
      </w:r>
      <w:r>
        <w:rPr/>
        <w:t xml:space="preserve">. </w:t>
      </w:r>
    </w:p>
    <w:p>
      <w:pPr>
        <w:pStyle w:val="Normal"/>
        <w:ind w:left="284" w:hanging="284"/>
        <w:rPr/>
      </w:pPr>
      <w:r>
        <w:rPr>
          <w:b/>
        </w:rPr>
        <w:t>Inconsistencia</w:t>
      </w:r>
      <w:r>
        <w:rPr/>
        <w:t>: los datos existentes en el dominio de aplicación pueden ser contradictorios; por ejemplo, dos ejemplos prácticamente iguales pertenecen a clases diferentes.</w:t>
      </w:r>
    </w:p>
    <w:p>
      <w:pPr>
        <w:pStyle w:val="Normal"/>
        <w:ind w:left="284" w:hanging="284"/>
        <w:rPr/>
      </w:pPr>
      <w:r>
        <w:rPr>
          <w:b/>
        </w:rPr>
        <w:t>Indeterminación</w:t>
      </w:r>
      <w:r>
        <w:rPr/>
        <w:t xml:space="preserve">: se entiende como el grado que caracteriza a los elementos que no tienen una pertenencia absoluta a un conjunto (certeza) y tampoco se pueda asegurar que no pertenezcan al propio conjunto de forma absoluta (falsedad). O sea, la Indeterminación incluye a los elementos que se encuentran entre los conjuntos opuestos &lt;A&gt; y &lt;antiA&gt;, y se denota por &lt;neutA&gt; </w:t>
      </w:r>
      <w:r>
        <w:fldChar w:fldCharType="begin"/>
      </w:r>
      <w:r>
        <w:instrText>ADDIN ZOTERO_ITEM CSL_CITATION {"citationID":"5DPzsFBJ","properties":{"formattedCitation":"(Smarandache 2017)","plainCitation":"(Smarandache 2017)","noteIndex":0},"citationItems":[{"id":"NJclqhNX/MJ8CZeho","uris":["http://zotero.org/users/local/0ZCKWNYn/items/9JYD6M35"],"uri":["http://zotero.org/users/local/0ZCKWNYn/items/9JYD6M35"],"itemData":{"id":3145,"type":"book","edition":"Editions Pons","event-place":"Brussels, Belgium","ISBN":"978-1-59973-508-5","language":"English","number-of-pages":"132","publisher":"Pons Publishing","publisher-place":"Brussels, Belgium","title":"Nidus idearum.  Scilogs, III: Viva la Neutrosophia!","title-short":"Nidus idearum.  Scilogs, III","URL":"https://digitalrepository.unm.edu/math_fsp/306","volume":"3","author":[{"family":"Smarandache","given":"Florentin"}],"issued":{"date-parts":[["2017"]]}}}],"schema":"https://github.com/citation-style-language/schema/raw/master/csl-citation.json"}</w:instrText>
      </w:r>
      <w:r>
        <w:fldChar w:fldCharType="separate"/>
      </w:r>
      <w:bookmarkStart w:id="3674" w:name="__Fieldmark__20272_2067855929"/>
      <w:r>
        <w:rPr/>
        <w:t>(</w:t>
      </w:r>
      <w:bookmarkStart w:id="3675" w:name="__Fieldmark__18436_498839314"/>
      <w:r>
        <w:rPr/>
        <w:t>S</w:t>
      </w:r>
      <w:bookmarkStart w:id="3676" w:name="__Fieldmark__17273_998588997"/>
      <w:r>
        <w:rPr/>
        <w:t>m</w:t>
      </w:r>
      <w:bookmarkStart w:id="3677" w:name="__Fieldmark__22815_118561941"/>
      <w:r>
        <w:rPr/>
        <w:t>arandache 2017)</w:t>
      </w:r>
      <w:r>
        <w:rPr/>
      </w:r>
      <w:r>
        <w:fldChar w:fldCharType="end"/>
      </w:r>
      <w:bookmarkEnd w:id="3674"/>
      <w:bookmarkEnd w:id="3675"/>
      <w:bookmarkEnd w:id="3676"/>
      <w:bookmarkEnd w:id="3677"/>
      <w:r>
        <w:rPr/>
        <w:t xml:space="preserve">, </w:t>
      </w:r>
      <w:r>
        <w:fldChar w:fldCharType="begin"/>
      </w:r>
      <w:r>
        <w:instrText>ADDIN ZOTERO_ITEM CSL_CITATION {"citationID":"HW1KUv6N","properties":{"formattedCitation":"(Prof. Dr. Florentin Smarandache 2021)","plainCitation":"(Prof. Dr. Florentin Smarandache 2021)","noteIndex":0},"citationItems":[{"id":"NJclqhNX/JJjRE8YT","uris":["http://zotero.org/users/local/0ZCKWNYn/items/RGCJ7ES3"],"uri":["http://zotero.org/users/local/0ZCKWNYn/items/RGCJ7ES3"],"itemData":{"id":3144,"type":"interview","abstract":"In the neutrosophical domain, we take \"Indeterminacy\" as:  \nabsolutely everything that is between true and false (in neutrosophical logic),  \nor everything that is between belonging and non-belonging (in the neutrosophic set),","language":"English","medium":"mail","title":"Definition of indeterminacy","title-short":"Definition of indeterminacy","URL":"http://fs.unm.edu/FlorentinSmarandache.htm","author":[{"literal":"Prof. Dr. Florentin Smarandache"}],"issued":{"date-parts":[["2021",6,5]]}}}],"schema":"https://github.com/citation-style-language/schema/raw/master/csl-citation.json"}</w:instrText>
      </w:r>
      <w:r>
        <w:fldChar w:fldCharType="separate"/>
      </w:r>
      <w:bookmarkStart w:id="3678" w:name="__Fieldmark__20287_2067855929"/>
      <w:r>
        <w:rPr/>
        <w:t>(</w:t>
      </w:r>
      <w:bookmarkStart w:id="3679" w:name="__Fieldmark__18447_498839314"/>
      <w:r>
        <w:rPr/>
        <w:t>P</w:t>
      </w:r>
      <w:bookmarkStart w:id="3680" w:name="__Fieldmark__17280_998588997"/>
      <w:r>
        <w:rPr/>
        <w:t>r</w:t>
      </w:r>
      <w:bookmarkStart w:id="3681" w:name="__Fieldmark__22820_118561941"/>
      <w:r>
        <w:rPr/>
        <w:t>of. Dr. Florentin Smarandache 2021)</w:t>
      </w:r>
      <w:r>
        <w:rPr/>
      </w:r>
      <w:r>
        <w:fldChar w:fldCharType="end"/>
      </w:r>
      <w:bookmarkEnd w:id="3678"/>
      <w:bookmarkEnd w:id="3679"/>
      <w:bookmarkEnd w:id="3680"/>
      <w:bookmarkEnd w:id="3681"/>
      <w:r>
        <w:rPr/>
        <w:t>.</w:t>
      </w:r>
    </w:p>
    <w:p>
      <w:pPr>
        <w:pStyle w:val="Normal"/>
        <w:ind w:left="284" w:hanging="284"/>
        <w:rPr/>
      </w:pPr>
      <w:r>
        <w:rPr>
          <w:b/>
          <w:bCs w:val="false"/>
        </w:rPr>
        <w:t>Información incompleta:</w:t>
      </w:r>
      <w:r>
        <w:rPr/>
        <w:t xml:space="preserve"> considera la posibilidad de que no estén disponibles todos los datos requeridos para un razonamiento.</w:t>
      </w:r>
    </w:p>
    <w:p>
      <w:pPr>
        <w:pStyle w:val="Normal"/>
        <w:ind w:left="284" w:hanging="284"/>
        <w:rPr/>
      </w:pPr>
      <w:r>
        <w:rPr>
          <w:b/>
        </w:rPr>
        <w:t>Inteligencia artificial</w:t>
      </w:r>
      <w:r>
        <w:rPr/>
        <w:t xml:space="preserve">: Conjunto de técnicas dedicadas a la creación de hardware y software que simulan el pensamiento humano y el comportamiento de los sistemas naturales para modelar soluciones a problemas para los cuales no hay algoritmos o los que existen tienen complejidad no polinomial. No pretende sustituir al hombre, sino apoyarlo en procesos complejos de toma de decisiones no estructuradas </w:t>
      </w:r>
      <w:r>
        <w:fldChar w:fldCharType="begin"/>
      </w:r>
      <w:r>
        <w:instrText>ADDIN ZOTERO_ITEM CSL_CITATION {"citationID":"GBQUVZMV","properties":{"formattedCitation":"(Pi\\uc0\\u241{}ero P\\uc0\\u233{}rez y P\\uc0\\u233{}rez Pupo 2021)","plainCitation":"(Piñero Pérez y Pérez Pupo 2021)","noteIndex":0},"citationItems":[{"id":3434,"uris":["http://zotero.org/users/local/EJ15hJE2/items/HNWDC82T"],"uri":["http://zotero.org/users/local/EJ15hJE2/items/HNWDC82T"],"itemData":{"id":3434,"type":"webpage","container-title":"MGPI","title":"Curso Inteligencia Artificial para la toma de decisiones. Maestría en Gestión de Proyectos, Universidad de las Ciencias informáticas, Cuba","title-short":"MGPI","URL":"https://gespro.uci.cu/","author":[{"family":"Piñero Pérez","given":"Pedro Y"},{"family":"Pérez Pupo","given":"Iliana"}],"issued":{"date-parts":[["2021"]]}}}],"schema":"https://github.com/citation-style-language/schema/raw/master/csl-citation.json"}</w:instrText>
      </w:r>
      <w:r>
        <w:fldChar w:fldCharType="separate"/>
      </w:r>
      <w:bookmarkStart w:id="3682" w:name="__Fieldmark__20309_2067855929"/>
      <w:r>
        <w:rPr/>
      </w:r>
      <w:r>
        <w:rPr>
          <w:szCs w:val="24"/>
        </w:rPr>
        <w:t>(</w:t>
      </w:r>
      <w:bookmarkStart w:id="3683" w:name="__Fieldmark__18463_498839314"/>
      <w:r>
        <w:rPr>
          <w:szCs w:val="24"/>
        </w:rPr>
        <w:t>P</w:t>
      </w:r>
      <w:bookmarkStart w:id="3684" w:name="__Fieldmark__17292_998588997"/>
      <w:r>
        <w:rPr>
          <w:szCs w:val="24"/>
        </w:rPr>
        <w:t>i</w:t>
      </w:r>
      <w:bookmarkStart w:id="3685" w:name="__Fieldmark__22833_118561941"/>
      <w:r>
        <w:rPr>
          <w:szCs w:val="24"/>
        </w:rPr>
        <w:t>ñero Pérez y Pérez Pupo 2021)</w:t>
      </w:r>
      <w:r>
        <w:rPr/>
      </w:r>
      <w:r>
        <w:fldChar w:fldCharType="end"/>
      </w:r>
      <w:bookmarkEnd w:id="3682"/>
      <w:bookmarkEnd w:id="3683"/>
      <w:bookmarkEnd w:id="3684"/>
      <w:bookmarkEnd w:id="3685"/>
      <w:r>
        <w:rPr/>
        <w:t>.</w:t>
      </w:r>
    </w:p>
    <w:p>
      <w:pPr>
        <w:pStyle w:val="Normal"/>
        <w:ind w:left="284" w:hanging="284"/>
        <w:rPr/>
      </w:pPr>
      <w:r>
        <w:rPr>
          <w:b/>
        </w:rPr>
        <w:t xml:space="preserve">Neutrosofía: </w:t>
      </w:r>
      <w:r>
        <w:rPr>
          <w:bCs w:val="false"/>
        </w:rPr>
        <w:t>rama de la</w:t>
      </w:r>
      <w:r>
        <w:rPr>
          <w:b/>
        </w:rPr>
        <w:t xml:space="preserve"> </w:t>
      </w:r>
      <w:r>
        <w:rPr>
          <w:bCs w:val="false"/>
        </w:rPr>
        <w:t xml:space="preserve">filosofía que estudia el origen, naturaleza y alcance de neutralidades, también sus interacciones con espectros ideacionales diferentes. Establecida por Florentin Smarandache en 1995. Esta teoría considera cada noción o idea </w:t>
      </w:r>
      <w:r>
        <w:rPr/>
        <w:t xml:space="preserve">&lt;A&gt; junto con su opuesto o negación &lt;antiA&gt;, y el espectro de neutralidades &lt;neutA&gt; </w:t>
      </w:r>
      <w:r>
        <w:fldChar w:fldCharType="begin"/>
      </w:r>
      <w:r>
        <w:instrText>ADDIN ZOTERO_ITEM CSL_CITATION {"citationID":"4GVfSlDT","properties":{"formattedCitation":"(Smarandache 2017)","plainCitation":"(Smarandache 2017)","noteIndex":0},"citationItems":[{"id":"NJclqhNX/MJ8CZeho","uris":["http://zotero.org/users/local/0ZCKWNYn/items/9JYD6M35"],"uri":["http://zotero.org/users/local/0ZCKWNYn/items/9JYD6M35"],"itemData":{"id":3145,"type":"book","edition":"Editions Pons","event-place":"Brussels, Belgium","ISBN":"978-1-59973-508-5","language":"English","number-of-pages":"132","publisher":"Pons Publishing","publisher-place":"Brussels, Belgium","title":"Nidus idearum.  Scilogs, III: Viva la Neutrosophia!","title-short":"Nidus idearum.  Scilogs, III","URL":"https://digitalrepository.unm.edu/math_fsp/306","volume":"3","author":[{"family":"Smarandache","given":"Florentin"}],"issued":{"date-parts":[["2017"]]}}}],"schema":"https://github.com/citation-style-language/schema/raw/master/csl-citation.json"}</w:instrText>
      </w:r>
      <w:r>
        <w:fldChar w:fldCharType="separate"/>
      </w:r>
      <w:bookmarkStart w:id="3686" w:name="__Fieldmark__20332_2067855929"/>
      <w:r>
        <w:rPr/>
        <w:t>(</w:t>
      </w:r>
      <w:bookmarkStart w:id="3687" w:name="__Fieldmark__18480_498839314"/>
      <w:r>
        <w:rPr/>
        <w:t>S</w:t>
      </w:r>
      <w:bookmarkStart w:id="3688" w:name="__Fieldmark__17305_998588997"/>
      <w:r>
        <w:rPr/>
        <w:t>m</w:t>
      </w:r>
      <w:bookmarkStart w:id="3689" w:name="__Fieldmark__22845_118561941"/>
      <w:r>
        <w:rPr/>
        <w:t>arandache 2017)</w:t>
      </w:r>
      <w:r>
        <w:rPr/>
      </w:r>
      <w:r>
        <w:fldChar w:fldCharType="end"/>
      </w:r>
      <w:bookmarkEnd w:id="3686"/>
      <w:bookmarkEnd w:id="3687"/>
      <w:bookmarkEnd w:id="3688"/>
      <w:bookmarkEnd w:id="3689"/>
      <w:r>
        <w:rPr/>
        <w:t xml:space="preserve">. Ver gráfico de evolución de esta teoría en el </w:t>
      </w:r>
      <w:r>
        <w:rPr/>
        <w:fldChar w:fldCharType="begin"/>
      </w:r>
      <w:r>
        <w:instrText> REF _Ref79224509 \h </w:instrText>
      </w:r>
      <w:r>
        <w:fldChar w:fldCharType="separate"/>
      </w:r>
      <w:r>
        <w:t>Anexo 6</w:t>
      </w:r>
      <w:r>
        <w:fldChar w:fldCharType="end"/>
      </w:r>
      <w:r>
        <w:rPr/>
        <w:t xml:space="preserve"> </w:t>
      </w:r>
      <w:r>
        <w:rPr/>
        <w:fldChar w:fldCharType="begin"/>
      </w:r>
      <w:r>
        <w:instrText> REF _Ref79479311 \h </w:instrText>
      </w:r>
      <w:r>
        <w:fldChar w:fldCharType="separate"/>
      </w:r>
      <w:r>
        <w:t>Figura 36</w:t>
      </w:r>
      <w:r>
        <w:fldChar w:fldCharType="end"/>
      </w:r>
      <w:r>
        <w:rPr/>
        <w:t xml:space="preserve">. </w:t>
      </w:r>
      <w:r>
        <w:rPr>
          <w:bCs w:val="false"/>
        </w:rPr>
        <w:t xml:space="preserve"> </w:t>
      </w:r>
    </w:p>
    <w:p>
      <w:pPr>
        <w:pStyle w:val="Normal"/>
        <w:ind w:left="284" w:hanging="284"/>
        <w:rPr/>
      </w:pPr>
      <w:r>
        <w:rPr>
          <w:b/>
          <w:bCs w:val="false"/>
          <w:color w:val="00000A"/>
        </w:rPr>
        <w:t>Teoría neutrosófica:</w:t>
      </w:r>
      <w:r>
        <w:rPr>
          <w:color w:val="00000A"/>
        </w:rPr>
        <w:t xml:space="preserve"> es un área de conocimiento que trata la neutralidad o la indeterminación en el contexto de la toma de decisiones, constituye una generalización de la teoría de la lógica difusa </w:t>
      </w:r>
      <w:r>
        <w:fldChar w:fldCharType="begin"/>
      </w:r>
      <w:r>
        <w:instrText>ADDIN ZOTERO_ITEM CSL_CITATION {"citationID":"8EY8Jj16","properties":{"formattedCitation":"(Zadeh 1965)","plainCitation":"(Zadeh 1965)","noteIndex":0},"citationItems":[{"id":59,"uris":["http://zotero.org/users/local/0ZCKWNYn/items/SPVMN2WT"],"uri":["http://zotero.org/users/local/0ZCKWNYn/items/SPVMN2WT"],"itemData":{"id":59,"type":"article-journal","abstract":"A fuzzy set is a class of objects with a continuum of grades of membership. Such a set is characterized by a membership (characteristic) function which assigns to each object a grade of membership ranging between zero and one. The notions of inclusion, union, intersection, complement, relation, convexity, etc., are extended to such sets, and various properties of these notions in the context of fuzzy sets are established. In particular, a separation theorem for convex fuzzy sets is proved without requiring that the fuzzy sets be disjoint.","container-title":"Information and Control","DOI":"10.1016/S0019-9958(65)90241-X","ISSN":"0019-9958","issue":"3","journalAbbreviation":"Information and Control","page":"338-353","source":"ScienceDirect","title":"Fuzzy sets","volume":"8","author":[{"family":"Zadeh","given":"L. A."}],"issued":{"date-parts":[["1965",6,1]]}}}],"schema":"https://github.com/citation-style-language/schema/raw/master/csl-citation.json"}</w:instrText>
      </w:r>
      <w:r>
        <w:fldChar w:fldCharType="separate"/>
      </w:r>
      <w:bookmarkStart w:id="3690" w:name="__Fieldmark__20359_2067855929"/>
      <w:r>
        <w:rPr>
          <w:color w:val="00000A"/>
        </w:rPr>
        <w:t>(</w:t>
      </w:r>
      <w:bookmarkStart w:id="3691" w:name="__Fieldmark__18501_498839314"/>
      <w:r>
        <w:rPr>
          <w:color w:val="00000A"/>
        </w:rPr>
        <w:t>Z</w:t>
      </w:r>
      <w:bookmarkStart w:id="3692" w:name="__Fieldmark__17322_998588997"/>
      <w:r>
        <w:rPr>
          <w:color w:val="00000A"/>
        </w:rPr>
        <w:t>a</w:t>
      </w:r>
      <w:bookmarkStart w:id="3693" w:name="__Fieldmark__22861_118561941"/>
      <w:r>
        <w:rPr>
          <w:color w:val="00000A"/>
        </w:rPr>
        <w:t>deh 1965)</w:t>
      </w:r>
      <w:r>
        <w:rPr>
          <w:color w:val="00000A"/>
        </w:rPr>
      </w:r>
      <w:r>
        <w:fldChar w:fldCharType="end"/>
      </w:r>
      <w:bookmarkEnd w:id="3690"/>
      <w:bookmarkEnd w:id="3691"/>
      <w:bookmarkEnd w:id="3692"/>
      <w:bookmarkEnd w:id="3693"/>
      <w:r>
        <w:rPr>
          <w:color w:val="00000A"/>
        </w:rPr>
        <w:t xml:space="preserve"> y la teoría de la lógica intuicionista </w:t>
      </w:r>
      <w:r>
        <w:fldChar w:fldCharType="begin"/>
      </w:r>
      <w:r>
        <w:instrText>ADDIN ZOTERO_ITEM CSL_CITATION {"citationID":"xbVNYOdQ","properties":{"formattedCitation":"(Atanassov 1986)","plainCitation":"(Atanassov 1986)","noteIndex":0},"citationItems":[{"id":897,"uris":["http://zotero.org/users/local/0ZCKWNYn/items/HPHHMFAH"],"uri":["http://zotero.org/users/local/0ZCKWNYn/items/HPHHMFAH"],"itemData":{"id":897,"type":"article-journal","abstract":"A definition of the concept ‘intuitionistic fuzzy set’ (IFS) is given, the latter being a generalization of the concept ‘fuzzy set’ and an example is described. Various properties are proved, which are connected to the operations and relations over sets, and with modal and topological operators, defined over the set of IFS's.","container-title":"Fuzzy Sets and Systems","DOI":"10.1016/S0165-0114(86)80034-3","ISSN":"0165-0114","issue":"1","journalAbbreviation":"Fuzzy Sets and Systems","language":"en","page":"87-96","source":"ScienceDirect","title":"Intuitionistic fuzzy sets","volume":"20","author":[{"family":"Atanassov","given":"Krassimir T."}],"issued":{"date-parts":[["1986",8,1]]}}}],"schema":"https://github.com/citation-style-language/schema/raw/master/csl-citation.json"}</w:instrText>
      </w:r>
      <w:r>
        <w:fldChar w:fldCharType="separate"/>
      </w:r>
      <w:bookmarkStart w:id="3694" w:name="__Fieldmark__20374_2067855929"/>
      <w:r>
        <w:rPr>
          <w:color w:val="00000A"/>
        </w:rPr>
        <w:t>(</w:t>
      </w:r>
      <w:bookmarkStart w:id="3695" w:name="__Fieldmark__18512_498839314"/>
      <w:r>
        <w:rPr>
          <w:color w:val="00000A"/>
        </w:rPr>
        <w:t>A</w:t>
      </w:r>
      <w:bookmarkStart w:id="3696" w:name="__Fieldmark__17329_998588997"/>
      <w:r>
        <w:rPr>
          <w:color w:val="00000A"/>
        </w:rPr>
        <w:t>t</w:t>
      </w:r>
      <w:bookmarkStart w:id="3697" w:name="__Fieldmark__22866_118561941"/>
      <w:r>
        <w:rPr>
          <w:color w:val="00000A"/>
        </w:rPr>
        <w:t>anassov 1986)</w:t>
      </w:r>
      <w:r>
        <w:rPr>
          <w:color w:val="00000A"/>
        </w:rPr>
      </w:r>
      <w:r>
        <w:fldChar w:fldCharType="end"/>
      </w:r>
      <w:bookmarkEnd w:id="3694"/>
      <w:bookmarkEnd w:id="3695"/>
      <w:bookmarkEnd w:id="3696"/>
      <w:bookmarkEnd w:id="3697"/>
      <w:r>
        <w:rPr>
          <w:color w:val="00000A"/>
        </w:rPr>
        <w:t xml:space="preserve">. La teoría neutrosófica ofrece una representación matemática de la incertidumbre e indeterminación, donde cada proposición tiene un grado de certeza, indeterminación y falsedad </w:t>
      </w:r>
      <w:r>
        <w:fldChar w:fldCharType="begin"/>
      </w:r>
      <w:r>
        <w:instrText>ADDIN ZOTERO_ITEM CSL_CITATION {"citationID":"u3gATEgn","properties":{"formattedCitation":"(Smarandache 2019)","plainCitation":"(Smarandache 2019)","noteIndex":0},"citationItems":[{"id":3153,"uris":["http://zotero.org/users/local/0ZCKWNYn/items/H86U2BEM"],"uri":["http://zotero.org/users/local/0ZCKWNYn/items/H86U2BEM"],"itemData":{"id":3153,"type":"book","edition":"Editions Pons","event-place":"Brussels, Belgium","ISBN":"978-1-59973-615-0","language":"English","number-of-pages":"137","publisher":"Pons Publishing","publisher-place":"Brussels, Belgium","title":"NIDUS IDEARUM.  scilogs, VI: annotations on neutrosophy","title-short":"NIDUS IDEARUM.  scilogs, VI","URL":"https://digitalrepository.unm.edu/math_fsp/311","volume":"6","author":[{"family":"Smarandache","given":"Florentin"}],"issued":{"date-parts":[["2019"]]}}}],"schema":"https://github.com/citation-style-language/schema/raw/master/csl-citation.json"}</w:instrText>
      </w:r>
      <w:r>
        <w:fldChar w:fldCharType="separate"/>
      </w:r>
      <w:bookmarkStart w:id="3698" w:name="__Fieldmark__20390_2067855929"/>
      <w:r>
        <w:rPr>
          <w:color w:val="00000A"/>
        </w:rPr>
        <w:t>(</w:t>
      </w:r>
      <w:bookmarkStart w:id="3699" w:name="__Fieldmark__18523_498839314"/>
      <w:r>
        <w:rPr>
          <w:color w:val="00000A"/>
        </w:rPr>
        <w:t>S</w:t>
      </w:r>
      <w:bookmarkStart w:id="3700" w:name="__Fieldmark__17336_998588997"/>
      <w:r>
        <w:rPr>
          <w:color w:val="00000A"/>
        </w:rPr>
        <w:t>m</w:t>
      </w:r>
      <w:bookmarkStart w:id="3701" w:name="__Fieldmark__22877_118561941"/>
      <w:r>
        <w:rPr>
          <w:color w:val="00000A"/>
        </w:rPr>
        <w:t>arandache 2019)</w:t>
      </w:r>
      <w:r>
        <w:rPr>
          <w:color w:val="00000A"/>
        </w:rPr>
      </w:r>
      <w:r>
        <w:fldChar w:fldCharType="end"/>
      </w:r>
      <w:bookmarkEnd w:id="3698"/>
      <w:bookmarkEnd w:id="3699"/>
      <w:bookmarkEnd w:id="3700"/>
      <w:bookmarkEnd w:id="3701"/>
      <w:r>
        <w:rPr>
          <w:color w:val="00000A"/>
        </w:rPr>
        <w:t>.</w:t>
      </w:r>
      <w:r>
        <w:rPr>
          <w:bCs w:val="false"/>
        </w:rPr>
        <w:t xml:space="preserve"> </w:t>
      </w:r>
      <w:r>
        <w:rPr>
          <w:b/>
        </w:rPr>
        <w:t xml:space="preserve"> </w:t>
      </w:r>
    </w:p>
    <w:p>
      <w:pPr>
        <w:pStyle w:val="Normal"/>
        <w:ind w:left="284" w:hanging="284"/>
        <w:rPr/>
      </w:pPr>
      <w:r>
        <w:rPr>
          <w:b/>
        </w:rPr>
        <w:t>Triangulación de datos</w:t>
      </w:r>
      <w:r>
        <w:rPr/>
        <w:t xml:space="preserve">: consiste en considerar diferentes bases de datos para la validación de los métodos propuestos. Esto eleva la capacidad de generalización de los resultados de comparación entre los métodos propuestos </w:t>
      </w:r>
      <w:r>
        <w:fldChar w:fldCharType="begin"/>
      </w:r>
      <w:r>
        <w:instrText>ADDIN ZOTERO_ITEM CSL_CITATION {"citationID":"a1bkoofiqit","properties":{"formattedCitation":"(Moon 2019)","plainCitation":"(Moon 2019)","noteIndex":0},"citationItems":[{"id":3472,"uris":["http://zotero.org/users/local/EJ15hJE2/items/8TYVPR4F"],"uri":["http://zotero.org/users/local/EJ15hJE2/items/8TYVPR4F"],"itemData":{"id":3472,"type":"article-journal","abstract":"Research strives to understand truths about particular phenomena, whether it be the\npathophysiology of a disease process or how nursing care affects the outcomes of patients.\nOur knowledge is always evolving over time. To ensure that the information we derive\nfrom research data accurately reflects the truth about phenomena under investigation,\ndifferent research methods are used. Triangulation is one method that helps increase\nthe validity, reliability, and legitimation, which encompasses credibility, dependability,\nconfirmability, and transferability, of research findings.","container-title":"Journal of Emergency Nursing","DOI":"10.1016/j.jen.2018.11.004","ISSN":"0099-1767, 1527-2966","issue":"1","journalAbbreviation":"Journal of Emergency Nursing","language":"English","note":"PMID: 30616761","page":"103-105","source":"www.jenonline.org","title":"Triangulation: A Method to Increase Validity, Reliability, and Legitimation in Clinical Research","title-short":"Triangulation","volume":"45","author":[{"family":"Moon","given":"Michael D."}],"issued":{"date-parts":[["2019",1,1]]}}}],"schema":"https://github.com/citation-style-language/schema/raw/master/csl-citation.json"}</w:instrText>
      </w:r>
      <w:r>
        <w:fldChar w:fldCharType="separate"/>
      </w:r>
      <w:bookmarkStart w:id="3702" w:name="__Fieldmark__20411_2067855929"/>
      <w:r>
        <w:rPr/>
      </w:r>
      <w:r>
        <w:rPr>
          <w:szCs w:val="24"/>
        </w:rPr>
        <w:t>(</w:t>
      </w:r>
      <w:bookmarkStart w:id="3703" w:name="__Fieldmark__18539_498839314"/>
      <w:r>
        <w:rPr>
          <w:szCs w:val="24"/>
        </w:rPr>
        <w:t>M</w:t>
      </w:r>
      <w:bookmarkStart w:id="3704" w:name="__Fieldmark__17348_998588997"/>
      <w:r>
        <w:rPr>
          <w:szCs w:val="24"/>
        </w:rPr>
        <w:t>o</w:t>
      </w:r>
      <w:bookmarkStart w:id="3705" w:name="__Fieldmark__22888_118561941"/>
      <w:r>
        <w:rPr>
          <w:szCs w:val="24"/>
        </w:rPr>
        <w:t>on 2019)</w:t>
      </w:r>
      <w:r>
        <w:rPr/>
      </w:r>
      <w:r>
        <w:fldChar w:fldCharType="end"/>
      </w:r>
      <w:bookmarkEnd w:id="3702"/>
      <w:bookmarkEnd w:id="3703"/>
      <w:bookmarkEnd w:id="3704"/>
      <w:bookmarkEnd w:id="3705"/>
      <w:r>
        <w:rPr/>
        <w:t>.</w:t>
      </w:r>
    </w:p>
    <w:p>
      <w:pPr>
        <w:pStyle w:val="Normal"/>
        <w:ind w:left="284" w:hanging="284"/>
        <w:rPr/>
      </w:pPr>
      <w:r>
        <w:rPr>
          <w:b/>
        </w:rPr>
        <w:t>Triangulación de expertos</w:t>
      </w:r>
      <w:r>
        <w:rPr/>
        <w:t>: supone la participación de varios expertos en el proceso de validación, elemento que puede ayudar a mitigar el sesgo de considerar solamente las opiniones de un único experto. Se utiliza esta estrategia como complemento al análisis experimental combinando los métodos cuantitativos con los cualitativos. Los métodos cualitativos toman en consideración variables que no pueden ser expresadas cuantitativamente.</w:t>
      </w:r>
    </w:p>
    <w:p>
      <w:pPr>
        <w:pStyle w:val="Normal"/>
        <w:ind w:left="284" w:hanging="284"/>
        <w:rPr/>
      </w:pPr>
      <w:r>
        <w:rPr>
          <w:b/>
        </w:rPr>
        <w:t>Triangulación de métodos</w:t>
      </w:r>
      <w:r>
        <w:rPr/>
        <w:t xml:space="preserve">: uso de diferentes métodos durante la validación, o sea, consiste en la comparación de los métodos propuestos con otros métodos reportados en la bibliografía </w:t>
      </w:r>
      <w:r>
        <w:fldChar w:fldCharType="begin"/>
      </w:r>
      <w:r>
        <w:instrText>ADDIN ZOTERO_ITEM CSL_CITATION {"citationID":"a21jqcea2al","properties":{"formattedCitation":"(Moon 2019)","plainCitation":"(Moon 2019)","noteIndex":0},"citationItems":[{"id":3472,"uris":["http://zotero.org/users/local/EJ15hJE2/items/8TYVPR4F"],"uri":["http://zotero.org/users/local/EJ15hJE2/items/8TYVPR4F"],"itemData":{"id":3472,"type":"article-journal","abstract":"Research strives to understand truths about particular phenomena, whether it be the\npathophysiology of a disease process or how nursing care affects the outcomes of patients.\nOur knowledge is always evolving over time. To ensure that the information we derive\nfrom research data accurately reflects the truth about phenomena under investigation,\ndifferent research methods are used. Triangulation is one method that helps increase\nthe validity, reliability, and legitimation, which encompasses credibility, dependability,\nconfirmability, and transferability, of research findings.","container-title":"Journal of Emergency Nursing","DOI":"10.1016/j.jen.2018.11.004","ISSN":"0099-1767, 1527-2966","issue":"1","journalAbbreviation":"Journal of Emergency Nursing","language":"English","note":"PMID: 30616761","page":"103-105","source":"www.jenonline.org","title":"Triangulation: A Method to Increase Validity, Reliability, and Legitimation in Clinical Research","title-short":"Triangulation","volume":"45","author":[{"family":"Moon","given":"Michael D."}],"issued":{"date-parts":[["2019",1,1]]}}}],"schema":"https://github.com/citation-style-language/schema/raw/master/csl-citation.json"}</w:instrText>
      </w:r>
      <w:r>
        <w:fldChar w:fldCharType="separate"/>
      </w:r>
      <w:bookmarkStart w:id="3706" w:name="__Fieldmark__20434_2067855929"/>
      <w:r>
        <w:rPr/>
      </w:r>
      <w:r>
        <w:rPr>
          <w:szCs w:val="24"/>
        </w:rPr>
        <w:t>(</w:t>
      </w:r>
      <w:bookmarkStart w:id="3707" w:name="__Fieldmark__18555_498839314"/>
      <w:r>
        <w:rPr>
          <w:szCs w:val="24"/>
        </w:rPr>
        <w:t>M</w:t>
      </w:r>
      <w:bookmarkStart w:id="3708" w:name="__Fieldmark__17360_998588997"/>
      <w:r>
        <w:rPr>
          <w:szCs w:val="24"/>
        </w:rPr>
        <w:t>o</w:t>
      </w:r>
      <w:bookmarkStart w:id="3709" w:name="__Fieldmark__22899_118561941"/>
      <w:r>
        <w:rPr>
          <w:szCs w:val="24"/>
        </w:rPr>
        <w:t>on 2019)</w:t>
      </w:r>
      <w:r>
        <w:rPr/>
      </w:r>
      <w:r>
        <w:fldChar w:fldCharType="end"/>
      </w:r>
      <w:bookmarkEnd w:id="3706"/>
      <w:bookmarkEnd w:id="3707"/>
      <w:bookmarkEnd w:id="3708"/>
      <w:bookmarkEnd w:id="3709"/>
      <w:r>
        <w:rPr/>
        <w:t>.</w:t>
      </w:r>
    </w:p>
    <w:p>
      <w:pPr>
        <w:pStyle w:val="Normal"/>
        <w:ind w:left="284" w:hanging="284"/>
        <w:rPr/>
      </w:pPr>
      <w:r>
        <w:rPr>
          <w:b/>
        </w:rPr>
        <w:t>Vaguedad</w:t>
      </w:r>
      <w:r>
        <w:rPr/>
        <w:t>: puede estar motivada por el empleo de conceptos cuyos límites no están bien definidos; por ejemplo, el termino joven para denotar la edad de una persona, o bajo para la estatura</w:t>
      </w:r>
      <w:bookmarkEnd w:id="3660"/>
      <w:r>
        <w:rPr/>
        <w:t>.</w:t>
      </w:r>
    </w:p>
    <w:p>
      <w:pPr>
        <w:pStyle w:val="Heading1"/>
        <w:numPr>
          <w:ilvl w:val="0"/>
          <w:numId w:val="80"/>
        </w:numPr>
        <w:rPr>
          <w:lang w:val="en-US"/>
        </w:rPr>
      </w:pPr>
      <w:bookmarkStart w:id="3710" w:name="_Toc84598953"/>
      <w:bookmarkStart w:id="3711" w:name="_Toc476476175"/>
      <w:bookmarkStart w:id="3712" w:name="_Toc484293926"/>
      <w:bookmarkStart w:id="3713" w:name="_Toc488689052"/>
      <w:r>
        <w:rPr>
          <w:lang w:val="en-US"/>
        </w:rPr>
        <w:t>Bibliogr</w:t>
      </w:r>
      <w:bookmarkEnd w:id="3710"/>
      <w:bookmarkEnd w:id="3711"/>
      <w:bookmarkEnd w:id="3712"/>
      <w:bookmarkEnd w:id="3713"/>
      <w:r>
        <w:rPr>
          <w:lang w:val="en-US"/>
        </w:rPr>
        <w:t>afía</w:t>
      </w:r>
    </w:p>
    <w:p>
      <w:pPr>
        <w:pStyle w:val="Bibliography"/>
        <w:rPr/>
      </w:pPr>
      <w:r>
        <w:fldChar w:fldCharType="begin"/>
      </w:r>
      <w:r>
        <w:instrText>ADDIN ZOTERO_BIBL {"uncited":[],"omitted":[],"custom":[]} CSL_BIBLIOGRAPHY</w:instrText>
      </w:r>
      <w:r>
        <w:fldChar w:fldCharType="separate"/>
      </w:r>
      <w:bookmarkStart w:id="3714" w:name="__Fieldmark__20465_2067855929"/>
      <w:r>
        <w:rPr/>
      </w:r>
      <w:r>
        <w:rPr>
          <w:rFonts w:cs="Arial" w:ascii="Arial" w:hAnsi="Arial"/>
          <w:lang w:val="en-US"/>
        </w:rPr>
        <w:t>A</w:t>
      </w:r>
      <w:bookmarkStart w:id="3715" w:name="__Fieldmark__18581_498839314"/>
      <w:r>
        <w:rPr>
          <w:rFonts w:cs="Arial" w:ascii="Arial" w:hAnsi="Arial"/>
          <w:lang w:val="en-US"/>
        </w:rPr>
        <w:t>G</w:t>
      </w:r>
      <w:bookmarkStart w:id="3716" w:name="__Fieldmark__17382_998588997"/>
      <w:r>
        <w:rPr>
          <w:rFonts w:cs="Arial" w:ascii="Arial" w:hAnsi="Arial"/>
          <w:lang w:val="en-US"/>
        </w:rPr>
        <w:t>G</w:t>
      </w:r>
      <w:bookmarkStart w:id="3717" w:name="__Fieldmark__22916_118561941"/>
      <w:r>
        <w:rPr>
          <w:rFonts w:cs="Arial" w:ascii="Arial" w:hAnsi="Arial"/>
          <w:lang w:val="en-US"/>
        </w:rPr>
        <w:t xml:space="preserve">ARWAL, C.C. y SATHE, S., 2017. </w:t>
      </w:r>
      <w:r>
        <w:rPr>
          <w:rFonts w:cs="Arial" w:ascii="Arial" w:hAnsi="Arial"/>
          <w:i/>
          <w:iCs/>
          <w:lang w:val="en-US"/>
        </w:rPr>
        <w:t>Outlier Ensembles: An Introduction</w:t>
      </w:r>
      <w:r>
        <w:rPr>
          <w:rFonts w:cs="Arial" w:ascii="Arial" w:hAnsi="Arial"/>
          <w:lang w:val="en-US"/>
        </w:rPr>
        <w:t xml:space="preserve">. S.l.: Springer. ISBN 978-3-319-54765-7. </w:t>
      </w:r>
      <w:bookmarkEnd w:id="3714"/>
      <w:bookmarkEnd w:id="3715"/>
      <w:bookmarkEnd w:id="3716"/>
      <w:bookmarkEnd w:id="3717"/>
      <w:r>
        <w:rPr/>
      </w:r>
      <w:r>
        <w:fldChar w:fldCharType="end"/>
      </w:r>
    </w:p>
    <w:p>
      <w:pPr>
        <w:pStyle w:val="Bibliography"/>
        <w:rPr>
          <w:rFonts w:ascii="Arial" w:hAnsi="Arial" w:cs="Arial"/>
          <w:lang w:val="en-US"/>
        </w:rPr>
      </w:pPr>
      <w:r>
        <w:rPr>
          <w:rFonts w:cs="Arial" w:ascii="Arial" w:hAnsi="Arial"/>
          <w:lang w:val="en-US"/>
        </w:rPr>
        <w:t xml:space="preserve">ALVES, W., MARTINS, D., BEZERRA, U. y KLAUTAU, A., 2017. A Hybrid Approach for Big Data Outlier Detection from Electric Power SCADA System. </w:t>
      </w:r>
      <w:r>
        <w:rPr>
          <w:rFonts w:cs="Arial" w:ascii="Arial" w:hAnsi="Arial"/>
          <w:i/>
          <w:iCs/>
          <w:lang w:val="en-US"/>
        </w:rPr>
        <w:t>IEEE Latin America Transactions</w:t>
      </w:r>
      <w:r>
        <w:rPr>
          <w:rFonts w:cs="Arial" w:ascii="Arial" w:hAnsi="Arial"/>
          <w:lang w:val="en-US"/>
        </w:rPr>
        <w:t xml:space="preserve">, vol. 15, no. 1, pp. 57-64. ISSN 1548-0992. DOI 10.1109/TLA.2017.7827888. </w:t>
      </w:r>
    </w:p>
    <w:p>
      <w:pPr>
        <w:pStyle w:val="Bibliography"/>
        <w:rPr>
          <w:rFonts w:ascii="Arial" w:hAnsi="Arial" w:cs="Arial"/>
        </w:rPr>
      </w:pPr>
      <w:r>
        <w:rPr>
          <w:rFonts w:cs="Arial" w:ascii="Arial" w:hAnsi="Arial"/>
        </w:rPr>
        <w:t xml:space="preserve">AMGHAR, D. y CHIKH, Amine.M., 2018. </w:t>
      </w:r>
      <w:r>
        <w:rPr>
          <w:rFonts w:cs="Arial" w:ascii="Arial" w:hAnsi="Arial"/>
          <w:lang w:val="en-US"/>
        </w:rPr>
        <w:t xml:space="preserve">Extracting a Linguistic Summary from a Medical Database. </w:t>
      </w:r>
      <w:r>
        <w:rPr>
          <w:rFonts w:cs="Arial" w:ascii="Arial" w:hAnsi="Arial"/>
          <w:i/>
          <w:iCs/>
          <w:lang w:val="en-US"/>
        </w:rPr>
        <w:t>International Journal of Intelligent Systems and Applications</w:t>
      </w:r>
      <w:r>
        <w:rPr>
          <w:rFonts w:cs="Arial" w:ascii="Arial" w:hAnsi="Arial"/>
          <w:lang w:val="en-US"/>
        </w:rPr>
        <w:t xml:space="preserve">, vol. 10, no. 12, pp. 16–26. </w:t>
      </w:r>
      <w:r>
        <w:rPr>
          <w:rFonts w:cs="Arial" w:ascii="Arial" w:hAnsi="Arial"/>
        </w:rPr>
        <w:t xml:space="preserve">ISSN 2074904X, 20749058. DOI 10.5815/ijisa.2018.12.02. </w:t>
      </w:r>
    </w:p>
    <w:p>
      <w:pPr>
        <w:pStyle w:val="Bibliography"/>
        <w:rPr>
          <w:rFonts w:ascii="Arial" w:hAnsi="Arial" w:cs="Arial"/>
          <w:lang w:val="en-US"/>
        </w:rPr>
      </w:pPr>
      <w:r>
        <w:rPr>
          <w:rFonts w:cs="Arial" w:ascii="Arial" w:hAnsi="Arial"/>
        </w:rPr>
        <w:t xml:space="preserve">BAHNER, C.A. y CLARK, C.B., 2020. </w:t>
      </w:r>
      <w:r>
        <w:rPr>
          <w:rFonts w:cs="Arial" w:ascii="Arial" w:hAnsi="Arial"/>
          <w:lang w:val="en-US"/>
        </w:rPr>
        <w:t xml:space="preserve">Sixteen Personality Factor Questionnaire (16PF). En: V. ZEIGLER-HILL y T.K. SHACKELFORD (eds.), </w:t>
      </w:r>
      <w:r>
        <w:rPr>
          <w:rFonts w:cs="Arial" w:ascii="Arial" w:hAnsi="Arial"/>
          <w:i/>
          <w:iCs/>
          <w:lang w:val="en-US"/>
        </w:rPr>
        <w:t>Encyclopedia of Personality and Individual Differences</w:t>
      </w:r>
      <w:r>
        <w:rPr>
          <w:rFonts w:cs="Arial" w:ascii="Arial" w:hAnsi="Arial"/>
          <w:lang w:val="en-US"/>
        </w:rPr>
        <w:t xml:space="preserve"> [en línea]. Cham: Springer International Publishing, pp. 4958-4961. [Consulta: 29 marzo 2021]. ISBN 978-3-319-24612-3. Disponible en: https://doi.org/10.1007/978-3-319-24612-3_86. </w:t>
      </w:r>
    </w:p>
    <w:p>
      <w:pPr>
        <w:pStyle w:val="Bibliography"/>
        <w:rPr>
          <w:rFonts w:ascii="Arial" w:hAnsi="Arial" w:cs="Arial"/>
        </w:rPr>
      </w:pPr>
      <w:r>
        <w:rPr>
          <w:rFonts w:cs="Arial" w:ascii="Arial" w:hAnsi="Arial"/>
          <w:lang w:val="en-US"/>
        </w:rPr>
        <w:t xml:space="preserve">BARTZ-BEIELSTEIN, T., DOERR, C., BERG, D. van den, BOSSEK, J., CHANDRASEKARAN, S., EFTIMOV, T., FISCHBACH, A., KERSCHKE, P., LA CAVA, W., LOPEZ-IBANEZ, M., MALAN, K.M., MOORE, J.H., NAUJOKS, B., ORZECHOWSKI, P., VOLZ, V., WAGNER, M. y WEISE, T., 2020. Benchmarking in Optimization: Best Practice and Open Issues. En: arXiv: 2007.03488, </w:t>
      </w:r>
      <w:r>
        <w:rPr>
          <w:rFonts w:cs="Arial" w:ascii="Arial" w:hAnsi="Arial"/>
          <w:i/>
          <w:iCs/>
          <w:lang w:val="en-US"/>
        </w:rPr>
        <w:t>arXiv:2007.03488 [cs, math, stat]</w:t>
      </w:r>
      <w:r>
        <w:rPr>
          <w:rFonts w:cs="Arial" w:ascii="Arial" w:hAnsi="Arial"/>
          <w:lang w:val="en-US"/>
        </w:rPr>
        <w:t xml:space="preserve"> [en línea], [Consulta: 12 agosto 2021]. </w:t>
      </w:r>
      <w:r>
        <w:rPr>
          <w:rFonts w:cs="Arial" w:ascii="Arial" w:hAnsi="Arial"/>
        </w:rPr>
        <w:t xml:space="preserve">Disponible en: http://arxiv.org/abs/2007.03488. </w:t>
      </w:r>
    </w:p>
    <w:p>
      <w:pPr>
        <w:pStyle w:val="Bibliography"/>
        <w:rPr>
          <w:rFonts w:ascii="Arial" w:hAnsi="Arial" w:cs="Arial"/>
          <w:lang w:val="en-US"/>
        </w:rPr>
      </w:pPr>
      <w:r>
        <w:rPr>
          <w:rFonts w:cs="Arial" w:ascii="Arial" w:hAnsi="Arial"/>
        </w:rPr>
        <w:t xml:space="preserve">BELLO, R., FALCON, R. y VERDEGAY, J.L., 2019. </w:t>
      </w:r>
      <w:r>
        <w:rPr>
          <w:rFonts w:cs="Arial" w:ascii="Arial" w:hAnsi="Arial"/>
          <w:i/>
          <w:iCs/>
          <w:lang w:val="en-US"/>
        </w:rPr>
        <w:t>Uncertainty Management with Fuzzy and Rough Sets: Recent Advances and Applications</w:t>
      </w:r>
      <w:r>
        <w:rPr>
          <w:rFonts w:cs="Arial" w:ascii="Arial" w:hAnsi="Arial"/>
          <w:lang w:val="en-US"/>
        </w:rPr>
        <w:t xml:space="preserve">. S.l.: Springer. ISBN 978-3-030-10463-4. </w:t>
      </w:r>
    </w:p>
    <w:p>
      <w:pPr>
        <w:pStyle w:val="Bibliography"/>
        <w:rPr>
          <w:rFonts w:ascii="Arial" w:hAnsi="Arial" w:cs="Arial"/>
          <w:lang w:val="en-US"/>
        </w:rPr>
      </w:pPr>
      <w:r>
        <w:rPr>
          <w:rFonts w:cs="Arial" w:ascii="Arial" w:hAnsi="Arial"/>
          <w:lang w:val="en-US"/>
        </w:rPr>
        <w:t xml:space="preserve">BELLO, R. y VERDEGAY, J.L., 2012. Rough sets in the Soft Computing environment. </w:t>
      </w:r>
      <w:r>
        <w:rPr>
          <w:rFonts w:cs="Arial" w:ascii="Arial" w:hAnsi="Arial"/>
          <w:i/>
          <w:iCs/>
          <w:lang w:val="en-US"/>
        </w:rPr>
        <w:t>Information Sciences, ISSN 0020-0255</w:t>
      </w:r>
      <w:r>
        <w:rPr>
          <w:rFonts w:cs="Arial" w:ascii="Arial" w:hAnsi="Arial"/>
          <w:lang w:val="en-US"/>
        </w:rPr>
        <w:t xml:space="preserve">, vol. 212, pp. 1–14. ISSN 0020-0255. DOI 10.1016/j.ins.2012.04.041. </w:t>
      </w:r>
    </w:p>
    <w:p>
      <w:pPr>
        <w:pStyle w:val="Bibliography"/>
        <w:rPr>
          <w:rFonts w:ascii="Arial" w:hAnsi="Arial" w:cs="Arial"/>
        </w:rPr>
      </w:pPr>
      <w:r>
        <w:rPr>
          <w:rFonts w:cs="Arial" w:ascii="Arial" w:hAnsi="Arial"/>
          <w:lang w:val="en-US"/>
        </w:rPr>
        <w:t xml:space="preserve">BENAVENTE RECHE, A.P., 2009. </w:t>
      </w:r>
      <w:r>
        <w:rPr>
          <w:rFonts w:cs="Arial" w:ascii="Arial" w:hAnsi="Arial"/>
          <w:i/>
          <w:iCs/>
        </w:rPr>
        <w:t>Medidas de acuerdo y de sesgo entre jueces</w:t>
      </w:r>
      <w:r>
        <w:rPr>
          <w:rFonts w:cs="Arial" w:ascii="Arial" w:hAnsi="Arial"/>
        </w:rPr>
        <w:t xml:space="preserve">. PhD Thesis. S.l.: Facultad de Psicología, Universidad de Murcia. </w:t>
      </w:r>
    </w:p>
    <w:p>
      <w:pPr>
        <w:pStyle w:val="Bibliography"/>
        <w:rPr>
          <w:rFonts w:ascii="Arial" w:hAnsi="Arial" w:cs="Arial"/>
          <w:lang w:val="en-US"/>
        </w:rPr>
      </w:pPr>
      <w:r>
        <w:rPr>
          <w:rFonts w:cs="Arial" w:ascii="Arial" w:hAnsi="Arial"/>
        </w:rPr>
        <w:t xml:space="preserve">BÖGER, B., FACHI, M.M., VILHENA, R.O., COBRE, A.F., TONIN, F.S. y PONTAROLO, R., 2021. </w:t>
      </w:r>
      <w:r>
        <w:rPr>
          <w:rFonts w:cs="Arial" w:ascii="Arial" w:hAnsi="Arial"/>
          <w:lang w:val="en-US"/>
        </w:rPr>
        <w:t xml:space="preserve">Systematic review with meta-analysis of the accuracy of diagnostic tests for COVID-19. </w:t>
      </w:r>
      <w:r>
        <w:rPr>
          <w:rFonts w:cs="Arial" w:ascii="Arial" w:hAnsi="Arial"/>
          <w:i/>
          <w:iCs/>
          <w:lang w:val="en-US"/>
        </w:rPr>
        <w:t>American Journal of Infection Control</w:t>
      </w:r>
      <w:r>
        <w:rPr>
          <w:rFonts w:cs="Arial" w:ascii="Arial" w:hAnsi="Arial"/>
          <w:lang w:val="en-US"/>
        </w:rPr>
        <w:t xml:space="preserve">, vol. 49, no. 1, pp. 21-29. ISSN 0196-6553. DOI 10.1016/j.ajic.2020.07.011. </w:t>
      </w:r>
    </w:p>
    <w:p>
      <w:pPr>
        <w:pStyle w:val="Bibliography"/>
        <w:rPr>
          <w:rFonts w:ascii="Arial" w:hAnsi="Arial" w:cs="Arial"/>
          <w:lang w:val="en-US"/>
        </w:rPr>
      </w:pPr>
      <w:r>
        <w:rPr>
          <w:rFonts w:cs="Arial" w:ascii="Arial" w:hAnsi="Arial"/>
          <w:lang w:val="en-US"/>
        </w:rPr>
        <w:t xml:space="preserve">BONISSONE, P.P. y DECKER, K.S., 1986. Selecting uncertainty calculi and granularity: An experiment in trading-off precision and complexity. </w:t>
      </w:r>
      <w:r>
        <w:rPr>
          <w:rFonts w:cs="Arial" w:ascii="Arial" w:hAnsi="Arial"/>
          <w:i/>
          <w:iCs/>
          <w:lang w:val="en-US"/>
        </w:rPr>
        <w:t>Machine intelligence and pattern recognition</w:t>
      </w:r>
      <w:r>
        <w:rPr>
          <w:rFonts w:cs="Arial" w:ascii="Arial" w:hAnsi="Arial"/>
          <w:lang w:val="en-US"/>
        </w:rPr>
        <w:t xml:space="preserve">. S.l.: Elsevier, pp. 217–247. </w:t>
      </w:r>
    </w:p>
    <w:p>
      <w:pPr>
        <w:pStyle w:val="Bibliography"/>
        <w:rPr>
          <w:rFonts w:ascii="Arial" w:hAnsi="Arial" w:cs="Arial"/>
          <w:lang w:val="en-US"/>
        </w:rPr>
      </w:pPr>
      <w:r>
        <w:rPr>
          <w:rFonts w:cs="Arial" w:ascii="Arial" w:hAnsi="Arial"/>
          <w:lang w:val="en-US"/>
        </w:rPr>
        <w:t xml:space="preserve">BORAN, F.E., AKAY, D. y YAGER, R.R., 2016. An overview of methods for linguistic summarization with fuzzy sets. </w:t>
      </w:r>
      <w:r>
        <w:rPr>
          <w:rFonts w:cs="Arial" w:ascii="Arial" w:hAnsi="Arial"/>
          <w:i/>
          <w:iCs/>
          <w:lang w:val="en-US"/>
        </w:rPr>
        <w:t>Expert Systems with Applications</w:t>
      </w:r>
      <w:r>
        <w:rPr>
          <w:rFonts w:cs="Arial" w:ascii="Arial" w:hAnsi="Arial"/>
          <w:lang w:val="en-US"/>
        </w:rPr>
        <w:t xml:space="preserve">, vol. 61, pp. 356–377. DOI 10.1016/j.eswa.2016.05.044. </w:t>
      </w:r>
    </w:p>
    <w:p>
      <w:pPr>
        <w:pStyle w:val="Bibliography"/>
        <w:rPr>
          <w:rFonts w:ascii="Arial" w:hAnsi="Arial" w:cs="Arial"/>
          <w:lang w:val="en-US"/>
        </w:rPr>
      </w:pPr>
      <w:r>
        <w:rPr>
          <w:rFonts w:cs="Arial" w:ascii="Arial" w:hAnsi="Arial"/>
          <w:lang w:val="en-US"/>
        </w:rPr>
        <w:t xml:space="preserve">CAPRARA, G.V., BARBARANELLI, C., BORGOGNI, L. y PERUGINI, M., 1993. The “big five questionnaire”: A new questionnaire to assess the five factor model. </w:t>
      </w:r>
      <w:r>
        <w:rPr>
          <w:rFonts w:cs="Arial" w:ascii="Arial" w:hAnsi="Arial"/>
          <w:i/>
          <w:iCs/>
          <w:lang w:val="en-US"/>
        </w:rPr>
        <w:t>Personality and Individual Differences</w:t>
      </w:r>
      <w:r>
        <w:rPr>
          <w:rFonts w:cs="Arial" w:ascii="Arial" w:hAnsi="Arial"/>
          <w:lang w:val="en-US"/>
        </w:rPr>
        <w:t xml:space="preserve">, vol. 15, no. 3, pp. 281-288. ISSN 0191-8869. DOI 10.1016/0191-8869(93)90218-R. </w:t>
      </w:r>
    </w:p>
    <w:p>
      <w:pPr>
        <w:pStyle w:val="Bibliography"/>
        <w:rPr>
          <w:rFonts w:ascii="Arial" w:hAnsi="Arial" w:cs="Arial"/>
          <w:lang w:val="en-US"/>
        </w:rPr>
      </w:pPr>
      <w:r>
        <w:rPr>
          <w:rFonts w:cs="Arial" w:ascii="Arial" w:hAnsi="Arial"/>
        </w:rPr>
        <w:t xml:space="preserve">CASTRO AGUILAR, G.F., 2017. </w:t>
      </w:r>
      <w:r>
        <w:rPr>
          <w:rFonts w:cs="Arial" w:ascii="Arial" w:hAnsi="Arial"/>
          <w:i/>
          <w:iCs/>
        </w:rPr>
        <w:t>Modelo para el aseguramiento de ingresos en organizaciones orientadas a proyectos basado en minería de datos anómalos</w:t>
      </w:r>
      <w:r>
        <w:rPr>
          <w:rFonts w:cs="Arial" w:ascii="Arial" w:hAnsi="Arial"/>
        </w:rPr>
        <w:t xml:space="preserve"> [en línea]. Doctoral. La Habana, Cuba: Universidad de las Ciencias Informáticas. [Consulta: 2 abril 2021]. </w:t>
      </w:r>
      <w:r>
        <w:rPr>
          <w:rFonts w:cs="Arial" w:ascii="Arial" w:hAnsi="Arial"/>
          <w:lang w:val="en-US"/>
        </w:rPr>
        <w:t xml:space="preserve">Disponible en: https://repositorio.uci.cu/jspui/handle/123456789/7933. </w:t>
      </w:r>
    </w:p>
    <w:p>
      <w:pPr>
        <w:pStyle w:val="Bibliography"/>
        <w:rPr>
          <w:rFonts w:ascii="Arial" w:hAnsi="Arial" w:cs="Arial"/>
          <w:lang w:val="en-US"/>
        </w:rPr>
      </w:pPr>
      <w:r>
        <w:rPr>
          <w:rFonts w:cs="Arial" w:ascii="Arial" w:hAnsi="Arial"/>
          <w:lang w:val="en-US"/>
        </w:rPr>
        <w:t xml:space="preserve">CHIANG, D.-A., CHOW, L.R. y WANG, Y.-F., 2000. Mining time series data by a fuzzy linguistic summary system. </w:t>
      </w:r>
      <w:r>
        <w:rPr>
          <w:rFonts w:cs="Arial" w:ascii="Arial" w:hAnsi="Arial"/>
          <w:i/>
          <w:iCs/>
          <w:lang w:val="en-US"/>
        </w:rPr>
        <w:t>Fuzzy sets and Systems</w:t>
      </w:r>
      <w:r>
        <w:rPr>
          <w:rFonts w:cs="Arial" w:ascii="Arial" w:hAnsi="Arial"/>
          <w:lang w:val="en-US"/>
        </w:rPr>
        <w:t xml:space="preserve">, vol. 112, no. 3, pp. 419–432. DOI 10.1016/S0165-0114(98)00003-7. </w:t>
      </w:r>
    </w:p>
    <w:p>
      <w:pPr>
        <w:pStyle w:val="Bibliography"/>
        <w:rPr>
          <w:rFonts w:ascii="Arial" w:hAnsi="Arial" w:cs="Arial"/>
          <w:lang w:val="en-US"/>
        </w:rPr>
      </w:pPr>
      <w:r>
        <w:rPr>
          <w:rFonts w:cs="Arial" w:ascii="Arial" w:hAnsi="Arial"/>
          <w:lang w:val="en-US"/>
        </w:rPr>
        <w:t xml:space="preserve">CHOW, C. y LIU, C., 1968. Approximating discrete probability distributions with dependence trees. </w:t>
      </w:r>
      <w:r>
        <w:rPr>
          <w:rFonts w:cs="Arial" w:ascii="Arial" w:hAnsi="Arial"/>
          <w:i/>
          <w:iCs/>
          <w:lang w:val="en-US"/>
        </w:rPr>
        <w:t>IEEE Transactions on Information Theory</w:t>
      </w:r>
      <w:r>
        <w:rPr>
          <w:rFonts w:cs="Arial" w:ascii="Arial" w:hAnsi="Arial"/>
          <w:lang w:val="en-US"/>
        </w:rPr>
        <w:t xml:space="preserve">, vol. 14, no. 3, pp. 462-467. ISSN 1557-9654. DOI 10.1109/TIT.1968.1054142. </w:t>
      </w:r>
    </w:p>
    <w:p>
      <w:pPr>
        <w:pStyle w:val="Bibliography"/>
        <w:rPr>
          <w:rFonts w:ascii="Arial" w:hAnsi="Arial" w:cs="Arial"/>
          <w:lang w:val="en-US"/>
        </w:rPr>
      </w:pPr>
      <w:r>
        <w:rPr>
          <w:rFonts w:cs="Arial" w:ascii="Arial" w:hAnsi="Arial"/>
          <w:lang w:val="en-US"/>
        </w:rPr>
        <w:t xml:space="preserve">CPAŁKA, K., 2017. </w:t>
      </w:r>
      <w:r>
        <w:rPr>
          <w:rFonts w:cs="Arial" w:ascii="Arial" w:hAnsi="Arial"/>
          <w:i/>
          <w:iCs/>
          <w:lang w:val="en-US"/>
        </w:rPr>
        <w:t>Design of Interpretable Fuzzy Systems</w:t>
      </w:r>
      <w:r>
        <w:rPr>
          <w:rFonts w:cs="Arial" w:ascii="Arial" w:hAnsi="Arial"/>
          <w:lang w:val="en-US"/>
        </w:rPr>
        <w:t xml:space="preserve">. S.l.: Springer. SCI. ISBN 978-3-319-52881-6. </w:t>
      </w:r>
    </w:p>
    <w:p>
      <w:pPr>
        <w:pStyle w:val="Bibliography"/>
        <w:rPr>
          <w:rFonts w:ascii="Arial" w:hAnsi="Arial" w:cs="Arial"/>
          <w:lang w:val="en-US"/>
        </w:rPr>
      </w:pPr>
      <w:r>
        <w:rPr>
          <w:rFonts w:cs="Arial" w:ascii="Arial" w:hAnsi="Arial"/>
        </w:rPr>
        <w:t xml:space="preserve">CURSI, F. y YANG, G., 2019. </w:t>
      </w:r>
      <w:r>
        <w:rPr>
          <w:rFonts w:cs="Arial" w:ascii="Arial" w:hAnsi="Arial"/>
          <w:lang w:val="en-US"/>
        </w:rPr>
        <w:t xml:space="preserve">A Novel Approach for Outlier Detection and Robust Sensory Data Model Learning. </w:t>
      </w:r>
      <w:r>
        <w:rPr>
          <w:rFonts w:cs="Arial" w:ascii="Arial" w:hAnsi="Arial"/>
          <w:i/>
          <w:iCs/>
          <w:lang w:val="en-US"/>
        </w:rPr>
        <w:t>2019 IEEE/RSJ International Conference on Intelligent Robots and Systems (IROS)</w:t>
      </w:r>
      <w:r>
        <w:rPr>
          <w:rFonts w:cs="Arial" w:ascii="Arial" w:hAnsi="Arial"/>
          <w:lang w:val="en-US"/>
        </w:rPr>
        <w:t xml:space="preserve">. S.l.: s.n., pp. 4250-4257. DOI 10.1109/IROS40897.2019.8967653. </w:t>
      </w:r>
    </w:p>
    <w:p>
      <w:pPr>
        <w:pStyle w:val="Bibliography"/>
        <w:rPr>
          <w:rFonts w:ascii="Arial" w:hAnsi="Arial" w:cs="Arial"/>
          <w:lang w:val="en-US"/>
        </w:rPr>
      </w:pPr>
      <w:r>
        <w:rPr>
          <w:rFonts w:cs="Arial" w:ascii="Arial" w:hAnsi="Arial"/>
          <w:lang w:val="en-US"/>
        </w:rPr>
        <w:t xml:space="preserve">DALATU, P.I., 2016. Time Complexity of K-Means and K-Medians Clustering Algorithms in Outliers Detection. </w:t>
      </w:r>
      <w:r>
        <w:rPr>
          <w:rFonts w:cs="Arial" w:ascii="Arial" w:hAnsi="Arial"/>
          <w:i/>
          <w:iCs/>
          <w:lang w:val="en-US"/>
        </w:rPr>
        <w:t>Global Journal of Pure and Applied Mathematics</w:t>
      </w:r>
      <w:r>
        <w:rPr>
          <w:rFonts w:cs="Arial" w:ascii="Arial" w:hAnsi="Arial"/>
          <w:lang w:val="en-US"/>
        </w:rPr>
        <w:t xml:space="preserve">, vol. 12, no. 5, pp. 4405–4418. ISSN 0973-1768. </w:t>
      </w:r>
    </w:p>
    <w:p>
      <w:pPr>
        <w:pStyle w:val="Bibliography"/>
        <w:rPr>
          <w:rFonts w:ascii="Arial" w:hAnsi="Arial" w:cs="Arial"/>
        </w:rPr>
      </w:pPr>
      <w:r>
        <w:rPr>
          <w:rFonts w:cs="Arial" w:ascii="Arial" w:hAnsi="Arial"/>
          <w:lang w:val="en-US"/>
        </w:rPr>
        <w:t xml:space="preserve">DEGTIAREV, K.Y. y REMNEV, N.V., 2016. Linguistic resumes in software engineering: the case of trend summarization in mobile crash reporting systems. </w:t>
      </w:r>
      <w:r>
        <w:rPr>
          <w:rFonts w:cs="Arial" w:ascii="Arial" w:hAnsi="Arial"/>
          <w:i/>
          <w:iCs/>
        </w:rPr>
        <w:t>Procedia Computer Science</w:t>
      </w:r>
      <w:r>
        <w:rPr>
          <w:rFonts w:cs="Arial" w:ascii="Arial" w:hAnsi="Arial"/>
        </w:rPr>
        <w:t xml:space="preserve">, vol. 102, pp. 121–128. DOI 210.1016/j.procs.2016.09.378. </w:t>
      </w:r>
    </w:p>
    <w:p>
      <w:pPr>
        <w:pStyle w:val="Bibliography"/>
        <w:rPr>
          <w:rFonts w:ascii="Arial" w:hAnsi="Arial" w:cs="Arial"/>
        </w:rPr>
      </w:pPr>
      <w:r>
        <w:rPr>
          <w:rFonts w:cs="Arial" w:ascii="Arial" w:hAnsi="Arial"/>
        </w:rPr>
        <w:t xml:space="preserve">DÍAZ-HERMIDA, F. y VIDAL, J.C., 2018. </w:t>
      </w:r>
      <w:r>
        <w:rPr>
          <w:rFonts w:cs="Arial" w:ascii="Arial" w:hAnsi="Arial"/>
          <w:lang w:val="en-US"/>
        </w:rPr>
        <w:t xml:space="preserve">Fuzzy quantification for linguistic data analysis and data mining. </w:t>
      </w:r>
      <w:r>
        <w:rPr>
          <w:rFonts w:cs="Arial" w:ascii="Arial" w:hAnsi="Arial"/>
        </w:rPr>
        <w:t xml:space="preserve">En: arXiv: 1807.07389, </w:t>
      </w:r>
      <w:r>
        <w:rPr>
          <w:rFonts w:cs="Arial" w:ascii="Arial" w:hAnsi="Arial"/>
          <w:i/>
          <w:iCs/>
        </w:rPr>
        <w:t>II Data Science &amp; Engineering ConsortiumMeeting</w:t>
      </w:r>
      <w:r>
        <w:rPr>
          <w:rFonts w:cs="Arial" w:ascii="Arial" w:hAnsi="Arial"/>
        </w:rPr>
        <w:t xml:space="preserve"> [en línea]. Universidade de Santiago de Compostela, Spain: Centro Singular de Investigaci ́on en Tecnolox ́ıas da Informaci ́on(CiTIUS), arXiv:1807.07389, [Consulta: 8 abril 2021]. Disponible en: http://arxiv.org/abs/1807.07389. </w:t>
      </w:r>
    </w:p>
    <w:p>
      <w:pPr>
        <w:pStyle w:val="Bibliography"/>
        <w:rPr>
          <w:rFonts w:ascii="Arial" w:hAnsi="Arial" w:cs="Arial"/>
          <w:lang w:val="en-US"/>
        </w:rPr>
      </w:pPr>
      <w:r>
        <w:rPr>
          <w:rFonts w:cs="Arial" w:ascii="Arial" w:hAnsi="Arial"/>
        </w:rPr>
        <w:t xml:space="preserve">DIJKMAN, R. y WILBIK, A., 2017. </w:t>
      </w:r>
      <w:r>
        <w:rPr>
          <w:rFonts w:cs="Arial" w:ascii="Arial" w:hAnsi="Arial"/>
          <w:lang w:val="en-US"/>
        </w:rPr>
        <w:t xml:space="preserve">Linguistic summarization of event logs – A practical approach. </w:t>
      </w:r>
      <w:r>
        <w:rPr>
          <w:rFonts w:cs="Arial" w:ascii="Arial" w:hAnsi="Arial"/>
          <w:i/>
          <w:iCs/>
          <w:lang w:val="en-US"/>
        </w:rPr>
        <w:t>Information Systems</w:t>
      </w:r>
      <w:r>
        <w:rPr>
          <w:rFonts w:cs="Arial" w:ascii="Arial" w:hAnsi="Arial"/>
          <w:lang w:val="en-US"/>
        </w:rPr>
        <w:t xml:space="preserve">, vol. 67, pp. 114–125. ISSN 0306-4379. DOI 10.1016/j.is.2017.03.009. </w:t>
      </w:r>
    </w:p>
    <w:p>
      <w:pPr>
        <w:pStyle w:val="Bibliography"/>
        <w:rPr>
          <w:rFonts w:ascii="Arial" w:hAnsi="Arial" w:cs="Arial"/>
          <w:lang w:val="en-US"/>
        </w:rPr>
      </w:pPr>
      <w:r>
        <w:rPr>
          <w:rFonts w:cs="Arial" w:ascii="Arial" w:hAnsi="Arial"/>
          <w:lang w:val="en-US"/>
        </w:rPr>
        <w:t xml:space="preserve">DONIS-DÍAZ, C.A., BELLO, R., KACPRZYK, J. y OTHERS, 2014. Linguistic data summarization using an enhanced genetic algorithm. </w:t>
      </w:r>
      <w:r>
        <w:rPr>
          <w:rFonts w:cs="Arial" w:ascii="Arial" w:hAnsi="Arial"/>
          <w:i/>
          <w:iCs/>
          <w:lang w:val="en-US"/>
        </w:rPr>
        <w:t>Czasopismo Techniczne</w:t>
      </w:r>
      <w:r>
        <w:rPr>
          <w:rFonts w:cs="Arial" w:ascii="Arial" w:hAnsi="Arial"/>
          <w:lang w:val="en-US"/>
        </w:rPr>
        <w:t xml:space="preserve">, vol. 2013, no. Automatyka Zeszyt 2 AC (10) 2013, pp. 3–12. DOI 10.4467/2353737XCT.14.019.2602. </w:t>
      </w:r>
    </w:p>
    <w:p>
      <w:pPr>
        <w:pStyle w:val="Bibliography"/>
        <w:rPr>
          <w:rFonts w:ascii="Arial" w:hAnsi="Arial" w:cs="Arial"/>
          <w:lang w:val="en-US"/>
        </w:rPr>
      </w:pPr>
      <w:r>
        <w:rPr>
          <w:rFonts w:cs="Arial" w:ascii="Arial" w:hAnsi="Arial"/>
        </w:rPr>
        <w:t xml:space="preserve">DONIS-DÍAZ, C.A., BELLO, R. y KACPRZYK, Janusz, 2015. </w:t>
      </w:r>
      <w:r>
        <w:rPr>
          <w:rFonts w:cs="Arial" w:ascii="Arial" w:hAnsi="Arial"/>
          <w:lang w:val="en-US"/>
        </w:rPr>
        <w:t xml:space="preserve">Using Ant Colony Optimization and Genetic Algorithms for the Linguistic Summarization of Creep Data. En: P. ANGELOV, K.T. ATANASSOV, L. DOUKOVSKA, M. HADJISKI, V. JOTSOV, J. KACPRZYK, N. KASABOV, S. SOTIROV, E. SZMIDT y S. ZADROŻNY (eds.), </w:t>
      </w:r>
      <w:r>
        <w:rPr>
          <w:rFonts w:cs="Arial" w:ascii="Arial" w:hAnsi="Arial"/>
          <w:i/>
          <w:iCs/>
          <w:lang w:val="en-US"/>
        </w:rPr>
        <w:t>Intelligent Systems’2014</w:t>
      </w:r>
      <w:r>
        <w:rPr>
          <w:rFonts w:cs="Arial" w:ascii="Arial" w:hAnsi="Arial"/>
          <w:lang w:val="en-US"/>
        </w:rPr>
        <w:t xml:space="preserve">. Cham: Springer International Publishing, pp. 81–92. ISBN 978-3-319-11313-5. DOI 10.1007/978-3-319-11313-5_8. </w:t>
      </w:r>
    </w:p>
    <w:p>
      <w:pPr>
        <w:pStyle w:val="Bibliography"/>
        <w:rPr>
          <w:rFonts w:ascii="Arial" w:hAnsi="Arial" w:cs="Arial"/>
          <w:lang w:val="en-US"/>
        </w:rPr>
      </w:pPr>
      <w:r>
        <w:rPr>
          <w:rFonts w:cs="Arial" w:ascii="Arial" w:hAnsi="Arial"/>
          <w:lang w:val="en-US"/>
        </w:rPr>
        <w:t xml:space="preserve">DONIS-DÍAZ, C.A., MURO, A.G., BELLO-PÉREZ, R. y MORALES, E.V., 2014. A hybrid model of genetic algorithm with local search to discover linguistic data summaries from creep data. </w:t>
      </w:r>
      <w:r>
        <w:rPr>
          <w:rFonts w:cs="Arial" w:ascii="Arial" w:hAnsi="Arial"/>
          <w:i/>
          <w:iCs/>
          <w:lang w:val="en-US"/>
        </w:rPr>
        <w:t>Expert Systems with Applications</w:t>
      </w:r>
      <w:r>
        <w:rPr>
          <w:rFonts w:cs="Arial" w:ascii="Arial" w:hAnsi="Arial"/>
          <w:lang w:val="en-US"/>
        </w:rPr>
        <w:t xml:space="preserve">, vol. 41, no. 4, Part 2, pp. 2035–2042. ISSN 0957-4174. DOI 10.1016/j.eswa.2013.09.002. </w:t>
      </w:r>
    </w:p>
    <w:p>
      <w:pPr>
        <w:pStyle w:val="Bibliography"/>
        <w:rPr>
          <w:rFonts w:ascii="Arial" w:hAnsi="Arial" w:cs="Arial"/>
        </w:rPr>
      </w:pPr>
      <w:r>
        <w:rPr>
          <w:rFonts w:cs="Arial" w:ascii="Arial" w:hAnsi="Arial"/>
        </w:rPr>
        <w:t xml:space="preserve">DUA, D. y GRAFF, C., 2021. </w:t>
      </w:r>
      <w:r>
        <w:rPr>
          <w:rFonts w:cs="Arial" w:ascii="Arial" w:hAnsi="Arial"/>
          <w:i/>
          <w:iCs/>
          <w:lang w:val="en-US"/>
        </w:rPr>
        <w:t>UCI Machine Learning Repository</w:t>
      </w:r>
      <w:r>
        <w:rPr>
          <w:rFonts w:cs="Arial" w:ascii="Arial" w:hAnsi="Arial"/>
          <w:lang w:val="en-US"/>
        </w:rPr>
        <w:t xml:space="preserve"> [en línea]. S.l.: University of California, Irvine, School of Information and Computer Sciences. </w:t>
      </w:r>
      <w:r>
        <w:rPr>
          <w:rFonts w:cs="Arial" w:ascii="Arial" w:hAnsi="Arial"/>
        </w:rPr>
        <w:t xml:space="preserve">Disponible en: http://archive.ics.uci.edu/ml. </w:t>
      </w:r>
    </w:p>
    <w:p>
      <w:pPr>
        <w:pStyle w:val="Bibliography"/>
        <w:rPr>
          <w:rFonts w:ascii="Arial" w:hAnsi="Arial" w:cs="Arial"/>
          <w:lang w:val="en-US"/>
        </w:rPr>
      </w:pPr>
      <w:r>
        <w:rPr>
          <w:rFonts w:cs="Arial" w:ascii="Arial" w:hAnsi="Arial"/>
        </w:rPr>
        <w:t xml:space="preserve">DUBOIS, D. y PRADE, H., 1990. </w:t>
      </w:r>
      <w:r>
        <w:rPr>
          <w:rFonts w:cs="Arial" w:ascii="Arial" w:hAnsi="Arial"/>
          <w:lang w:val="en-US"/>
        </w:rPr>
        <w:t xml:space="preserve">Rough fuzzy sets and fuzzy rough sets. </w:t>
      </w:r>
      <w:r>
        <w:rPr>
          <w:rFonts w:cs="Arial" w:ascii="Arial" w:hAnsi="Arial"/>
          <w:i/>
          <w:iCs/>
          <w:lang w:val="en-US"/>
        </w:rPr>
        <w:t>International Journal of General System</w:t>
      </w:r>
      <w:r>
        <w:rPr>
          <w:rFonts w:cs="Arial" w:ascii="Arial" w:hAnsi="Arial"/>
          <w:lang w:val="en-US"/>
        </w:rPr>
        <w:t xml:space="preserve">, vol. 17, no. 2-3, pp. 191–209. DOI 10.1080/03081079008935107. </w:t>
      </w:r>
    </w:p>
    <w:p>
      <w:pPr>
        <w:pStyle w:val="Bibliography"/>
        <w:rPr>
          <w:rFonts w:ascii="Arial" w:hAnsi="Arial" w:cs="Arial"/>
          <w:lang w:val="en-US"/>
        </w:rPr>
      </w:pPr>
      <w:r>
        <w:rPr>
          <w:rFonts w:cs="Arial" w:ascii="Arial" w:hAnsi="Arial"/>
          <w:lang w:val="en-US"/>
        </w:rPr>
        <w:t xml:space="preserve">DUBOIS, D. y PRADE, H., 1992. Gradual inference rules in approximate reasoning. </w:t>
      </w:r>
      <w:r>
        <w:rPr>
          <w:rFonts w:cs="Arial" w:ascii="Arial" w:hAnsi="Arial"/>
          <w:i/>
          <w:iCs/>
          <w:lang w:val="en-US"/>
        </w:rPr>
        <w:t>Information Sciences</w:t>
      </w:r>
      <w:r>
        <w:rPr>
          <w:rFonts w:cs="Arial" w:ascii="Arial" w:hAnsi="Arial"/>
          <w:lang w:val="en-US"/>
        </w:rPr>
        <w:t xml:space="preserve">, vol. 61, no. 1, pp. 103-122. ISSN 0020-0255. DOI 10.1016/0020-0255(92)90035-7. </w:t>
      </w:r>
    </w:p>
    <w:p>
      <w:pPr>
        <w:pStyle w:val="Bibliography"/>
        <w:rPr>
          <w:rFonts w:ascii="Arial" w:hAnsi="Arial" w:cs="Arial"/>
          <w:lang w:val="en-US"/>
        </w:rPr>
      </w:pPr>
      <w:r>
        <w:rPr>
          <w:rFonts w:cs="Arial" w:ascii="Arial" w:hAnsi="Arial"/>
          <w:lang w:val="en-US"/>
        </w:rPr>
        <w:t xml:space="preserve">DUNTEMAN, G.H., 1989. </w:t>
      </w:r>
      <w:r>
        <w:rPr>
          <w:rFonts w:cs="Arial" w:ascii="Arial" w:hAnsi="Arial"/>
          <w:i/>
          <w:iCs/>
          <w:lang w:val="en-US"/>
        </w:rPr>
        <w:t>Principal Components Analysis</w:t>
      </w:r>
      <w:r>
        <w:rPr>
          <w:rFonts w:cs="Arial" w:ascii="Arial" w:hAnsi="Arial"/>
          <w:lang w:val="en-US"/>
        </w:rPr>
        <w:t xml:space="preserve">. S.l.: SAGE, ISBN: 978-0-8039-3104-6. ISBN 978-0-8039-3104-6. </w:t>
      </w:r>
    </w:p>
    <w:p>
      <w:pPr>
        <w:pStyle w:val="Bibliography"/>
        <w:rPr>
          <w:rFonts w:ascii="Arial" w:hAnsi="Arial" w:cs="Arial"/>
          <w:lang w:val="en-US"/>
        </w:rPr>
      </w:pPr>
      <w:r>
        <w:rPr>
          <w:rFonts w:cs="Arial" w:ascii="Arial" w:hAnsi="Arial"/>
          <w:lang w:val="en-US"/>
        </w:rPr>
        <w:t xml:space="preserve">DURAJ, A., SZCZEPANIAK, P.S. y CHOMATEK, L., 2020. Intelligent Detection of Information Outliers Using Linguistic Summaries with Non-monotonic Quantifiers. </w:t>
      </w:r>
      <w:r>
        <w:rPr>
          <w:rFonts w:cs="Arial" w:ascii="Arial" w:hAnsi="Arial"/>
          <w:i/>
          <w:iCs/>
          <w:lang w:val="en-US"/>
        </w:rPr>
        <w:t>International Conference on Information Processing and Management of Uncertainty in Knowledge-Based Systems</w:t>
      </w:r>
      <w:r>
        <w:rPr>
          <w:rFonts w:cs="Arial" w:ascii="Arial" w:hAnsi="Arial"/>
          <w:lang w:val="en-US"/>
        </w:rPr>
        <w:t xml:space="preserve">. S.l.: Springer, pp. 787–799. ISBN 978-3-030-50152-5. DOI 10.1007/978-3-030-50153-2_58. </w:t>
      </w:r>
    </w:p>
    <w:p>
      <w:pPr>
        <w:pStyle w:val="Bibliography"/>
        <w:rPr>
          <w:rFonts w:ascii="Arial" w:hAnsi="Arial" w:cs="Arial"/>
          <w:lang w:val="en-US"/>
        </w:rPr>
      </w:pPr>
      <w:r>
        <w:rPr>
          <w:rFonts w:cs="Arial" w:ascii="Arial" w:hAnsi="Arial"/>
          <w:lang w:val="en-US"/>
        </w:rPr>
        <w:t xml:space="preserve">DURAJ, A., SZCZEPANIAK, P.S. y OCHELSKA-MIERZEJEWSKA, J., 2016. Detection of Outlier Information Using Linguistic Summarization. En: T. ANDREASEN, H. CHRISTIANSEN, J. KACPRZYK, H. LARSEN, G. PASI, O. PIVERT, G. DE TRÉ, M.A. VILA, A. YAZICI y S. ZADROŻNY (eds.), </w:t>
      </w:r>
      <w:r>
        <w:rPr>
          <w:rFonts w:cs="Arial" w:ascii="Arial" w:hAnsi="Arial"/>
          <w:i/>
          <w:iCs/>
          <w:lang w:val="en-US"/>
        </w:rPr>
        <w:t>Flexible Query Answering Systems 2015</w:t>
      </w:r>
      <w:r>
        <w:rPr>
          <w:rFonts w:cs="Arial" w:ascii="Arial" w:hAnsi="Arial"/>
          <w:lang w:val="en-US"/>
        </w:rPr>
        <w:t xml:space="preserve">. Cham: Springer International Publishing, pp. 101–113. ISBN 978-3-319-26154-6. DOI 10.1007/978-3-319-26154-6_8. </w:t>
      </w:r>
    </w:p>
    <w:p>
      <w:pPr>
        <w:pStyle w:val="Bibliography"/>
        <w:rPr>
          <w:rFonts w:ascii="Arial" w:hAnsi="Arial" w:cs="Arial"/>
          <w:lang w:val="en-US"/>
        </w:rPr>
      </w:pPr>
      <w:r>
        <w:rPr>
          <w:rFonts w:cs="Arial" w:ascii="Arial" w:hAnsi="Arial"/>
          <w:lang w:val="en-US"/>
        </w:rPr>
        <w:t xml:space="preserve">ECIOLAZA, L., PEREIRA-FARIÑA, M. y TRIVINO, G., 2013. Automatic linguistic reporting in driving simulation environments. </w:t>
      </w:r>
      <w:r>
        <w:rPr>
          <w:rFonts w:cs="Arial" w:ascii="Arial" w:hAnsi="Arial"/>
          <w:i/>
          <w:iCs/>
          <w:lang w:val="en-US"/>
        </w:rPr>
        <w:t>Applied Soft Computing</w:t>
      </w:r>
      <w:r>
        <w:rPr>
          <w:rFonts w:cs="Arial" w:ascii="Arial" w:hAnsi="Arial"/>
          <w:lang w:val="en-US"/>
        </w:rPr>
        <w:t xml:space="preserve">, vol. 13, no. 9, pp. 3956–3967. DOI 10.1016/j.asoc.2012.09.007. </w:t>
      </w:r>
    </w:p>
    <w:p>
      <w:pPr>
        <w:pStyle w:val="Bibliography"/>
        <w:rPr>
          <w:rFonts w:ascii="Arial" w:hAnsi="Arial" w:cs="Arial"/>
          <w:lang w:val="en-US"/>
        </w:rPr>
      </w:pPr>
      <w:r>
        <w:rPr>
          <w:rFonts w:cs="Arial" w:ascii="Arial" w:hAnsi="Arial"/>
          <w:lang w:val="en-US"/>
        </w:rPr>
        <w:t xml:space="preserve">GARCÍA, J.A.L., PEÑA, A.B., PIÑERO PÉREZ, P.Y. y PÉREZ, R.B., 2017. Project Control and Computational Intelligence: Trends and Challenges. </w:t>
      </w:r>
      <w:r>
        <w:rPr>
          <w:rFonts w:cs="Arial" w:ascii="Arial" w:hAnsi="Arial"/>
          <w:i/>
          <w:iCs/>
          <w:lang w:val="en-US"/>
        </w:rPr>
        <w:t>International Journal of Computational Intelligence Systems</w:t>
      </w:r>
      <w:r>
        <w:rPr>
          <w:rFonts w:cs="Arial" w:ascii="Arial" w:hAnsi="Arial"/>
          <w:lang w:val="en-US"/>
        </w:rPr>
        <w:t xml:space="preserve">, vol. 10, no. 1, pp. 320–335. ISSN 1875-6883. DOI 10.2991/ijcis.2017.10.1.22. </w:t>
      </w:r>
    </w:p>
    <w:p>
      <w:pPr>
        <w:pStyle w:val="Bibliography"/>
        <w:rPr>
          <w:rFonts w:ascii="Arial" w:hAnsi="Arial" w:cs="Arial"/>
          <w:lang w:val="en-US"/>
        </w:rPr>
      </w:pPr>
      <w:r>
        <w:rPr>
          <w:rFonts w:cs="Arial" w:ascii="Arial" w:hAnsi="Arial"/>
          <w:lang w:val="en-US"/>
        </w:rPr>
        <w:t xml:space="preserve">GENÇ, S., AKAY, D., BORAN, F.E. y YAGER, R.R., 2020. Linguistic summarization of fuzzy social and economic networks: an application on the international trade network. </w:t>
      </w:r>
      <w:r>
        <w:rPr>
          <w:rFonts w:cs="Arial" w:ascii="Arial" w:hAnsi="Arial"/>
          <w:i/>
          <w:iCs/>
          <w:lang w:val="en-US"/>
        </w:rPr>
        <w:t>Soft Computing</w:t>
      </w:r>
      <w:r>
        <w:rPr>
          <w:rFonts w:cs="Arial" w:ascii="Arial" w:hAnsi="Arial"/>
          <w:lang w:val="en-US"/>
        </w:rPr>
        <w:t xml:space="preserve">, vol. 24, no. 2, pp. 1511–1527. DOI 10.1007/s00500-019-03982-9. </w:t>
      </w:r>
    </w:p>
    <w:p>
      <w:pPr>
        <w:pStyle w:val="Bibliography"/>
        <w:rPr>
          <w:rFonts w:ascii="Arial" w:hAnsi="Arial" w:cs="Arial"/>
          <w:lang w:val="en-US"/>
        </w:rPr>
      </w:pPr>
      <w:r>
        <w:rPr>
          <w:rFonts w:cs="Arial" w:ascii="Arial" w:hAnsi="Arial"/>
          <w:lang w:val="en-US"/>
        </w:rPr>
        <w:t xml:space="preserve">GEORGE, R., SRIKANT, R., HERRERA, F. y VERDEGAY, J.L., 1996. Data summarization using genetic algorithms and fuzzy logic. </w:t>
      </w:r>
      <w:r>
        <w:rPr>
          <w:rFonts w:cs="Arial" w:ascii="Arial" w:hAnsi="Arial"/>
          <w:i/>
          <w:iCs/>
          <w:lang w:val="en-US"/>
        </w:rPr>
        <w:t>Genetic Algorithms and Soft Computing</w:t>
      </w:r>
      <w:r>
        <w:rPr>
          <w:rFonts w:cs="Arial" w:ascii="Arial" w:hAnsi="Arial"/>
          <w:lang w:val="en-US"/>
        </w:rPr>
        <w:t xml:space="preserve">, pp. 599–611. </w:t>
      </w:r>
    </w:p>
    <w:p>
      <w:pPr>
        <w:pStyle w:val="Bibliography"/>
        <w:rPr>
          <w:rFonts w:ascii="Arial" w:hAnsi="Arial" w:cs="Arial"/>
        </w:rPr>
      </w:pPr>
      <w:r>
        <w:rPr>
          <w:rFonts w:cs="Arial" w:ascii="Arial" w:hAnsi="Arial"/>
          <w:lang w:val="en-US"/>
        </w:rPr>
        <w:t xml:space="preserve">GILSING, R., WILBIK, A., GREFEN, P., TURETKEN, O. y OZKAN, B., 2020. A Formal Basis for Business Model Evaluation with Linguistic Summaries. </w:t>
      </w:r>
      <w:r>
        <w:rPr>
          <w:rFonts w:cs="Arial" w:ascii="Arial" w:hAnsi="Arial"/>
          <w:i/>
          <w:iCs/>
          <w:lang w:val="en-US"/>
        </w:rPr>
        <w:t>Enterprise, Business-Process and Information Systems Modeling</w:t>
      </w:r>
      <w:r>
        <w:rPr>
          <w:rFonts w:cs="Arial" w:ascii="Arial" w:hAnsi="Arial"/>
          <w:lang w:val="en-US"/>
        </w:rPr>
        <w:t xml:space="preserve">. S.l.: Springer, pp. 428–442. </w:t>
      </w:r>
      <w:r>
        <w:rPr>
          <w:rFonts w:cs="Arial" w:ascii="Arial" w:hAnsi="Arial"/>
        </w:rPr>
        <w:t xml:space="preserve">ISBN 978-3-030-49417-9. </w:t>
      </w:r>
    </w:p>
    <w:p>
      <w:pPr>
        <w:pStyle w:val="Bibliography"/>
        <w:rPr>
          <w:rFonts w:ascii="Arial" w:hAnsi="Arial" w:cs="Arial"/>
        </w:rPr>
      </w:pPr>
      <w:r>
        <w:rPr>
          <w:rFonts w:cs="Arial" w:ascii="Arial" w:hAnsi="Arial"/>
        </w:rPr>
        <w:t xml:space="preserve">GRAU, R., CORREA, C. y ROJAS, M., 1999. </w:t>
      </w:r>
      <w:r>
        <w:rPr>
          <w:rFonts w:cs="Arial" w:ascii="Arial" w:hAnsi="Arial"/>
          <w:i/>
          <w:iCs/>
        </w:rPr>
        <w:t>Metodología de la investigación</w:t>
      </w:r>
      <w:r>
        <w:rPr>
          <w:rFonts w:cs="Arial" w:ascii="Arial" w:hAnsi="Arial"/>
        </w:rPr>
        <w:t xml:space="preserve">. Corporación universitaria de Ibague. S.l.: s.n. ISBN 958-8028-10-8. </w:t>
      </w:r>
    </w:p>
    <w:p>
      <w:pPr>
        <w:pStyle w:val="Bibliography"/>
        <w:rPr>
          <w:rFonts w:ascii="Arial" w:hAnsi="Arial" w:cs="Arial"/>
        </w:rPr>
      </w:pPr>
      <w:r>
        <w:rPr>
          <w:rFonts w:cs="Arial" w:ascii="Arial" w:hAnsi="Arial"/>
        </w:rPr>
        <w:t xml:space="preserve">GUOYIN WANG, 2002. </w:t>
      </w:r>
      <w:r>
        <w:rPr>
          <w:rFonts w:cs="Arial" w:ascii="Arial" w:hAnsi="Arial"/>
          <w:lang w:val="en-US"/>
        </w:rPr>
        <w:t xml:space="preserve">Extension of rough set under incomplete information systems. </w:t>
      </w:r>
      <w:r>
        <w:rPr>
          <w:rFonts w:cs="Arial" w:ascii="Arial" w:hAnsi="Arial"/>
          <w:i/>
          <w:iCs/>
          <w:lang w:val="en-US"/>
        </w:rPr>
        <w:t>2002 IEEE World Congress on Computational Intelligence. 2002 IEEE International Conference on Fuzzy Systems. FUZZ-IEEE’02. Proceedings (Cat. No.02CH37291)</w:t>
      </w:r>
      <w:r>
        <w:rPr>
          <w:rFonts w:cs="Arial" w:ascii="Arial" w:hAnsi="Arial"/>
          <w:lang w:val="en-US"/>
        </w:rPr>
        <w:t xml:space="preserve">. S.l.: s.n., pp. 1098-1103 vol.2. </w:t>
      </w:r>
      <w:r>
        <w:rPr>
          <w:rFonts w:cs="Arial" w:ascii="Arial" w:hAnsi="Arial"/>
        </w:rPr>
        <w:t xml:space="preserve">DOI 10.1109/FUZZ.2002.1006657. </w:t>
      </w:r>
    </w:p>
    <w:p>
      <w:pPr>
        <w:pStyle w:val="Bibliography"/>
        <w:rPr>
          <w:rFonts w:ascii="Arial" w:hAnsi="Arial" w:cs="Arial"/>
          <w:lang w:val="en-US"/>
        </w:rPr>
      </w:pPr>
      <w:r>
        <w:rPr>
          <w:rFonts w:cs="Arial" w:ascii="Arial" w:hAnsi="Arial"/>
        </w:rPr>
        <w:t xml:space="preserve">HEBLE-LAHERA, C., CASCALLAR-FUENTES, A., RAMOS-SOTO, A. y DIZ, A.B., 2020. </w:t>
      </w:r>
      <w:r>
        <w:rPr>
          <w:rFonts w:cs="Arial" w:ascii="Arial" w:hAnsi="Arial"/>
          <w:lang w:val="en-US"/>
        </w:rPr>
        <w:t xml:space="preserve">Empirical study of fuzzy quantification models for linguistic descriptions of meteorological data. </w:t>
      </w:r>
      <w:r>
        <w:rPr>
          <w:rFonts w:cs="Arial" w:ascii="Arial" w:hAnsi="Arial"/>
          <w:i/>
          <w:iCs/>
          <w:lang w:val="en-US"/>
        </w:rPr>
        <w:t>2020 IEEE International Conference on Fuzzy Systems (FUZZ-IEEE)</w:t>
      </w:r>
      <w:r>
        <w:rPr>
          <w:rFonts w:cs="Arial" w:ascii="Arial" w:hAnsi="Arial"/>
          <w:lang w:val="en-US"/>
        </w:rPr>
        <w:t xml:space="preserve">. S.l.: IEEE, pp. 1–7. ISBN 978-1-72816-933-0. DOI 10.1109/FUZZ48607.2020.9177716. </w:t>
      </w:r>
    </w:p>
    <w:p>
      <w:pPr>
        <w:pStyle w:val="Bibliography"/>
        <w:rPr>
          <w:rFonts w:ascii="Arial" w:hAnsi="Arial" w:cs="Arial"/>
          <w:lang w:val="en-US"/>
        </w:rPr>
      </w:pPr>
      <w:r>
        <w:rPr>
          <w:rFonts w:cs="Arial" w:ascii="Arial" w:hAnsi="Arial"/>
          <w:lang w:val="en-US"/>
        </w:rPr>
        <w:t xml:space="preserve">HERRERA, F. y MARTÍNEZ, L., 2000. A 2-tuple fuzzy linguistic representation model for computing with words. </w:t>
      </w:r>
      <w:r>
        <w:rPr>
          <w:rFonts w:cs="Arial" w:ascii="Arial" w:hAnsi="Arial"/>
          <w:i/>
          <w:iCs/>
          <w:lang w:val="en-US"/>
        </w:rPr>
        <w:t>IEEE Transactions on fuzzy systems</w:t>
      </w:r>
      <w:r>
        <w:rPr>
          <w:rFonts w:cs="Arial" w:ascii="Arial" w:hAnsi="Arial"/>
          <w:lang w:val="en-US"/>
        </w:rPr>
        <w:t xml:space="preserve">, vol. 8, no. 6, pp. 746–752. ISSN 1063-6706. DOI 10.1109/91.890332. </w:t>
      </w:r>
    </w:p>
    <w:p>
      <w:pPr>
        <w:pStyle w:val="Bibliography"/>
        <w:rPr>
          <w:rFonts w:ascii="Arial" w:hAnsi="Arial" w:cs="Arial"/>
          <w:lang w:val="en-US"/>
        </w:rPr>
      </w:pPr>
      <w:r>
        <w:rPr>
          <w:rFonts w:cs="Arial" w:ascii="Arial" w:hAnsi="Arial"/>
          <w:lang w:val="en-US"/>
        </w:rPr>
        <w:t xml:space="preserve">HUDEC, M., BEDNÁROVÁ, E. y HOLZINGER, A., 2018. Augmenting Statistical Data Dissemination by Short Quantified Sentences of Natural Language. </w:t>
      </w:r>
      <w:r>
        <w:rPr>
          <w:rFonts w:cs="Arial" w:ascii="Arial" w:hAnsi="Arial"/>
          <w:i/>
          <w:iCs/>
          <w:lang w:val="en-US"/>
        </w:rPr>
        <w:t>Journal of Official Statistics</w:t>
      </w:r>
      <w:r>
        <w:rPr>
          <w:rFonts w:cs="Arial" w:ascii="Arial" w:hAnsi="Arial"/>
          <w:lang w:val="en-US"/>
        </w:rPr>
        <w:t xml:space="preserve">, vol. 34, no. 4, pp. 981–1010. DOI 10.2478/jos-2018-0048. </w:t>
      </w:r>
    </w:p>
    <w:p>
      <w:pPr>
        <w:pStyle w:val="Bibliography"/>
        <w:rPr>
          <w:rFonts w:ascii="Arial" w:hAnsi="Arial" w:cs="Arial"/>
          <w:lang w:val="en-US"/>
        </w:rPr>
      </w:pPr>
      <w:r>
        <w:rPr>
          <w:rFonts w:cs="Arial" w:ascii="Arial" w:hAnsi="Arial"/>
          <w:lang w:val="en-US"/>
        </w:rPr>
        <w:t xml:space="preserve">IGDE, E.Y., AYDOĞAN, S., BORAN, F.E. y AKAY, D., 2017. Linguistic Summarization of Structured Patent Data. </w:t>
      </w:r>
      <w:r>
        <w:rPr>
          <w:rFonts w:cs="Arial" w:ascii="Arial" w:hAnsi="Arial"/>
          <w:i/>
          <w:iCs/>
          <w:lang w:val="en-US"/>
        </w:rPr>
        <w:t>International Scholarly and Scientific Research &amp; Innovation</w:t>
      </w:r>
      <w:r>
        <w:rPr>
          <w:rFonts w:cs="Arial" w:ascii="Arial" w:hAnsi="Arial"/>
          <w:lang w:val="en-US"/>
        </w:rPr>
        <w:t xml:space="preserve">. S.l.: s.n., pp. 1062-1065. </w:t>
      </w:r>
    </w:p>
    <w:p>
      <w:pPr>
        <w:pStyle w:val="Bibliography"/>
        <w:rPr>
          <w:rFonts w:ascii="Arial" w:hAnsi="Arial" w:cs="Arial"/>
          <w:lang w:val="en-US"/>
        </w:rPr>
      </w:pPr>
      <w:r>
        <w:rPr>
          <w:rFonts w:cs="Arial" w:ascii="Arial" w:hAnsi="Arial"/>
          <w:lang w:val="en-US"/>
        </w:rPr>
        <w:t xml:space="preserve">JAIN, A., KELLER, J.M. y BEZDEK, J.C., 2016. Quantitative and qualitative comparison of periodic sensor data. </w:t>
      </w:r>
      <w:r>
        <w:rPr>
          <w:rFonts w:cs="Arial" w:ascii="Arial" w:hAnsi="Arial"/>
          <w:i/>
          <w:iCs/>
          <w:lang w:val="en-US"/>
        </w:rPr>
        <w:t>2016 IEEE-embs international conference on biomedical and health informatics (bhi)</w:t>
      </w:r>
      <w:r>
        <w:rPr>
          <w:rFonts w:cs="Arial" w:ascii="Arial" w:hAnsi="Arial"/>
          <w:lang w:val="en-US"/>
        </w:rPr>
        <w:t xml:space="preserve">. S.l.: IEEE, pp. 37–40. ISBN 978-1-5090-2455-1. DOI 10.1109/BHI.2016.7455829. </w:t>
      </w:r>
    </w:p>
    <w:p>
      <w:pPr>
        <w:pStyle w:val="Bibliography"/>
        <w:rPr>
          <w:rFonts w:ascii="Arial" w:hAnsi="Arial" w:cs="Arial"/>
          <w:lang w:val="en-US"/>
        </w:rPr>
      </w:pPr>
      <w:r>
        <w:rPr>
          <w:rFonts w:cs="Arial" w:ascii="Arial" w:hAnsi="Arial"/>
          <w:lang w:val="en-US"/>
        </w:rPr>
        <w:t xml:space="preserve">JAIN, A., POPESCU, M., KELLER, J., RANTZ, M. y MARKWAY, B., 2019. Linguistic summarization of in-home sensor data. </w:t>
      </w:r>
      <w:r>
        <w:rPr>
          <w:rFonts w:cs="Arial" w:ascii="Arial" w:hAnsi="Arial"/>
          <w:i/>
          <w:iCs/>
          <w:lang w:val="en-US"/>
        </w:rPr>
        <w:t>Journal of Biomedical Informatics</w:t>
      </w:r>
      <w:r>
        <w:rPr>
          <w:rFonts w:cs="Arial" w:ascii="Arial" w:hAnsi="Arial"/>
          <w:lang w:val="en-US"/>
        </w:rPr>
        <w:t xml:space="preserve">, vol. 96, pp. 103240. ISSN 1532-0464. DOI 10.1016/j.jbi.2019.103240. </w:t>
      </w:r>
    </w:p>
    <w:p>
      <w:pPr>
        <w:pStyle w:val="Bibliography"/>
        <w:rPr>
          <w:rFonts w:ascii="Arial" w:hAnsi="Arial" w:cs="Arial"/>
          <w:lang w:val="en-US"/>
        </w:rPr>
      </w:pPr>
      <w:r>
        <w:rPr>
          <w:rFonts w:cs="Arial" w:ascii="Arial" w:hAnsi="Arial"/>
          <w:lang w:val="en-US"/>
        </w:rPr>
        <w:t xml:space="preserve">KACPRZYK, Janusz, 1999. An interactive fuzzy logic approach to linguistic data summaries. </w:t>
      </w:r>
      <w:r>
        <w:rPr>
          <w:rFonts w:cs="Arial" w:ascii="Arial" w:hAnsi="Arial"/>
          <w:i/>
          <w:iCs/>
          <w:lang w:val="en-US"/>
        </w:rPr>
        <w:t>18th International Conference of the North American Fuzzy Information Processing Society-NAFIPS (Cat. No. 99TH8397)</w:t>
      </w:r>
      <w:r>
        <w:rPr>
          <w:rFonts w:cs="Arial" w:ascii="Arial" w:hAnsi="Arial"/>
          <w:lang w:val="en-US"/>
        </w:rPr>
        <w:t xml:space="preserve">. S.l.: IEEE, pp. 595–599. ISBN 0-7803-5211-4. DOI 10.1109/NAFIPS.1999.781763. </w:t>
      </w:r>
    </w:p>
    <w:p>
      <w:pPr>
        <w:pStyle w:val="Bibliography"/>
        <w:rPr>
          <w:rFonts w:ascii="Arial" w:hAnsi="Arial" w:cs="Arial"/>
          <w:lang w:val="en-US"/>
        </w:rPr>
      </w:pPr>
      <w:r>
        <w:rPr>
          <w:rFonts w:cs="Arial" w:ascii="Arial" w:hAnsi="Arial"/>
          <w:lang w:val="en-US"/>
        </w:rPr>
        <w:t xml:space="preserve">KACPRZYK, J., 1999. Fuzzy logic for linguistic summarization of databases. </w:t>
      </w:r>
      <w:r>
        <w:rPr>
          <w:rFonts w:cs="Arial" w:ascii="Arial" w:hAnsi="Arial"/>
          <w:i/>
          <w:iCs/>
          <w:lang w:val="en-US"/>
        </w:rPr>
        <w:t>FUZZ-IEEE’99. 1999 IEEE International Fuzzy Systems. Conference Proceedings (Cat. No.99CH36315)</w:t>
      </w:r>
      <w:r>
        <w:rPr>
          <w:rFonts w:cs="Arial" w:ascii="Arial" w:hAnsi="Arial"/>
          <w:lang w:val="en-US"/>
        </w:rPr>
        <w:t xml:space="preserve">. S.l.: s.n., pp. 813–818 vol.2. DOI 10.1109/FUZZY.1999.793053. </w:t>
      </w:r>
    </w:p>
    <w:p>
      <w:pPr>
        <w:pStyle w:val="Bibliography"/>
        <w:rPr>
          <w:rFonts w:ascii="Arial" w:hAnsi="Arial" w:cs="Arial"/>
          <w:lang w:val="en-US"/>
        </w:rPr>
      </w:pPr>
      <w:r>
        <w:rPr>
          <w:rFonts w:cs="Arial" w:ascii="Arial" w:hAnsi="Arial"/>
          <w:lang w:val="en-US"/>
        </w:rPr>
        <w:t xml:space="preserve">KACPRZYK, J. y STRYKOWSKI, P., 1999. Linguistic summaries of sales data at a computer retailer via fuzzy logic and a genetic algorithm. </w:t>
      </w:r>
      <w:r>
        <w:rPr>
          <w:rFonts w:cs="Arial" w:ascii="Arial" w:hAnsi="Arial"/>
          <w:i/>
          <w:iCs/>
          <w:lang w:val="en-US"/>
        </w:rPr>
        <w:t>Proceedings of the 1999 Congress on Evolutionary Computation-CEC99 (Cat. No. 99TH8406)</w:t>
      </w:r>
      <w:r>
        <w:rPr>
          <w:rFonts w:cs="Arial" w:ascii="Arial" w:hAnsi="Arial"/>
          <w:lang w:val="en-US"/>
        </w:rPr>
        <w:t xml:space="preserve">, vol. 2, pp. 937–943. DOI 10.1109/CEC.1999.782523. </w:t>
      </w:r>
    </w:p>
    <w:p>
      <w:pPr>
        <w:pStyle w:val="Bibliography"/>
        <w:rPr>
          <w:rFonts w:ascii="Arial" w:hAnsi="Arial" w:cs="Arial"/>
          <w:lang w:val="en-US"/>
        </w:rPr>
      </w:pPr>
      <w:r>
        <w:rPr>
          <w:rFonts w:cs="Arial" w:ascii="Arial" w:hAnsi="Arial"/>
          <w:lang w:val="en-US"/>
        </w:rPr>
        <w:t xml:space="preserve">KACPRZYK, J. y WILBIK, A., 2010. Linguistic summaries of time series: on some extended aggregation techniques. </w:t>
      </w:r>
      <w:r>
        <w:rPr>
          <w:rFonts w:cs="Arial" w:ascii="Arial" w:hAnsi="Arial"/>
          <w:i/>
          <w:iCs/>
          <w:lang w:val="en-US"/>
        </w:rPr>
        <w:t>Studia i Materiały Polskiego Stowarzyszenia Zarzdzania Wiedza</w:t>
      </w:r>
      <w:r>
        <w:rPr>
          <w:rFonts w:cs="Arial" w:ascii="Arial" w:hAnsi="Arial"/>
          <w:lang w:val="en-US"/>
        </w:rPr>
        <w:t xml:space="preserve">, vol. 2010, no. 31, pp. 326-337. </w:t>
      </w:r>
    </w:p>
    <w:p>
      <w:pPr>
        <w:pStyle w:val="Bibliography"/>
        <w:rPr>
          <w:rFonts w:ascii="Arial" w:hAnsi="Arial" w:cs="Arial"/>
          <w:lang w:val="en-US"/>
        </w:rPr>
      </w:pPr>
      <w:r>
        <w:rPr>
          <w:rFonts w:cs="Arial" w:ascii="Arial" w:hAnsi="Arial"/>
        </w:rPr>
        <w:t xml:space="preserve">KACPRZYK, J. y YAGER, R.R., 2001. </w:t>
      </w:r>
      <w:r>
        <w:rPr>
          <w:rFonts w:cs="Arial" w:ascii="Arial" w:hAnsi="Arial"/>
          <w:lang w:val="en-US"/>
        </w:rPr>
        <w:t xml:space="preserve">Linguistic summaries of data using fuzzy logic. </w:t>
      </w:r>
      <w:r>
        <w:rPr>
          <w:rFonts w:cs="Arial" w:ascii="Arial" w:hAnsi="Arial"/>
          <w:i/>
          <w:iCs/>
          <w:lang w:val="en-US"/>
        </w:rPr>
        <w:t>International Journal of General System</w:t>
      </w:r>
      <w:r>
        <w:rPr>
          <w:rFonts w:cs="Arial" w:ascii="Arial" w:hAnsi="Arial"/>
          <w:lang w:val="en-US"/>
        </w:rPr>
        <w:t xml:space="preserve">, vol. 30, no. 2, pp. 133–154. DOI 10.1080/03081070108960702. </w:t>
      </w:r>
    </w:p>
    <w:p>
      <w:pPr>
        <w:pStyle w:val="Bibliography"/>
        <w:rPr>
          <w:rFonts w:ascii="Arial" w:hAnsi="Arial" w:cs="Arial"/>
          <w:lang w:val="en-US"/>
        </w:rPr>
      </w:pPr>
      <w:r>
        <w:rPr>
          <w:rFonts w:cs="Arial" w:ascii="Arial" w:hAnsi="Arial"/>
          <w:lang w:val="en-US"/>
        </w:rPr>
        <w:t xml:space="preserve">KACPRZYK, J., YAGER, R.R. y MERIGO, J.M., 2019. Towards Human-Centric Aggregation via Ordered Weighted Aggregation Operators and Linguistic Data Summaries: A New Perspective on Zadeh’s Inspirations. </w:t>
      </w:r>
      <w:r>
        <w:rPr>
          <w:rFonts w:cs="Arial" w:ascii="Arial" w:hAnsi="Arial"/>
          <w:i/>
          <w:iCs/>
          <w:lang w:val="en-US"/>
        </w:rPr>
        <w:t>IEEE Computational Intelligence Magazine</w:t>
      </w:r>
      <w:r>
        <w:rPr>
          <w:rFonts w:cs="Arial" w:ascii="Arial" w:hAnsi="Arial"/>
          <w:lang w:val="en-US"/>
        </w:rPr>
        <w:t xml:space="preserve">, vol. 14, no. 1, pp. 16-30. ISSN 1556-603X. DOI 10.1109/MCI.2018.2881641. </w:t>
      </w:r>
    </w:p>
    <w:p>
      <w:pPr>
        <w:pStyle w:val="Bibliography"/>
        <w:rPr>
          <w:rFonts w:ascii="Arial" w:hAnsi="Arial" w:cs="Arial"/>
          <w:lang w:val="en-US"/>
        </w:rPr>
      </w:pPr>
      <w:r>
        <w:rPr>
          <w:rFonts w:cs="Arial" w:ascii="Arial" w:hAnsi="Arial"/>
          <w:lang w:val="en-US"/>
        </w:rPr>
        <w:t xml:space="preserve">KACPRZYK, J., YAGER, R.R. y ZADROŻNY, S., 2000. A Fuzzy Logic Based Approach to Linguistic Summaries of Databases. </w:t>
      </w:r>
      <w:r>
        <w:rPr>
          <w:rFonts w:cs="Arial" w:ascii="Arial" w:hAnsi="Arial"/>
          <w:i/>
          <w:iCs/>
          <w:lang w:val="en-US"/>
        </w:rPr>
        <w:t>International Journal of Applied Mathematics and Computer Science</w:t>
      </w:r>
      <w:r>
        <w:rPr>
          <w:rFonts w:cs="Arial" w:ascii="Arial" w:hAnsi="Arial"/>
          <w:lang w:val="en-US"/>
        </w:rPr>
        <w:t xml:space="preserve">, no. Vol. 10, no 4, pp. 813–834. ISSN 1641-876X. </w:t>
      </w:r>
    </w:p>
    <w:p>
      <w:pPr>
        <w:pStyle w:val="Bibliography"/>
        <w:rPr>
          <w:rFonts w:ascii="Arial" w:hAnsi="Arial" w:cs="Arial"/>
        </w:rPr>
      </w:pPr>
      <w:r>
        <w:rPr>
          <w:rFonts w:cs="Arial" w:ascii="Arial" w:hAnsi="Arial"/>
          <w:lang w:val="en-US"/>
        </w:rPr>
        <w:t xml:space="preserve">KACPRZYK, J. y ZADROŻNY, S., 1995. Fquery for Access: Fuzzy Querying for a Windows-Based DBMS. </w:t>
      </w:r>
      <w:r>
        <w:rPr>
          <w:rFonts w:cs="Arial" w:ascii="Arial" w:hAnsi="Arial"/>
          <w:i/>
          <w:iCs/>
          <w:lang w:val="en-US"/>
        </w:rPr>
        <w:t>Fuzziness in database management systems</w:t>
      </w:r>
      <w:r>
        <w:rPr>
          <w:rFonts w:cs="Arial" w:ascii="Arial" w:hAnsi="Arial"/>
          <w:lang w:val="en-US"/>
        </w:rPr>
        <w:t xml:space="preserve"> [en línea]. S.l.: Springer, pp. 415–433. </w:t>
      </w:r>
      <w:r>
        <w:rPr>
          <w:rFonts w:cs="Arial" w:ascii="Arial" w:hAnsi="Arial"/>
        </w:rPr>
        <w:t xml:space="preserve">Disponible en: https://link.springer.com/chapter/10.1007/978-3-7908-1897-0_18. </w:t>
      </w:r>
    </w:p>
    <w:p>
      <w:pPr>
        <w:pStyle w:val="Bibliography"/>
        <w:rPr>
          <w:rFonts w:ascii="Arial" w:hAnsi="Arial" w:cs="Arial"/>
          <w:lang w:val="en-US"/>
        </w:rPr>
      </w:pPr>
      <w:r>
        <w:rPr>
          <w:rFonts w:cs="Arial" w:ascii="Arial" w:hAnsi="Arial"/>
        </w:rPr>
        <w:t xml:space="preserve">KACPRZYK, J. y ZADROŻNY, S., 2000. </w:t>
      </w:r>
      <w:r>
        <w:rPr>
          <w:rFonts w:cs="Arial" w:ascii="Arial" w:hAnsi="Arial"/>
          <w:lang w:val="en-US"/>
        </w:rPr>
        <w:t xml:space="preserve">On a fuzzy querying and data mining interface. </w:t>
      </w:r>
      <w:r>
        <w:rPr>
          <w:rFonts w:cs="Arial" w:ascii="Arial" w:hAnsi="Arial"/>
          <w:i/>
          <w:iCs/>
          <w:lang w:val="en-US"/>
        </w:rPr>
        <w:t>Kybernetika</w:t>
      </w:r>
      <w:r>
        <w:rPr>
          <w:rFonts w:cs="Arial" w:ascii="Arial" w:hAnsi="Arial"/>
          <w:lang w:val="en-US"/>
        </w:rPr>
        <w:t xml:space="preserve">, vol. 36, no. 6, pp. 657–670. </w:t>
      </w:r>
    </w:p>
    <w:p>
      <w:pPr>
        <w:pStyle w:val="Bibliography"/>
        <w:rPr>
          <w:rFonts w:ascii="Arial" w:hAnsi="Arial" w:cs="Arial"/>
          <w:lang w:val="en-US"/>
        </w:rPr>
      </w:pPr>
      <w:r>
        <w:rPr>
          <w:rFonts w:cs="Arial" w:ascii="Arial" w:hAnsi="Arial"/>
          <w:lang w:val="en-US"/>
        </w:rPr>
        <w:t xml:space="preserve">KACPRZYK, J. y ZADROŻNY, S., 2003. Linguistic summarization of data sets using association rules. </w:t>
      </w:r>
      <w:r>
        <w:rPr>
          <w:rFonts w:cs="Arial" w:ascii="Arial" w:hAnsi="Arial"/>
          <w:i/>
          <w:iCs/>
          <w:lang w:val="en-US"/>
        </w:rPr>
        <w:t>Fuzzy Systems, 2003. FUZZ’03. The 12th IEEE International Conference on</w:t>
      </w:r>
      <w:r>
        <w:rPr>
          <w:rFonts w:cs="Arial" w:ascii="Arial" w:hAnsi="Arial"/>
          <w:lang w:val="en-US"/>
        </w:rPr>
        <w:t xml:space="preserve">. S.l.: IEEE, pp. 702–707. </w:t>
      </w:r>
    </w:p>
    <w:p>
      <w:pPr>
        <w:pStyle w:val="Bibliography"/>
        <w:rPr>
          <w:rFonts w:ascii="Arial" w:hAnsi="Arial" w:cs="Arial"/>
        </w:rPr>
      </w:pPr>
      <w:r>
        <w:rPr>
          <w:rFonts w:cs="Arial" w:ascii="Arial" w:hAnsi="Arial"/>
        </w:rPr>
        <w:t xml:space="preserve">KACPRZYK, J. y ZADROŻNY, S., 2005. </w:t>
      </w:r>
      <w:r>
        <w:rPr>
          <w:rFonts w:cs="Arial" w:ascii="Arial" w:hAnsi="Arial"/>
          <w:lang w:val="en-US"/>
        </w:rPr>
        <w:t xml:space="preserve">Fuzzy linguistic data summaries as a human consistent, user adaptable solution to data mining. En: B. GABRYS, K. LEIVISKÄ y J. STRACKELJAN (eds.), </w:t>
      </w:r>
      <w:r>
        <w:rPr>
          <w:rFonts w:cs="Arial" w:ascii="Arial" w:hAnsi="Arial"/>
          <w:i/>
          <w:iCs/>
          <w:lang w:val="en-US"/>
        </w:rPr>
        <w:t>Do Smart Adaptive Systems Exist? Best Practice for Selection and Combination of Intelligent Methods</w:t>
      </w:r>
      <w:r>
        <w:rPr>
          <w:rFonts w:cs="Arial" w:ascii="Arial" w:hAnsi="Arial"/>
          <w:lang w:val="en-US"/>
        </w:rPr>
        <w:t xml:space="preserve"> [en línea]. Berlin, Heidelberg: Springer, Studies in Fuzziness and Soft Computing, pp. 321–340. </w:t>
      </w:r>
      <w:r>
        <w:rPr>
          <w:rFonts w:cs="Arial" w:ascii="Arial" w:hAnsi="Arial"/>
        </w:rPr>
        <w:t xml:space="preserve">[Consulta: 10 enero 2020]. ISBN 978-3-540-32374-7. Disponible en: https://doi.org/10.1007/3-540-32374-0_16. </w:t>
      </w:r>
    </w:p>
    <w:p>
      <w:pPr>
        <w:pStyle w:val="Bibliography"/>
        <w:rPr>
          <w:rFonts w:ascii="Arial" w:hAnsi="Arial" w:cs="Arial"/>
          <w:lang w:val="en-US"/>
        </w:rPr>
      </w:pPr>
      <w:r>
        <w:rPr>
          <w:rFonts w:cs="Arial" w:ascii="Arial" w:hAnsi="Arial"/>
        </w:rPr>
        <w:t xml:space="preserve">KACPRZYK, Janusz y ZADROŻNY, S., 2005. </w:t>
      </w:r>
      <w:r>
        <w:rPr>
          <w:rFonts w:cs="Arial" w:ascii="Arial" w:hAnsi="Arial"/>
          <w:lang w:val="en-US"/>
        </w:rPr>
        <w:t xml:space="preserve">Linguistic database summaries and their protoforms: towards natural language based knowledge discovery tools. </w:t>
      </w:r>
      <w:r>
        <w:rPr>
          <w:rFonts w:cs="Arial" w:ascii="Arial" w:hAnsi="Arial"/>
          <w:i/>
          <w:iCs/>
          <w:lang w:val="en-US"/>
        </w:rPr>
        <w:t>Information Sciences</w:t>
      </w:r>
      <w:r>
        <w:rPr>
          <w:rFonts w:cs="Arial" w:ascii="Arial" w:hAnsi="Arial"/>
          <w:lang w:val="en-US"/>
        </w:rPr>
        <w:t xml:space="preserve">, vol. 173, no. 4, pp. 281–304. DOI 10.1016/j.ins.2005.03.002. </w:t>
      </w:r>
    </w:p>
    <w:p>
      <w:pPr>
        <w:pStyle w:val="Bibliography"/>
        <w:rPr>
          <w:rFonts w:ascii="Arial" w:hAnsi="Arial" w:cs="Arial"/>
          <w:lang w:val="en-US"/>
        </w:rPr>
      </w:pPr>
      <w:r>
        <w:rPr>
          <w:rFonts w:cs="Arial" w:ascii="Arial" w:hAnsi="Arial"/>
          <w:lang w:val="en-US"/>
        </w:rPr>
        <w:t xml:space="preserve">KACPRZYK, J. y ZADROŻNY, S., 2009. Linguistic database summaries using fuzzy logic, towards a human-consistent data mining tool. , no. 20, pp. 10. </w:t>
      </w:r>
    </w:p>
    <w:p>
      <w:pPr>
        <w:pStyle w:val="Bibliography"/>
        <w:rPr>
          <w:rFonts w:ascii="Arial" w:hAnsi="Arial" w:cs="Arial"/>
        </w:rPr>
      </w:pPr>
      <w:r>
        <w:rPr>
          <w:rFonts w:cs="Arial" w:ascii="Arial" w:hAnsi="Arial"/>
        </w:rPr>
        <w:t xml:space="preserve">KACPRZYK, J. y ZADROŻNY, S., 2010. </w:t>
      </w:r>
      <w:r>
        <w:rPr>
          <w:rFonts w:cs="Arial" w:ascii="Arial" w:hAnsi="Arial"/>
          <w:lang w:val="en-US"/>
        </w:rPr>
        <w:t xml:space="preserve">Linguistic data summarization: a high scalability through the use of natural language? </w:t>
      </w:r>
      <w:r>
        <w:rPr>
          <w:rFonts w:cs="Arial" w:ascii="Arial" w:hAnsi="Arial"/>
          <w:i/>
          <w:iCs/>
          <w:lang w:val="en-US"/>
        </w:rPr>
        <w:t>Scalable Fuzzy Algorithms for Data Management and Analysis: Methods and Design</w:t>
      </w:r>
      <w:r>
        <w:rPr>
          <w:rFonts w:cs="Arial" w:ascii="Arial" w:hAnsi="Arial"/>
          <w:lang w:val="en-US"/>
        </w:rPr>
        <w:t xml:space="preserve">. </w:t>
      </w:r>
      <w:r>
        <w:rPr>
          <w:rFonts w:cs="Arial" w:ascii="Arial" w:hAnsi="Arial"/>
        </w:rPr>
        <w:t xml:space="preserve">S.l.: IGI Global, pp. 214–237. </w:t>
      </w:r>
    </w:p>
    <w:p>
      <w:pPr>
        <w:pStyle w:val="Bibliography"/>
        <w:rPr>
          <w:rFonts w:ascii="Arial" w:hAnsi="Arial" w:cs="Arial"/>
          <w:lang w:val="en-US"/>
        </w:rPr>
      </w:pPr>
      <w:r>
        <w:rPr>
          <w:rFonts w:cs="Arial" w:ascii="Arial" w:hAnsi="Arial"/>
        </w:rPr>
        <w:t xml:space="preserve">KACPRZYK, J. y ZADROŻNY, S., 2016a. </w:t>
      </w:r>
      <w:r>
        <w:rPr>
          <w:rFonts w:cs="Arial" w:ascii="Arial" w:hAnsi="Arial"/>
          <w:lang w:val="en-US"/>
        </w:rPr>
        <w:t xml:space="preserve">Fuzzy logic-based linguistic summaries of time series: a powerful tool for discovering knowledge on time varying processes and systems under imprecision. </w:t>
      </w:r>
      <w:r>
        <w:rPr>
          <w:rFonts w:cs="Arial" w:ascii="Arial" w:hAnsi="Arial"/>
          <w:i/>
          <w:iCs/>
          <w:lang w:val="en-US"/>
        </w:rPr>
        <w:t>Wiley Interdisciplinary Reviews: Data Mining and Knowledge Discovery</w:t>
      </w:r>
      <w:r>
        <w:rPr>
          <w:rFonts w:cs="Arial" w:ascii="Arial" w:hAnsi="Arial"/>
          <w:lang w:val="en-US"/>
        </w:rPr>
        <w:t xml:space="preserve">, vol. 6, no. 1, pp. 37–46. DOI 10.1002/widm.1175. </w:t>
      </w:r>
    </w:p>
    <w:p>
      <w:pPr>
        <w:pStyle w:val="Bibliography"/>
        <w:rPr>
          <w:rFonts w:ascii="Arial" w:hAnsi="Arial" w:cs="Arial"/>
          <w:lang w:val="en-US"/>
        </w:rPr>
      </w:pPr>
      <w:r>
        <w:rPr>
          <w:rFonts w:cs="Arial" w:ascii="Arial" w:hAnsi="Arial"/>
          <w:lang w:val="en-US"/>
        </w:rPr>
        <w:t xml:space="preserve">KACPRZYK, J. y ZADROŻNY, S., 2016b. Linguistic summarization of the contents of Web server logs via the Ordered Weighted Averaging (OWA) operators. </w:t>
      </w:r>
      <w:r>
        <w:rPr>
          <w:rFonts w:cs="Arial" w:ascii="Arial" w:hAnsi="Arial"/>
          <w:i/>
          <w:iCs/>
          <w:lang w:val="en-US"/>
        </w:rPr>
        <w:t>Fuzzy Sets and Systems</w:t>
      </w:r>
      <w:r>
        <w:rPr>
          <w:rFonts w:cs="Arial" w:ascii="Arial" w:hAnsi="Arial"/>
          <w:lang w:val="en-US"/>
        </w:rPr>
        <w:t xml:space="preserve">, vol. 285, pp. 182–198. DOI 10.1016/j.fss.2015.07.020. </w:t>
      </w:r>
    </w:p>
    <w:p>
      <w:pPr>
        <w:pStyle w:val="Bibliography"/>
        <w:rPr>
          <w:rFonts w:ascii="Arial" w:hAnsi="Arial" w:cs="Arial"/>
          <w:lang w:val="en-US"/>
        </w:rPr>
      </w:pPr>
      <w:r>
        <w:rPr>
          <w:rFonts w:cs="Arial" w:ascii="Arial" w:hAnsi="Arial"/>
          <w:lang w:val="en-US"/>
        </w:rPr>
        <w:t xml:space="preserve">KACPRZYK, J. y ZADROŻNY, S., 2016c. On a fairness type approach to consensus reaching support under fuzziness via linguistic summaries. </w:t>
      </w:r>
      <w:r>
        <w:rPr>
          <w:rFonts w:cs="Arial" w:ascii="Arial" w:hAnsi="Arial"/>
          <w:i/>
          <w:iCs/>
          <w:lang w:val="en-US"/>
        </w:rPr>
        <w:t>2016 IEEE International Conference on Fuzzy Systems (FUZZ-IEEE)</w:t>
      </w:r>
      <w:r>
        <w:rPr>
          <w:rFonts w:cs="Arial" w:ascii="Arial" w:hAnsi="Arial"/>
          <w:lang w:val="en-US"/>
        </w:rPr>
        <w:t xml:space="preserve">. S.l.: s.n., pp. 1999–2006. DOI 10.1109/FUZZ-IEEE.2016.7737937. </w:t>
      </w:r>
    </w:p>
    <w:p>
      <w:pPr>
        <w:pStyle w:val="Bibliography"/>
        <w:rPr>
          <w:rFonts w:ascii="Arial" w:hAnsi="Arial" w:cs="Arial"/>
          <w:lang w:val="en-US"/>
        </w:rPr>
      </w:pPr>
      <w:r>
        <w:rPr>
          <w:rFonts w:cs="Arial" w:ascii="Arial" w:hAnsi="Arial"/>
          <w:lang w:val="en-US"/>
        </w:rPr>
        <w:t xml:space="preserve">KACPRZYK, J. y ZADROŻNY, S., 2018. Reaching Consensus in a Group of Agents: Supporting a Moderator Run Process via Linguistic Summaries. </w:t>
      </w:r>
      <w:r>
        <w:rPr>
          <w:rFonts w:cs="Arial" w:ascii="Arial" w:hAnsi="Arial"/>
          <w:i/>
          <w:iCs/>
          <w:lang w:val="en-US"/>
        </w:rPr>
        <w:t>Soft Computing Applications for Group Decision-making and Consensus Modeling</w:t>
      </w:r>
      <w:r>
        <w:rPr>
          <w:rFonts w:cs="Arial" w:ascii="Arial" w:hAnsi="Arial"/>
          <w:lang w:val="en-US"/>
        </w:rPr>
        <w:t xml:space="preserve">. S.l.: Springer, pp. 465–485. </w:t>
      </w:r>
    </w:p>
    <w:p>
      <w:pPr>
        <w:pStyle w:val="Bibliography"/>
        <w:rPr>
          <w:rFonts w:ascii="Arial" w:hAnsi="Arial" w:cs="Arial"/>
        </w:rPr>
      </w:pPr>
      <w:r>
        <w:rPr>
          <w:rFonts w:cs="Arial" w:ascii="Arial" w:hAnsi="Arial"/>
          <w:lang w:val="en-US"/>
        </w:rPr>
        <w:t xml:space="preserve">KACPRZYK, J., ZADROŻNY, S. y DZIEDZIC, M., 2014. A Novel View of Bipolarity in Linguistic Data Summaries. En: L.T. KÓCZY, C.R. POZNA y J. KACPRZYK (eds.), </w:t>
      </w:r>
      <w:r>
        <w:rPr>
          <w:rFonts w:cs="Arial" w:ascii="Arial" w:hAnsi="Arial"/>
          <w:i/>
          <w:iCs/>
          <w:lang w:val="en-US"/>
        </w:rPr>
        <w:t>Issues and Challenges of Intelligent Systems and Computational Intelligence</w:t>
      </w:r>
      <w:r>
        <w:rPr>
          <w:rFonts w:cs="Arial" w:ascii="Arial" w:hAnsi="Arial"/>
          <w:lang w:val="en-US"/>
        </w:rPr>
        <w:t xml:space="preserve"> [en línea]. Cham: Springer International Publishing, Studies in Computational Intelligence, pp. 215–229. [Consulta: 16 diciembre 2019]. </w:t>
      </w:r>
      <w:r>
        <w:rPr>
          <w:rFonts w:cs="Arial" w:ascii="Arial" w:hAnsi="Arial"/>
        </w:rPr>
        <w:t xml:space="preserve">ISBN 978-3-319-03206-1. Disponible en: https://doi.org/10.1007/978-3-319-03206-1_16. </w:t>
      </w:r>
    </w:p>
    <w:p>
      <w:pPr>
        <w:pStyle w:val="Bibliography"/>
        <w:rPr>
          <w:rFonts w:ascii="Arial" w:hAnsi="Arial" w:cs="Arial"/>
        </w:rPr>
      </w:pPr>
      <w:r>
        <w:rPr>
          <w:rFonts w:cs="Arial" w:ascii="Arial" w:hAnsi="Arial"/>
        </w:rPr>
        <w:t xml:space="preserve">KACZMAREK-MAJER, K., HRYNIEWICZ, O., DOMINIAK, M. y ŚWIĘCICKI, Ł., 2019. </w:t>
      </w:r>
      <w:r>
        <w:rPr>
          <w:rFonts w:cs="Arial" w:ascii="Arial" w:hAnsi="Arial"/>
          <w:lang w:val="en-US"/>
        </w:rPr>
        <w:t xml:space="preserve">Personalized linguistic summaries in smartphone-based monitoring of bipolar disorder patients. </w:t>
      </w:r>
      <w:r>
        <w:rPr>
          <w:rFonts w:cs="Arial" w:ascii="Arial" w:hAnsi="Arial"/>
        </w:rPr>
        <w:t xml:space="preserve">[en línea]. S.l.: Atlantis Press, [Consulta: 11 diciembre 2019]. ISBN 978-94-6252-770-6. DOI 10.2991/eusflat-19.2019.56. Disponible en: https://www.atlantis-press.com/proceedings/eusflat-19/125914826. </w:t>
      </w:r>
    </w:p>
    <w:p>
      <w:pPr>
        <w:pStyle w:val="Bibliography"/>
        <w:rPr>
          <w:rFonts w:ascii="Arial" w:hAnsi="Arial" w:cs="Arial"/>
          <w:lang w:val="en-US"/>
        </w:rPr>
      </w:pPr>
      <w:r>
        <w:rPr>
          <w:rFonts w:cs="Arial" w:ascii="Arial" w:hAnsi="Arial"/>
        </w:rPr>
        <w:t xml:space="preserve">KAMALOV, F. y LEUNG, H.H., 2020. </w:t>
      </w:r>
      <w:r>
        <w:rPr>
          <w:rFonts w:cs="Arial" w:ascii="Arial" w:hAnsi="Arial"/>
          <w:lang w:val="en-US"/>
        </w:rPr>
        <w:t xml:space="preserve">Outlier Detection in High Dimensional Data. </w:t>
      </w:r>
      <w:r>
        <w:rPr>
          <w:rFonts w:cs="Arial" w:ascii="Arial" w:hAnsi="Arial"/>
          <w:i/>
          <w:iCs/>
          <w:lang w:val="en-US"/>
        </w:rPr>
        <w:t>Journal of Information &amp; Knowledge Management</w:t>
      </w:r>
      <w:r>
        <w:rPr>
          <w:rFonts w:cs="Arial" w:ascii="Arial" w:hAnsi="Arial"/>
          <w:lang w:val="en-US"/>
        </w:rPr>
        <w:t xml:space="preserve">, vol. 19, no. 01, pp. 2040013. ISSN 0219-6492. DOI 10.1142/S0219649220400134. </w:t>
      </w:r>
    </w:p>
    <w:p>
      <w:pPr>
        <w:pStyle w:val="Bibliography"/>
        <w:rPr>
          <w:rFonts w:ascii="Arial" w:hAnsi="Arial" w:cs="Arial"/>
          <w:lang w:val="en-US"/>
        </w:rPr>
      </w:pPr>
      <w:r>
        <w:rPr>
          <w:rFonts w:cs="Arial" w:ascii="Arial" w:hAnsi="Arial"/>
          <w:lang w:val="en-US"/>
        </w:rPr>
        <w:t xml:space="preserve">KELLEY, G.A. y KELLEY, K.S., 2019. Systematic reviews and meta-analysis in nutrition research. </w:t>
      </w:r>
      <w:r>
        <w:rPr>
          <w:rFonts w:cs="Arial" w:ascii="Arial" w:hAnsi="Arial"/>
          <w:i/>
          <w:iCs/>
          <w:lang w:val="en-US"/>
        </w:rPr>
        <w:t>British Journal of Nutrition</w:t>
      </w:r>
      <w:r>
        <w:rPr>
          <w:rFonts w:cs="Arial" w:ascii="Arial" w:hAnsi="Arial"/>
          <w:lang w:val="en-US"/>
        </w:rPr>
        <w:t xml:space="preserve">, vol. 122, no. 11, pp. 1279-1294. ISSN 0007-1145, 1475-2662. DOI 10.1017/S0007114519002241. </w:t>
      </w:r>
    </w:p>
    <w:p>
      <w:pPr>
        <w:pStyle w:val="Bibliography"/>
        <w:rPr>
          <w:rFonts w:ascii="Arial" w:hAnsi="Arial" w:cs="Arial"/>
          <w:lang w:val="en-US"/>
        </w:rPr>
      </w:pPr>
      <w:r>
        <w:rPr>
          <w:rFonts w:cs="Arial" w:ascii="Arial" w:hAnsi="Arial"/>
        </w:rPr>
        <w:t xml:space="preserve">KHEDIDJA, B., ALLEL, H. y MOHAND, L., 2020. </w:t>
      </w:r>
      <w:r>
        <w:rPr>
          <w:rFonts w:cs="Arial" w:ascii="Arial" w:hAnsi="Arial"/>
          <w:lang w:val="en-US"/>
        </w:rPr>
        <w:t xml:space="preserve">Data Summarization for Sensor Data Management: Towards Computational-Intelligence-Based Approaches. </w:t>
      </w:r>
      <w:r>
        <w:rPr>
          <w:rFonts w:cs="Arial" w:ascii="Arial" w:hAnsi="Arial"/>
          <w:i/>
          <w:iCs/>
          <w:lang w:val="en-US"/>
        </w:rPr>
        <w:t>International Journal of Computing and Digital Systems</w:t>
      </w:r>
      <w:r>
        <w:rPr>
          <w:rFonts w:cs="Arial" w:ascii="Arial" w:hAnsi="Arial"/>
          <w:lang w:val="en-US"/>
        </w:rPr>
        <w:t xml:space="preserve">, vol. 9, no. 5, pp. 825–833. ISSN 2210-142X. DOI 10.12785/ijcds/090505. </w:t>
      </w:r>
    </w:p>
    <w:p>
      <w:pPr>
        <w:pStyle w:val="Bibliography"/>
        <w:rPr>
          <w:rFonts w:ascii="Arial" w:hAnsi="Arial" w:cs="Arial"/>
          <w:lang w:val="en-US"/>
        </w:rPr>
      </w:pPr>
      <w:r>
        <w:rPr>
          <w:rFonts w:cs="Arial" w:ascii="Arial" w:hAnsi="Arial"/>
          <w:lang w:val="en-US"/>
        </w:rPr>
        <w:t xml:space="preserve">KITTREDGE, R.I., 2003. Sublanguages and Controlled Languages. </w:t>
      </w:r>
      <w:r>
        <w:rPr>
          <w:rFonts w:cs="Arial" w:ascii="Arial" w:hAnsi="Arial"/>
          <w:i/>
          <w:iCs/>
          <w:lang w:val="en-US"/>
        </w:rPr>
        <w:t>The Oxford Handbook of Computational Linguistics 2nd edition, 2016, ISBN: 9780199573691</w:t>
      </w:r>
      <w:r>
        <w:rPr>
          <w:rFonts w:cs="Arial" w:ascii="Arial" w:hAnsi="Arial"/>
          <w:lang w:val="en-US"/>
        </w:rPr>
        <w:t xml:space="preserve">, pp. 430-447. DOI 10.1093/oxfordhb/9780199573691.013.015. </w:t>
      </w:r>
    </w:p>
    <w:p>
      <w:pPr>
        <w:pStyle w:val="Bibliography"/>
        <w:rPr>
          <w:rFonts w:ascii="Arial" w:hAnsi="Arial" w:cs="Arial"/>
          <w:lang w:val="en-US"/>
        </w:rPr>
      </w:pPr>
      <w:r>
        <w:rPr>
          <w:rFonts w:cs="Arial" w:ascii="Arial" w:hAnsi="Arial"/>
          <w:lang w:val="en-US"/>
        </w:rPr>
        <w:t xml:space="preserve">KUHN, T., 2014. A Survey and Classification of Controlled Natural Languages. </w:t>
      </w:r>
      <w:r>
        <w:rPr>
          <w:rFonts w:cs="Arial" w:ascii="Arial" w:hAnsi="Arial"/>
          <w:i/>
          <w:iCs/>
          <w:lang w:val="en-US"/>
        </w:rPr>
        <w:t>Computational Linguistics, ISSN: 0891-2017</w:t>
      </w:r>
      <w:r>
        <w:rPr>
          <w:rFonts w:cs="Arial" w:ascii="Arial" w:hAnsi="Arial"/>
          <w:lang w:val="en-US"/>
        </w:rPr>
        <w:t xml:space="preserve">, vol. 40, no. 1, pp. 121–170. ISSN 0891-2017. DOI 10.1162/COLI_a_00168. </w:t>
      </w:r>
    </w:p>
    <w:p>
      <w:pPr>
        <w:pStyle w:val="Bibliography"/>
        <w:rPr>
          <w:rFonts w:ascii="Arial" w:hAnsi="Arial" w:cs="Arial"/>
        </w:rPr>
      </w:pPr>
      <w:r>
        <w:rPr>
          <w:rFonts w:cs="Arial" w:ascii="Arial" w:hAnsi="Arial"/>
          <w:lang w:val="en-US"/>
        </w:rPr>
        <w:t xml:space="preserve">LASISI, A. y ATTOH-OKINE, N., 2018. Principal components analysis and track quality index: A machine learning approach. </w:t>
      </w:r>
      <w:r>
        <w:rPr>
          <w:rFonts w:cs="Arial" w:ascii="Arial" w:hAnsi="Arial"/>
          <w:i/>
          <w:iCs/>
          <w:lang w:val="en-US"/>
        </w:rPr>
        <w:t>Transportation Research Part C: Emerging Technologies</w:t>
      </w:r>
      <w:r>
        <w:rPr>
          <w:rFonts w:cs="Arial" w:ascii="Arial" w:hAnsi="Arial"/>
          <w:lang w:val="en-US"/>
        </w:rPr>
        <w:t xml:space="preserve">, vol. 91, pp. 230-248. ISSN 0968-090X. </w:t>
      </w:r>
      <w:r>
        <w:rPr>
          <w:rFonts w:cs="Arial" w:ascii="Arial" w:hAnsi="Arial"/>
        </w:rPr>
        <w:t xml:space="preserve">DOI 10.1016/j.trc.2018.04.001. </w:t>
      </w:r>
    </w:p>
    <w:p>
      <w:pPr>
        <w:pStyle w:val="Bibliography"/>
        <w:rPr>
          <w:rFonts w:ascii="Arial" w:hAnsi="Arial" w:cs="Arial"/>
        </w:rPr>
      </w:pPr>
      <w:r>
        <w:rPr>
          <w:rFonts w:cs="Arial" w:ascii="Arial" w:hAnsi="Arial"/>
        </w:rPr>
        <w:t xml:space="preserve">LI, Y., ZHA, D., VENUGOPAL, P., ZOU, N. y HU, X., 2020. </w:t>
      </w:r>
      <w:r>
        <w:rPr>
          <w:rFonts w:cs="Arial" w:ascii="Arial" w:hAnsi="Arial"/>
          <w:lang w:val="en-US"/>
        </w:rPr>
        <w:t xml:space="preserve">PyODDS: An End-to-end Outlier Detection System with Automated Machine Learning. </w:t>
      </w:r>
      <w:r>
        <w:rPr>
          <w:rFonts w:cs="Arial" w:ascii="Arial" w:hAnsi="Arial"/>
          <w:i/>
          <w:iCs/>
          <w:lang w:val="en-US"/>
        </w:rPr>
        <w:t>Companion Proceedings of the Web Conference 2020</w:t>
      </w:r>
      <w:r>
        <w:rPr>
          <w:rFonts w:cs="Arial" w:ascii="Arial" w:hAnsi="Arial"/>
          <w:lang w:val="en-US"/>
        </w:rPr>
        <w:t xml:space="preserve"> [en línea]. New York, NY, USA: Association for Computing Machinery, pp. 153–157. </w:t>
      </w:r>
      <w:r>
        <w:rPr>
          <w:rFonts w:cs="Arial" w:ascii="Arial" w:hAnsi="Arial"/>
        </w:rPr>
        <w:t xml:space="preserve">[Consulta: 2 abril 2021]. ISBN 978-1-4503-7024-0. DOI 10.1145/3366424.3383530. Disponible en: https://doi.org/10.1145/3366424.3383530. </w:t>
      </w:r>
    </w:p>
    <w:p>
      <w:pPr>
        <w:pStyle w:val="Bibliography"/>
        <w:rPr>
          <w:rFonts w:ascii="Arial" w:hAnsi="Arial" w:cs="Arial"/>
        </w:rPr>
      </w:pPr>
      <w:r>
        <w:rPr>
          <w:rFonts w:cs="Arial" w:ascii="Arial" w:hAnsi="Arial"/>
        </w:rPr>
        <w:t xml:space="preserve">LÓPEZ, P., 2017. </w:t>
      </w:r>
      <w:r>
        <w:rPr>
          <w:rFonts w:cs="Arial" w:ascii="Arial" w:hAnsi="Arial"/>
          <w:i/>
          <w:iCs/>
        </w:rPr>
        <w:t>Procedimiento para la aplicación de test de personalidad como apoyo a la gestión de recursos humanos en proyectos informáticos</w:t>
      </w:r>
      <w:r>
        <w:rPr>
          <w:rFonts w:cs="Arial" w:ascii="Arial" w:hAnsi="Arial"/>
        </w:rPr>
        <w:t xml:space="preserve">. Máster. La Habana, Cuba: Universidad de las Ciencias Informáticas. </w:t>
      </w:r>
    </w:p>
    <w:p>
      <w:pPr>
        <w:pStyle w:val="Bibliography"/>
        <w:rPr>
          <w:rFonts w:ascii="Arial" w:hAnsi="Arial" w:cs="Arial"/>
        </w:rPr>
      </w:pPr>
      <w:r>
        <w:rPr>
          <w:rFonts w:cs="Arial" w:ascii="Arial" w:hAnsi="Arial"/>
        </w:rPr>
        <w:t xml:space="preserve">MANDEL, I., 2020. </w:t>
      </w:r>
      <w:r>
        <w:rPr>
          <w:rFonts w:cs="Arial" w:ascii="Arial" w:hAnsi="Arial"/>
          <w:lang w:val="en-US"/>
        </w:rPr>
        <w:t xml:space="preserve">Expert system for Statistics STATEX – 30 years after. [en línea]. SSRN Scholarly Paper. Rochester, NY: Social Science Research Network. </w:t>
      </w:r>
      <w:r>
        <w:rPr>
          <w:rFonts w:cs="Arial" w:ascii="Arial" w:hAnsi="Arial"/>
        </w:rPr>
        <w:t xml:space="preserve">[Consulta: 29 marzo 2021]. ID 3664990. Disponible en: https://papers.ssrn.com/abstract=3664990. </w:t>
      </w:r>
    </w:p>
    <w:p>
      <w:pPr>
        <w:pStyle w:val="Bibliography"/>
        <w:rPr>
          <w:rFonts w:ascii="Arial" w:hAnsi="Arial" w:cs="Arial"/>
          <w:lang w:val="en-US"/>
        </w:rPr>
      </w:pPr>
      <w:r>
        <w:rPr>
          <w:rFonts w:cs="Arial" w:ascii="Arial" w:hAnsi="Arial"/>
        </w:rPr>
        <w:t xml:space="preserve">MARÍN, N. y SÁNCHEZ, D., 2016. </w:t>
      </w:r>
      <w:r>
        <w:rPr>
          <w:rFonts w:cs="Arial" w:ascii="Arial" w:hAnsi="Arial"/>
          <w:lang w:val="en-US"/>
        </w:rPr>
        <w:t xml:space="preserve">On generating linguistic descriptions of time series. </w:t>
      </w:r>
      <w:r>
        <w:rPr>
          <w:rFonts w:cs="Arial" w:ascii="Arial" w:hAnsi="Arial"/>
          <w:i/>
          <w:iCs/>
          <w:lang w:val="en-US"/>
        </w:rPr>
        <w:t>Fuzzy Sets and Systems</w:t>
      </w:r>
      <w:r>
        <w:rPr>
          <w:rFonts w:cs="Arial" w:ascii="Arial" w:hAnsi="Arial"/>
          <w:lang w:val="en-US"/>
        </w:rPr>
        <w:t xml:space="preserve">, vol. 285, pp. 6–30. DOI 10.1016/j.fss.2015.04.014. </w:t>
      </w:r>
    </w:p>
    <w:p>
      <w:pPr>
        <w:pStyle w:val="Bibliography"/>
        <w:rPr>
          <w:rFonts w:ascii="Arial" w:hAnsi="Arial" w:cs="Arial"/>
        </w:rPr>
      </w:pPr>
      <w:r>
        <w:rPr>
          <w:rFonts w:cs="Arial" w:ascii="Arial" w:hAnsi="Arial"/>
          <w:lang w:val="en-US"/>
        </w:rPr>
        <w:t xml:space="preserve">MCCORMICK, K. y SALCEDO, J., 2017. </w:t>
      </w:r>
      <w:r>
        <w:rPr>
          <w:rFonts w:cs="Arial" w:ascii="Arial" w:hAnsi="Arial"/>
          <w:i/>
          <w:iCs/>
          <w:lang w:val="en-US"/>
        </w:rPr>
        <w:t>SPSS Statistics for Data Analysis and Visualization</w:t>
      </w:r>
      <w:r>
        <w:rPr>
          <w:rFonts w:cs="Arial" w:ascii="Arial" w:hAnsi="Arial"/>
          <w:lang w:val="en-US"/>
        </w:rPr>
        <w:t xml:space="preserve">. </w:t>
      </w:r>
      <w:r>
        <w:rPr>
          <w:rFonts w:cs="Arial" w:ascii="Arial" w:hAnsi="Arial"/>
        </w:rPr>
        <w:t xml:space="preserve">S.l.: John Wiley &amp; Sons, ISBN: 978-1-119-00355-7. ISBN 978-1-119-00355-7. </w:t>
      </w:r>
    </w:p>
    <w:p>
      <w:pPr>
        <w:pStyle w:val="Bibliography"/>
        <w:rPr>
          <w:rFonts w:ascii="Arial" w:hAnsi="Arial" w:cs="Arial"/>
        </w:rPr>
      </w:pPr>
      <w:r>
        <w:rPr>
          <w:rFonts w:cs="Arial" w:ascii="Arial" w:hAnsi="Arial"/>
        </w:rPr>
        <w:t xml:space="preserve">MEDINA, J.E., HERNÁNDEZ, J., HERNÁNDEZ, R., PÉREZ, A., HECHAVARRÍA., A. y GONZÁLEZ, R., 2007. Generación de conjuntos de ítems y reglas de asociación. [en línea]. Reporte técnico sobre minería de datos. Cenatav: Serie Gris, 2143. Disponible en: www.cenatav.co.cu. </w:t>
      </w:r>
    </w:p>
    <w:p>
      <w:pPr>
        <w:pStyle w:val="Bibliography"/>
        <w:rPr>
          <w:rFonts w:ascii="Arial" w:hAnsi="Arial" w:cs="Arial"/>
          <w:lang w:val="en-US"/>
        </w:rPr>
      </w:pPr>
      <w:r>
        <w:rPr>
          <w:rFonts w:cs="Arial" w:ascii="Arial" w:hAnsi="Arial"/>
        </w:rPr>
        <w:t xml:space="preserve">MENDEL, J.M., ZADEH, L.A., TRILLAS, E., YAGER, R., LAWRY, J., HAGRAS, H. y GUADARRAMA, S., 2010. </w:t>
      </w:r>
      <w:r>
        <w:rPr>
          <w:rFonts w:cs="Arial" w:ascii="Arial" w:hAnsi="Arial"/>
          <w:lang w:val="en-US"/>
        </w:rPr>
        <w:t xml:space="preserve">What Computing with Words Means to Me [Discussion Forum]. En: Conference Name: IEEE Computational Intelligence Magazine, </w:t>
      </w:r>
      <w:r>
        <w:rPr>
          <w:rFonts w:cs="Arial" w:ascii="Arial" w:hAnsi="Arial"/>
          <w:i/>
          <w:iCs/>
          <w:lang w:val="en-US"/>
        </w:rPr>
        <w:t>IEEE Computational Intelligence Magazine</w:t>
      </w:r>
      <w:r>
        <w:rPr>
          <w:rFonts w:cs="Arial" w:ascii="Arial" w:hAnsi="Arial"/>
          <w:lang w:val="en-US"/>
        </w:rPr>
        <w:t xml:space="preserve">, vol. 5, no. 1, pp. 20-26. ISSN 1556-6048. DOI 10.1109/MCI.2009.934561. </w:t>
      </w:r>
    </w:p>
    <w:p>
      <w:pPr>
        <w:pStyle w:val="Bibliography"/>
        <w:rPr>
          <w:rFonts w:ascii="Arial" w:hAnsi="Arial" w:cs="Arial"/>
          <w:lang w:val="en-US"/>
        </w:rPr>
      </w:pPr>
      <w:r>
        <w:rPr>
          <w:rFonts w:cs="Arial" w:ascii="Arial" w:hAnsi="Arial"/>
          <w:lang w:val="en-US"/>
        </w:rPr>
        <w:t xml:space="preserve">MOON, M.D., 2019. Triangulation: A Method to Increase Validity, Reliability, and Legitimation in Clinical Research. </w:t>
      </w:r>
      <w:r>
        <w:rPr>
          <w:rFonts w:cs="Arial" w:ascii="Arial" w:hAnsi="Arial"/>
          <w:i/>
          <w:iCs/>
          <w:lang w:val="en-US"/>
        </w:rPr>
        <w:t>Journal of Emergency Nursing</w:t>
      </w:r>
      <w:r>
        <w:rPr>
          <w:rFonts w:cs="Arial" w:ascii="Arial" w:hAnsi="Arial"/>
          <w:lang w:val="en-US"/>
        </w:rPr>
        <w:t xml:space="preserve">, vol. 45, no. 1, pp. 103-105. ISSN 0099-1767, 1527-2966. DOI 10.1016/j.jen.2018.11.004. </w:t>
      </w:r>
    </w:p>
    <w:p>
      <w:pPr>
        <w:pStyle w:val="Bibliography"/>
        <w:rPr>
          <w:rFonts w:ascii="Arial" w:hAnsi="Arial" w:cs="Arial"/>
          <w:lang w:val="en-US"/>
        </w:rPr>
      </w:pPr>
      <w:r>
        <w:rPr>
          <w:rFonts w:cs="Arial" w:ascii="Arial" w:hAnsi="Arial"/>
          <w:lang w:val="en-US"/>
        </w:rPr>
        <w:t xml:space="preserve">NAIK, G., 2018. </w:t>
      </w:r>
      <w:r>
        <w:rPr>
          <w:rFonts w:cs="Arial" w:ascii="Arial" w:hAnsi="Arial"/>
          <w:i/>
          <w:iCs/>
          <w:lang w:val="en-US"/>
        </w:rPr>
        <w:t>Advances in Principal Component Analysis. Research and Development</w:t>
      </w:r>
      <w:r>
        <w:rPr>
          <w:rFonts w:cs="Arial" w:ascii="Arial" w:hAnsi="Arial"/>
          <w:lang w:val="en-US"/>
        </w:rPr>
        <w:t xml:space="preserve">. Springer. S.l.: s.n. 1. ISBN 978-981-10-6704-4. </w:t>
      </w:r>
    </w:p>
    <w:p>
      <w:pPr>
        <w:pStyle w:val="Bibliography"/>
        <w:rPr>
          <w:rFonts w:ascii="Arial" w:hAnsi="Arial" w:cs="Arial"/>
        </w:rPr>
      </w:pPr>
      <w:r>
        <w:rPr>
          <w:rFonts w:cs="Arial" w:ascii="Arial" w:hAnsi="Arial"/>
          <w:lang w:val="en-US"/>
        </w:rPr>
        <w:t xml:space="preserve">NERURKAR, P., SHIRKE, A., CHANDANE, M. y BHIRUD, S., 2018. Empirical Analysis of Data Clustering Algorithms. </w:t>
      </w:r>
      <w:r>
        <w:rPr>
          <w:rFonts w:cs="Arial" w:ascii="Arial" w:hAnsi="Arial"/>
          <w:i/>
          <w:iCs/>
        </w:rPr>
        <w:t>Procedia Computer Science</w:t>
      </w:r>
      <w:r>
        <w:rPr>
          <w:rFonts w:cs="Arial" w:ascii="Arial" w:hAnsi="Arial"/>
        </w:rPr>
        <w:t xml:space="preserve">, vol. 125, pp. 770-779. ISSN 1877-0509. DOI 10.1016/j.procs.2017.12.099. </w:t>
      </w:r>
    </w:p>
    <w:p>
      <w:pPr>
        <w:pStyle w:val="Bibliography"/>
        <w:rPr>
          <w:rFonts w:ascii="Arial" w:hAnsi="Arial" w:cs="Arial"/>
          <w:lang w:val="en-US"/>
        </w:rPr>
      </w:pPr>
      <w:r>
        <w:rPr>
          <w:rFonts w:cs="Arial" w:ascii="Arial" w:hAnsi="Arial"/>
        </w:rPr>
        <w:t xml:space="preserve">NGUYEN, D., NGUYEN, P., DO, K., RANA, S., GUPTA, S. y TRAN, T., 2020. </w:t>
      </w:r>
      <w:r>
        <w:rPr>
          <w:rFonts w:cs="Arial" w:ascii="Arial" w:hAnsi="Arial"/>
          <w:lang w:val="en-US"/>
        </w:rPr>
        <w:t xml:space="preserve">Unsupervised Anomaly Detection on Temporal Multiway Data. </w:t>
      </w:r>
      <w:r>
        <w:rPr>
          <w:rFonts w:cs="Arial" w:ascii="Arial" w:hAnsi="Arial"/>
          <w:i/>
          <w:iCs/>
          <w:lang w:val="en-US"/>
        </w:rPr>
        <w:t>2020 IEEE Symposium Series on Computational Intelligence (SSCI)</w:t>
      </w:r>
      <w:r>
        <w:rPr>
          <w:rFonts w:cs="Arial" w:ascii="Arial" w:hAnsi="Arial"/>
          <w:lang w:val="en-US"/>
        </w:rPr>
        <w:t xml:space="preserve">. S.l.: s.n., pp. 1059-1066. DOI 10.1109/SSCI47803.2020.9308219. </w:t>
      </w:r>
    </w:p>
    <w:p>
      <w:pPr>
        <w:pStyle w:val="Bibliography"/>
        <w:rPr>
          <w:rFonts w:ascii="Arial" w:hAnsi="Arial" w:cs="Arial"/>
        </w:rPr>
      </w:pPr>
      <w:r>
        <w:rPr>
          <w:rFonts w:cs="Arial" w:ascii="Arial" w:hAnsi="Arial"/>
          <w:lang w:val="en-US"/>
        </w:rPr>
        <w:t xml:space="preserve">NING, J., CHEN, L. y CHEN, J., 2018. Relative Density-Based Outlier Detection Algorithm. </w:t>
      </w:r>
      <w:r>
        <w:rPr>
          <w:rFonts w:cs="Arial" w:ascii="Arial" w:hAnsi="Arial"/>
          <w:i/>
          <w:iCs/>
          <w:lang w:val="en-US"/>
        </w:rPr>
        <w:t>Proceedings of the 2018 2nd International Conference on Computer Science and Artificial Intelligence</w:t>
      </w:r>
      <w:r>
        <w:rPr>
          <w:rFonts w:cs="Arial" w:ascii="Arial" w:hAnsi="Arial"/>
          <w:lang w:val="en-US"/>
        </w:rPr>
        <w:t xml:space="preserve"> [en línea]. New York, NY, USA: Association for Computing Machinery, pp. 227–231. [Consulta: 2 abril 2021]. </w:t>
      </w:r>
      <w:r>
        <w:rPr>
          <w:rFonts w:cs="Arial" w:ascii="Arial" w:hAnsi="Arial"/>
        </w:rPr>
        <w:t xml:space="preserve">ISBN 978-1-4503-6606-9. DOI 10.1145/3297156.3297236. Disponible en: https://doi.org/10.1145/3297156.3297236. </w:t>
      </w:r>
    </w:p>
    <w:p>
      <w:pPr>
        <w:pStyle w:val="Bibliography"/>
        <w:rPr>
          <w:rFonts w:ascii="Arial" w:hAnsi="Arial" w:cs="Arial"/>
          <w:lang w:val="en-US"/>
        </w:rPr>
      </w:pPr>
      <w:r>
        <w:rPr>
          <w:rFonts w:cs="Arial" w:ascii="Arial" w:hAnsi="Arial"/>
        </w:rPr>
        <w:t xml:space="preserve">PASUOATHI, S., SHANMUGANATHAN, V., MADASAMY, K., YESUDHAS, H. y KIM, M., 2021. </w:t>
      </w:r>
      <w:r>
        <w:rPr>
          <w:rFonts w:cs="Arial" w:ascii="Arial" w:hAnsi="Arial"/>
          <w:lang w:val="en-US"/>
        </w:rPr>
        <w:t xml:space="preserve">Trend analysis using agglomerative hierarchical clustering approach for time series big data. </w:t>
      </w:r>
      <w:r>
        <w:rPr>
          <w:rFonts w:cs="Arial" w:ascii="Arial" w:hAnsi="Arial"/>
          <w:i/>
          <w:iCs/>
          <w:lang w:val="en-US"/>
        </w:rPr>
        <w:t>The Journal of Supercomputing</w:t>
      </w:r>
      <w:r>
        <w:rPr>
          <w:rFonts w:cs="Arial" w:ascii="Arial" w:hAnsi="Arial"/>
          <w:lang w:val="en-US"/>
        </w:rPr>
        <w:t xml:space="preserve">, no. 77, pp. 6505-6524. DOI 10.1007/S11227-020-03580-9. </w:t>
      </w:r>
    </w:p>
    <w:p>
      <w:pPr>
        <w:pStyle w:val="Bibliography"/>
        <w:rPr>
          <w:rFonts w:ascii="Arial" w:hAnsi="Arial" w:cs="Arial"/>
          <w:lang w:val="en-US"/>
        </w:rPr>
      </w:pPr>
      <w:r>
        <w:rPr>
          <w:rFonts w:cs="Arial" w:ascii="Arial" w:hAnsi="Arial"/>
          <w:lang w:val="en-US"/>
        </w:rPr>
        <w:t xml:space="preserve">PAWLAK, Z., 1982. Rough sets. </w:t>
      </w:r>
      <w:r>
        <w:rPr>
          <w:rFonts w:cs="Arial" w:ascii="Arial" w:hAnsi="Arial"/>
          <w:i/>
          <w:iCs/>
          <w:lang w:val="en-US"/>
        </w:rPr>
        <w:t>International Journal of Computer &amp; Information Sciences</w:t>
      </w:r>
      <w:r>
        <w:rPr>
          <w:rFonts w:cs="Arial" w:ascii="Arial" w:hAnsi="Arial"/>
          <w:lang w:val="en-US"/>
        </w:rPr>
        <w:t xml:space="preserve">, vol. 11, no. 5, pp. 341-356. ISSN 1573-7640. DOI 10.1007/BF01001956. </w:t>
      </w:r>
    </w:p>
    <w:p>
      <w:pPr>
        <w:pStyle w:val="Bibliography"/>
        <w:rPr>
          <w:rFonts w:ascii="Arial" w:hAnsi="Arial" w:cs="Arial"/>
        </w:rPr>
      </w:pPr>
      <w:r>
        <w:rPr>
          <w:rFonts w:cs="Arial" w:ascii="Arial" w:hAnsi="Arial"/>
          <w:lang w:val="en-US"/>
        </w:rPr>
        <w:t xml:space="preserve">PAWLAK, Z. y SKOWRON, A., 2007. Rough sets: Some extensions. </w:t>
      </w:r>
      <w:r>
        <w:rPr>
          <w:rFonts w:cs="Arial" w:ascii="Arial" w:hAnsi="Arial"/>
          <w:i/>
          <w:iCs/>
          <w:lang w:val="en-US"/>
        </w:rPr>
        <w:t>Information Sciences</w:t>
      </w:r>
      <w:r>
        <w:rPr>
          <w:rFonts w:cs="Arial" w:ascii="Arial" w:hAnsi="Arial"/>
          <w:lang w:val="en-US"/>
        </w:rPr>
        <w:t xml:space="preserve">, vol. 177, no. 1, pp. 28-40. ISSN 0020-0255. </w:t>
      </w:r>
      <w:r>
        <w:rPr>
          <w:rFonts w:cs="Arial" w:ascii="Arial" w:hAnsi="Arial"/>
        </w:rPr>
        <w:t xml:space="preserve">DOI 10.1016/j.ins.2006.06.006. </w:t>
      </w:r>
    </w:p>
    <w:p>
      <w:pPr>
        <w:pStyle w:val="Bibliography"/>
        <w:rPr>
          <w:rFonts w:ascii="Arial" w:hAnsi="Arial" w:cs="Arial"/>
        </w:rPr>
      </w:pPr>
      <w:r>
        <w:rPr>
          <w:rFonts w:cs="Arial" w:ascii="Arial" w:hAnsi="Arial"/>
        </w:rPr>
        <w:t xml:space="preserve">PELÁEZ-AGUILERA, M.D., ESPINILLA, M., FERNÁNDEZ, M.R. y MEDINA, J., 2019. </w:t>
      </w:r>
      <w:r>
        <w:rPr>
          <w:rFonts w:cs="Arial" w:ascii="Arial" w:hAnsi="Arial"/>
          <w:lang w:val="en-US"/>
        </w:rPr>
        <w:t xml:space="preserve">Fuzzy Linguistic Protoforms to Summarize Heart Rate Streams of Patients with Ischemic Heart Disease. </w:t>
      </w:r>
      <w:r>
        <w:rPr>
          <w:rFonts w:cs="Arial" w:ascii="Arial" w:hAnsi="Arial"/>
          <w:i/>
          <w:iCs/>
        </w:rPr>
        <w:t>Hindawi</w:t>
      </w:r>
      <w:r>
        <w:rPr>
          <w:rFonts w:cs="Arial" w:ascii="Arial" w:hAnsi="Arial"/>
        </w:rPr>
        <w:t xml:space="preserve">, vol. 2019, pp. 11. DOI 0.1155/2019/2694126. </w:t>
      </w:r>
    </w:p>
    <w:p>
      <w:pPr>
        <w:pStyle w:val="Bibliography"/>
        <w:rPr>
          <w:rFonts w:ascii="Arial" w:hAnsi="Arial" w:cs="Arial"/>
        </w:rPr>
      </w:pPr>
      <w:r>
        <w:rPr>
          <w:rFonts w:cs="Arial" w:ascii="Arial" w:hAnsi="Arial"/>
        </w:rPr>
        <w:t xml:space="preserve">PÉREZ, I., LÓPEZ, P., VARONA, E., PIÑERO, P. y GARCÍA, R., 2018. Construcción de resúmenes lingüísticos a partir rasgos de la personalidad y el desempeño en el desarrollo de software. </w:t>
      </w:r>
      <w:r>
        <w:rPr>
          <w:rFonts w:cs="Arial" w:ascii="Arial" w:hAnsi="Arial"/>
          <w:i/>
          <w:iCs/>
        </w:rPr>
        <w:t>Revista Cubana de Ciencias Informáticas</w:t>
      </w:r>
      <w:r>
        <w:rPr>
          <w:rFonts w:cs="Arial" w:ascii="Arial" w:hAnsi="Arial"/>
        </w:rPr>
        <w:t xml:space="preserve">, vol. 12, pp. 135–150. ISSN 1994-1536. </w:t>
      </w:r>
    </w:p>
    <w:p>
      <w:pPr>
        <w:pStyle w:val="Bibliography"/>
        <w:rPr>
          <w:rFonts w:ascii="Arial" w:hAnsi="Arial" w:cs="Arial"/>
        </w:rPr>
      </w:pPr>
      <w:r>
        <w:rPr>
          <w:rFonts w:cs="Arial" w:ascii="Arial" w:hAnsi="Arial"/>
        </w:rPr>
        <w:t xml:space="preserve">PÉREZ PUPO, I., 2021. Repositorio de investigaciones en gestión de proyectos. [en línea]. Disponible en: https://gespro.uci.cu/projects/repositorio-de-investigaciones-en-gestion-de-proyectos/dmsf. </w:t>
      </w:r>
    </w:p>
    <w:p>
      <w:pPr>
        <w:pStyle w:val="Bibliography"/>
        <w:rPr>
          <w:rFonts w:ascii="Arial" w:hAnsi="Arial" w:cs="Arial"/>
        </w:rPr>
      </w:pPr>
      <w:r>
        <w:rPr>
          <w:rFonts w:cs="Arial" w:ascii="Arial" w:hAnsi="Arial"/>
        </w:rPr>
        <w:t xml:space="preserve">PÉREZ PUPO, I., GARCÍA VACACELA, R., PIÑERO PÉREZ, P., SADEQ, G. y PEÑA ABREU, M., 2020. Experiencias en el uso de técnicas de softcomputing en la evaluación de proyectos de software. </w:t>
      </w:r>
      <w:r>
        <w:rPr>
          <w:rFonts w:cs="Arial" w:ascii="Arial" w:hAnsi="Arial"/>
          <w:i/>
          <w:iCs/>
        </w:rPr>
        <w:t>Revista Investigación Operacional</w:t>
      </w:r>
      <w:r>
        <w:rPr>
          <w:rFonts w:cs="Arial" w:ascii="Arial" w:hAnsi="Arial"/>
        </w:rPr>
        <w:t xml:space="preserve">, vol. 41, no. 1, pp. 106–117. ISSN 2224-2405. </w:t>
      </w:r>
    </w:p>
    <w:p>
      <w:pPr>
        <w:pStyle w:val="Bibliography"/>
        <w:rPr>
          <w:rFonts w:ascii="Arial" w:hAnsi="Arial" w:cs="Arial"/>
        </w:rPr>
      </w:pPr>
      <w:r>
        <w:rPr>
          <w:rFonts w:cs="Arial" w:ascii="Arial" w:hAnsi="Arial"/>
        </w:rPr>
        <w:t xml:space="preserve">PÉREZ PUPO, I., PIÑERO PÉREZ, P.Y., BELLO PÉREZ, R.E., GARCÍA VACACELA, R.C., PIÑERO RAMÍREZ, P.E. y PIÑERO RAMÍREZ, C.M., 2020. Aplicaciones de la sumarización lingüística de datos en la toma de decisiones en gestión de proyectos. </w:t>
      </w:r>
      <w:r>
        <w:rPr>
          <w:rFonts w:cs="Arial" w:ascii="Arial" w:hAnsi="Arial"/>
          <w:i/>
          <w:iCs/>
        </w:rPr>
        <w:t>V Conferencia Internacional en Ciencias Computacionales e Informáticas (CICCI’ 2020)</w:t>
      </w:r>
      <w:r>
        <w:rPr>
          <w:rFonts w:cs="Arial" w:ascii="Arial" w:hAnsi="Arial"/>
        </w:rPr>
        <w:t xml:space="preserve">. S.l.: Informática CICCI´2020, </w:t>
      </w:r>
    </w:p>
    <w:p>
      <w:pPr>
        <w:pStyle w:val="Bibliography"/>
        <w:rPr>
          <w:rFonts w:ascii="Arial" w:hAnsi="Arial" w:cs="Arial"/>
        </w:rPr>
      </w:pPr>
      <w:r>
        <w:rPr>
          <w:rFonts w:cs="Arial" w:ascii="Arial" w:hAnsi="Arial"/>
        </w:rPr>
        <w:t xml:space="preserve">PÉREZ PUPO, I., PIÑERO PÉREZ, P.Y., BELLO, R., ACUÑA, L.A. y VACACELA, R.G., 2020. </w:t>
      </w:r>
      <w:r>
        <w:rPr>
          <w:rFonts w:cs="Arial" w:ascii="Arial" w:hAnsi="Arial"/>
          <w:lang w:val="en-US"/>
        </w:rPr>
        <w:t xml:space="preserve">Linguistic Summaries Generation with Hybridization Method Based on Rough and Fuzzy Sets. </w:t>
      </w:r>
      <w:r>
        <w:rPr>
          <w:rFonts w:cs="Arial" w:ascii="Arial" w:hAnsi="Arial"/>
          <w:i/>
          <w:iCs/>
          <w:lang w:val="en-US"/>
        </w:rPr>
        <w:t>International Joint Conference on Rough Sets. Lecture Notes in Computer Science ISSN 0302-9743, Springer, 12179 LNAI, ISBN 978-3-030-52704-4</w:t>
      </w:r>
      <w:r>
        <w:rPr>
          <w:rFonts w:cs="Arial" w:ascii="Arial" w:hAnsi="Arial"/>
          <w:lang w:val="en-US"/>
        </w:rPr>
        <w:t xml:space="preserve">. S.l.: Lecture Notes in Computer Science, Springer, pp. 385–397. ISBN 978-3-030-52704-4. </w:t>
      </w:r>
      <w:r>
        <w:rPr>
          <w:rFonts w:cs="Arial" w:ascii="Arial" w:hAnsi="Arial"/>
        </w:rPr>
        <w:t xml:space="preserve">DOI 10.1007/978-3-030-52705-1_29. </w:t>
      </w:r>
    </w:p>
    <w:p>
      <w:pPr>
        <w:pStyle w:val="Bibliography"/>
        <w:rPr>
          <w:rFonts w:ascii="Arial" w:hAnsi="Arial" w:cs="Arial"/>
          <w:lang w:val="en-US"/>
        </w:rPr>
      </w:pPr>
      <w:r>
        <w:rPr>
          <w:rFonts w:cs="Arial" w:ascii="Arial" w:hAnsi="Arial"/>
        </w:rPr>
        <w:t xml:space="preserve">PÉREZ PUPO, I., PIÑERO PÉREZ, P.Y., GARCÍA VACACELA, R., BELLO, R., SANTOS ACOSTA, O. y LEYVA VÁZQUEZ, M.Y., 2018. </w:t>
      </w:r>
      <w:r>
        <w:rPr>
          <w:rFonts w:cs="Arial" w:ascii="Arial" w:hAnsi="Arial"/>
          <w:lang w:val="en-US"/>
        </w:rPr>
        <w:t xml:space="preserve">Extensions to Linguistic Summaries Indicators based on Neutrosophic Theory: Applications in Project Management Decisions. </w:t>
      </w:r>
      <w:r>
        <w:rPr>
          <w:rFonts w:cs="Arial" w:ascii="Arial" w:hAnsi="Arial"/>
          <w:i/>
          <w:iCs/>
          <w:lang w:val="en-US"/>
        </w:rPr>
        <w:t>Neutrosophic Sets and Systems, University of New Mexico</w:t>
      </w:r>
      <w:r>
        <w:rPr>
          <w:rFonts w:cs="Arial" w:ascii="Arial" w:hAnsi="Arial"/>
          <w:lang w:val="en-US"/>
        </w:rPr>
        <w:t xml:space="preserve">, vol. 22, pp. 87-100. </w:t>
      </w:r>
    </w:p>
    <w:p>
      <w:pPr>
        <w:pStyle w:val="Bibliography"/>
        <w:rPr>
          <w:rFonts w:ascii="Arial" w:hAnsi="Arial" w:cs="Arial"/>
        </w:rPr>
      </w:pPr>
      <w:r>
        <w:rPr>
          <w:rFonts w:cs="Arial" w:ascii="Arial" w:hAnsi="Arial"/>
        </w:rPr>
        <w:t xml:space="preserve">PÉREZ PUPO, I., PIÑERO PÉREZ, P.Y., MARTÍN, N. y BELLO PÉREZ, R.E., 2021. Tendencias en la sumarización lingüística de datos. </w:t>
      </w:r>
      <w:r>
        <w:rPr>
          <w:rFonts w:cs="Arial" w:ascii="Arial" w:hAnsi="Arial"/>
          <w:i/>
          <w:iCs/>
        </w:rPr>
        <w:t>Revista cubana de transformación digital</w:t>
      </w:r>
      <w:r>
        <w:rPr>
          <w:rFonts w:cs="Arial" w:ascii="Arial" w:hAnsi="Arial"/>
        </w:rPr>
        <w:t xml:space="preserve">, vol. 2, no. 1, pp. 79-101. ISSN 2708-3411. </w:t>
      </w:r>
    </w:p>
    <w:p>
      <w:pPr>
        <w:pStyle w:val="Bibliography"/>
        <w:rPr>
          <w:rFonts w:ascii="Arial" w:hAnsi="Arial" w:cs="Arial"/>
        </w:rPr>
      </w:pPr>
      <w:r>
        <w:rPr>
          <w:rFonts w:cs="Arial" w:ascii="Arial" w:hAnsi="Arial"/>
        </w:rPr>
        <w:t xml:space="preserve">PÉREZ PUPO, I., PIÑERO PÉREZ, P.Y., VACACELA, R.G., BELLO, R. y ACUÑA, L.A., 2020. </w:t>
      </w:r>
      <w:r>
        <w:rPr>
          <w:rFonts w:cs="Arial" w:ascii="Arial" w:hAnsi="Arial"/>
          <w:lang w:val="en-US"/>
        </w:rPr>
        <w:t xml:space="preserve">Discovering Fails in Software Projects Planning Based on Linguistic Summaries. </w:t>
      </w:r>
      <w:r>
        <w:rPr>
          <w:rFonts w:cs="Arial" w:ascii="Arial" w:hAnsi="Arial"/>
          <w:i/>
          <w:iCs/>
          <w:lang w:val="en-US"/>
        </w:rPr>
        <w:t>International Joint Conference on Rough Sets. Lecture Notes in Computer Science ISSN 0302-9743, Springer, 12179 LNAI, ISBN 978-3-030-52704-4</w:t>
      </w:r>
      <w:r>
        <w:rPr>
          <w:rFonts w:cs="Arial" w:ascii="Arial" w:hAnsi="Arial"/>
          <w:lang w:val="en-US"/>
        </w:rPr>
        <w:t xml:space="preserve"> [en línea]. S.l.: Lecture Notes in Computer Science, Springer, pp. 365–375. DOI 10.1007/978-3-030-52705-1_27. </w:t>
      </w:r>
      <w:r>
        <w:rPr>
          <w:rFonts w:cs="Arial" w:ascii="Arial" w:hAnsi="Arial"/>
        </w:rPr>
        <w:t xml:space="preserve">Disponible en: https://link.springer.com/content/pdf/10.1007%2F978-3-030-52705-1_27.pdf. </w:t>
      </w:r>
    </w:p>
    <w:p>
      <w:pPr>
        <w:pStyle w:val="Bibliography"/>
        <w:rPr>
          <w:rFonts w:ascii="Arial" w:hAnsi="Arial" w:cs="Arial"/>
          <w:lang w:val="en-US"/>
        </w:rPr>
      </w:pPr>
      <w:r>
        <w:rPr>
          <w:rFonts w:cs="Arial" w:ascii="Arial" w:hAnsi="Arial"/>
        </w:rPr>
        <w:t xml:space="preserve">PÉREZ PUPO, I., SANTOS ACOSTA, O., BELLO PÉREZ, R.E. y PIÑERO PÉREZ, P., 2019. </w:t>
      </w:r>
      <w:r>
        <w:rPr>
          <w:rFonts w:cs="Arial" w:ascii="Arial" w:hAnsi="Arial"/>
          <w:lang w:val="en-US"/>
        </w:rPr>
        <w:t xml:space="preserve">Algorithms for linguistic data summarization, help in decision-making in project-oriented organizations. </w:t>
      </w:r>
      <w:r>
        <w:rPr>
          <w:rFonts w:cs="Arial" w:ascii="Arial" w:hAnsi="Arial"/>
          <w:i/>
          <w:iCs/>
          <w:lang w:val="en-US"/>
        </w:rPr>
        <w:t>XXII Ibero-American Conference on Software Engineering, CIbSE 2019</w:t>
      </w:r>
      <w:r>
        <w:rPr>
          <w:rFonts w:cs="Arial" w:ascii="Arial" w:hAnsi="Arial"/>
          <w:lang w:val="en-US"/>
        </w:rPr>
        <w:t xml:space="preserve">. S.l.: Springer, pp. 633–640. </w:t>
      </w:r>
    </w:p>
    <w:p>
      <w:pPr>
        <w:pStyle w:val="Bibliography"/>
        <w:rPr>
          <w:rFonts w:ascii="Arial" w:hAnsi="Arial" w:cs="Arial"/>
        </w:rPr>
      </w:pPr>
      <w:r>
        <w:rPr>
          <w:rFonts w:cs="Arial" w:ascii="Arial" w:hAnsi="Arial"/>
        </w:rPr>
        <w:t xml:space="preserve">PÉREZ PUPO, I., SANTOS, O., GARCÍA, R., PIÑERO PÉREZ, P.Y. y RAMÍREZ, E.C., 2018. Descubrimiento de resúmenes lingüísticos para ayuda a la toma decisiones en gestión de proyecto. </w:t>
      </w:r>
      <w:r>
        <w:rPr>
          <w:rFonts w:cs="Arial" w:ascii="Arial" w:hAnsi="Arial"/>
          <w:i/>
          <w:iCs/>
        </w:rPr>
        <w:t>Revista Cubana de Ciencias Informáticas</w:t>
      </w:r>
      <w:r>
        <w:rPr>
          <w:rFonts w:cs="Arial" w:ascii="Arial" w:hAnsi="Arial"/>
        </w:rPr>
        <w:t xml:space="preserve">, vol. 12, pp. 163–175. ISSN 1994-1536. </w:t>
      </w:r>
    </w:p>
    <w:p>
      <w:pPr>
        <w:pStyle w:val="Bibliography"/>
        <w:rPr>
          <w:rFonts w:ascii="Arial" w:hAnsi="Arial" w:cs="Arial"/>
        </w:rPr>
      </w:pPr>
      <w:r>
        <w:rPr>
          <w:rFonts w:cs="Arial" w:ascii="Arial" w:hAnsi="Arial"/>
        </w:rPr>
        <w:t xml:space="preserve">PÉREZ PUPO, I., VILLAVICENCIO, N., PIÑERO PÉREZ, P., GARCÍA VACACELA, R. y GARCÍA SANCHEZ, R., 2020. Proerp, ecosistema de software para la toma de decisiones en gestión de proyectos. </w:t>
      </w:r>
      <w:r>
        <w:rPr>
          <w:rFonts w:cs="Arial" w:ascii="Arial" w:hAnsi="Arial"/>
          <w:i/>
          <w:iCs/>
        </w:rPr>
        <w:t>Experiencias Iberoamericanas de Ingeneria de Proyectos</w:t>
      </w:r>
      <w:r>
        <w:rPr>
          <w:rFonts w:cs="Arial" w:ascii="Arial" w:hAnsi="Arial"/>
        </w:rPr>
        <w:t xml:space="preserve">. Guayaquil, Ecuador: Universidad Católica de Santiago de Guayaquil, pp. 832-845. ISBN 978-9942-82-511-7. </w:t>
      </w:r>
    </w:p>
    <w:p>
      <w:pPr>
        <w:pStyle w:val="Bibliography"/>
        <w:rPr>
          <w:rFonts w:ascii="Arial" w:hAnsi="Arial" w:cs="Arial"/>
        </w:rPr>
      </w:pPr>
      <w:r>
        <w:rPr>
          <w:rFonts w:cs="Arial" w:ascii="Arial" w:hAnsi="Arial"/>
        </w:rPr>
        <w:t xml:space="preserve">PIÑERO, P., PÉREZ PUPO, I., GARCÍA VACACELA, R. y TOSCANINI, P., 2020. </w:t>
      </w:r>
      <w:r>
        <w:rPr>
          <w:rFonts w:cs="Arial" w:ascii="Arial" w:hAnsi="Arial"/>
          <w:i/>
          <w:iCs/>
        </w:rPr>
        <w:t>Caracterización de los estándares de gestión de proyectos y su impacto en la gestión económico financiera de las organizaciones orientadas a proyectos.</w:t>
      </w:r>
      <w:r>
        <w:rPr>
          <w:rFonts w:cs="Arial" w:ascii="Arial" w:hAnsi="Arial"/>
        </w:rPr>
        <w:t xml:space="preserve"> Guayaquil, Ecuador: Universidad Católica de Santiago de Guayaquil, ISBN: 978-9942-82-514-8. ISBN 978-9942-82-514-8. </w:t>
      </w:r>
    </w:p>
    <w:p>
      <w:pPr>
        <w:pStyle w:val="Bibliography"/>
        <w:rPr>
          <w:rFonts w:ascii="Arial" w:hAnsi="Arial" w:cs="Arial"/>
        </w:rPr>
      </w:pPr>
      <w:r>
        <w:rPr>
          <w:rFonts w:cs="Arial" w:ascii="Arial" w:hAnsi="Arial"/>
        </w:rPr>
        <w:t xml:space="preserve">PIÑERO, P., PUPO, I., RIVERO HECHAVARRÍA, C.C., ROJAS, C., SOSA, R. y TORRES, S., 2019. Repositorio de datos para investigaciones en gestión de proyectos. </w:t>
      </w:r>
      <w:r>
        <w:rPr>
          <w:rFonts w:cs="Arial" w:ascii="Arial" w:hAnsi="Arial"/>
          <w:i/>
          <w:iCs/>
        </w:rPr>
        <w:t>Revista Cubana de Ciencias Informáticas</w:t>
      </w:r>
      <w:r>
        <w:rPr>
          <w:rFonts w:cs="Arial" w:ascii="Arial" w:hAnsi="Arial"/>
        </w:rPr>
        <w:t xml:space="preserve">, vol. 13, no. 1, pp. 176–191. ISSN 2227-1899. </w:t>
      </w:r>
    </w:p>
    <w:p>
      <w:pPr>
        <w:pStyle w:val="Bibliography"/>
        <w:rPr>
          <w:rFonts w:ascii="Arial" w:hAnsi="Arial" w:cs="Arial"/>
        </w:rPr>
      </w:pPr>
      <w:r>
        <w:rPr>
          <w:rFonts w:cs="Arial" w:ascii="Arial" w:hAnsi="Arial"/>
        </w:rPr>
        <w:t xml:space="preserve">PIÑERO PÉREZ, P., PÉREZ PUPO, I. y PIÑERO CRUZ, P., 2019. Suite BusinessRedmine Sistema para la toma de decisiones empresariales y la gestión de proyectos 19.05. 4076-12-2019. Centro Nacional de Derecho de Autor de Cuba (CENDA). 4076-12-2019. </w:t>
      </w:r>
    </w:p>
    <w:p>
      <w:pPr>
        <w:pStyle w:val="Bibliography"/>
        <w:rPr>
          <w:rFonts w:ascii="Arial" w:hAnsi="Arial" w:cs="Arial"/>
        </w:rPr>
      </w:pPr>
      <w:r>
        <w:rPr>
          <w:rFonts w:cs="Arial" w:ascii="Arial" w:hAnsi="Arial"/>
        </w:rPr>
        <w:t xml:space="preserve">PIÑERO PÉREZ, P.Y. y PÉREZ PUPO, I., 2021. Curso Inteligencia Artificial para la toma de decisiones. Maestría en Gestión de Proyectos, Universidad de las Ciencias informáticas, Cuba. </w:t>
      </w:r>
      <w:r>
        <w:rPr>
          <w:rFonts w:cs="Arial" w:ascii="Arial" w:hAnsi="Arial"/>
          <w:i/>
          <w:iCs/>
        </w:rPr>
        <w:t>MGPI</w:t>
      </w:r>
      <w:r>
        <w:rPr>
          <w:rFonts w:cs="Arial" w:ascii="Arial" w:hAnsi="Arial"/>
        </w:rPr>
        <w:t xml:space="preserve"> [en línea]. Disponible en: https://gespro.uci.cu/. </w:t>
      </w:r>
    </w:p>
    <w:p>
      <w:pPr>
        <w:pStyle w:val="Bibliography"/>
        <w:rPr>
          <w:rFonts w:ascii="Arial" w:hAnsi="Arial" w:cs="Arial"/>
          <w:lang w:val="en-US"/>
        </w:rPr>
      </w:pPr>
      <w:r>
        <w:rPr>
          <w:rFonts w:cs="Arial" w:ascii="Arial" w:hAnsi="Arial"/>
        </w:rPr>
        <w:t xml:space="preserve">POKHREL, R., POKHAREL, P. y KUMAR TIMALSINA, A., 2019. </w:t>
      </w:r>
      <w:r>
        <w:rPr>
          <w:rFonts w:cs="Arial" w:ascii="Arial" w:hAnsi="Arial"/>
          <w:lang w:val="en-US"/>
        </w:rPr>
        <w:t xml:space="preserve">Anomaly-Based – Intrusion Detection System using User Profile Generated from System Logs. </w:t>
      </w:r>
      <w:r>
        <w:rPr>
          <w:rFonts w:cs="Arial" w:ascii="Arial" w:hAnsi="Arial"/>
          <w:i/>
          <w:iCs/>
          <w:lang w:val="en-US"/>
        </w:rPr>
        <w:t>International Journal of Scientific and Research Publications (IJSRP)</w:t>
      </w:r>
      <w:r>
        <w:rPr>
          <w:rFonts w:cs="Arial" w:ascii="Arial" w:hAnsi="Arial"/>
          <w:lang w:val="en-US"/>
        </w:rPr>
        <w:t xml:space="preserve">, vol. 9, no. 2, pp. p8631. ISSN 2250-3153. DOI 10.29322/IJSRP.9.02.2019.p8631. </w:t>
      </w:r>
    </w:p>
    <w:p>
      <w:pPr>
        <w:pStyle w:val="Bibliography"/>
        <w:rPr>
          <w:rFonts w:ascii="Arial" w:hAnsi="Arial" w:cs="Arial"/>
        </w:rPr>
      </w:pPr>
      <w:r>
        <w:rPr>
          <w:rFonts w:cs="Arial" w:ascii="Arial" w:hAnsi="Arial"/>
          <w:lang w:val="en-US"/>
        </w:rPr>
        <w:t xml:space="preserve">PROF. DR. FLORENTIN SMARANDACHE, 2021. </w:t>
      </w:r>
      <w:r>
        <w:rPr>
          <w:rFonts w:cs="Arial" w:ascii="Arial" w:hAnsi="Arial"/>
          <w:i/>
          <w:iCs/>
          <w:lang w:val="en-US"/>
        </w:rPr>
        <w:t>Definition of indeterminacy</w:t>
      </w:r>
      <w:r>
        <w:rPr>
          <w:rFonts w:cs="Arial" w:ascii="Arial" w:hAnsi="Arial"/>
          <w:lang w:val="en-US"/>
        </w:rPr>
        <w:t xml:space="preserve"> [en línea]. mail. </w:t>
      </w:r>
      <w:r>
        <w:rPr>
          <w:rFonts w:cs="Arial" w:ascii="Arial" w:hAnsi="Arial"/>
        </w:rPr>
        <w:t xml:space="preserve">5 junio 2021. S.l.: s.n. Disponible en: http://fs.unm.edu/FlorentinSmarandache.htm. </w:t>
      </w:r>
    </w:p>
    <w:p>
      <w:pPr>
        <w:pStyle w:val="Bibliography"/>
        <w:rPr>
          <w:rFonts w:ascii="Arial" w:hAnsi="Arial" w:cs="Arial"/>
          <w:lang w:val="en-US"/>
        </w:rPr>
      </w:pPr>
      <w:r>
        <w:rPr>
          <w:rFonts w:cs="Arial" w:ascii="Arial" w:hAnsi="Arial"/>
        </w:rPr>
        <w:t xml:space="preserve">RAMOS-SOTO, A. y MARTIN-RODILLAB, P., 2019. </w:t>
      </w:r>
      <w:r>
        <w:rPr>
          <w:rFonts w:cs="Arial" w:ascii="Arial" w:hAnsi="Arial"/>
          <w:lang w:val="en-US"/>
        </w:rPr>
        <w:t xml:space="preserve">Enriching linguistic descriptions of data: A framework for composite protoforms. </w:t>
      </w:r>
      <w:r>
        <w:rPr>
          <w:rFonts w:cs="Arial" w:ascii="Arial" w:hAnsi="Arial"/>
          <w:i/>
          <w:iCs/>
          <w:lang w:val="en-US"/>
        </w:rPr>
        <w:t>Fuzzy Sets and Systems</w:t>
      </w:r>
      <w:r>
        <w:rPr>
          <w:rFonts w:cs="Arial" w:ascii="Arial" w:hAnsi="Arial"/>
          <w:lang w:val="en-US"/>
        </w:rPr>
        <w:t xml:space="preserve">, pp. 26. DOI 10.1016/j.fss.2019.11.013. </w:t>
      </w:r>
    </w:p>
    <w:p>
      <w:pPr>
        <w:pStyle w:val="Bibliography"/>
        <w:rPr>
          <w:rFonts w:ascii="Arial" w:hAnsi="Arial" w:cs="Arial"/>
          <w:lang w:val="en-US"/>
        </w:rPr>
      </w:pPr>
      <w:r>
        <w:rPr>
          <w:rFonts w:cs="Arial" w:ascii="Arial" w:hAnsi="Arial"/>
          <w:lang w:val="en-US"/>
        </w:rPr>
        <w:t xml:space="preserve">RANGA SURI, N.N.R., MURTY M, N. y ATHITHAN, G., 2019. </w:t>
      </w:r>
      <w:r>
        <w:rPr>
          <w:rFonts w:cs="Arial" w:ascii="Arial" w:hAnsi="Arial"/>
          <w:i/>
          <w:iCs/>
          <w:lang w:val="en-US"/>
        </w:rPr>
        <w:t>Outlier Detection: Techniques and Applications. A Data Mining Perspective</w:t>
      </w:r>
      <w:r>
        <w:rPr>
          <w:rFonts w:cs="Arial" w:ascii="Arial" w:hAnsi="Arial"/>
          <w:lang w:val="en-US"/>
        </w:rPr>
        <w:t xml:space="preserve">. S.l.: s.n. ISRL. ISBN 978-3-030-05127-3. </w:t>
      </w:r>
    </w:p>
    <w:p>
      <w:pPr>
        <w:pStyle w:val="Bibliography"/>
        <w:rPr>
          <w:rFonts w:ascii="Arial" w:hAnsi="Arial" w:cs="Arial"/>
          <w:lang w:val="en-US"/>
        </w:rPr>
      </w:pPr>
      <w:r>
        <w:rPr>
          <w:rFonts w:cs="Arial" w:ascii="Arial" w:hAnsi="Arial"/>
        </w:rPr>
        <w:t xml:space="preserve">RASMUSSEN, D. y YAGER, R.R., 1999. </w:t>
      </w:r>
      <w:r>
        <w:rPr>
          <w:rFonts w:cs="Arial" w:ascii="Arial" w:hAnsi="Arial"/>
          <w:lang w:val="en-US"/>
        </w:rPr>
        <w:t xml:space="preserve">Finding fuzzy and gradual functional dependencies with SummarySQL. </w:t>
      </w:r>
      <w:r>
        <w:rPr>
          <w:rFonts w:cs="Arial" w:ascii="Arial" w:hAnsi="Arial"/>
          <w:i/>
          <w:iCs/>
          <w:lang w:val="en-US"/>
        </w:rPr>
        <w:t>Fuzzy Sets and Systems</w:t>
      </w:r>
      <w:r>
        <w:rPr>
          <w:rFonts w:cs="Arial" w:ascii="Arial" w:hAnsi="Arial"/>
          <w:lang w:val="en-US"/>
        </w:rPr>
        <w:t xml:space="preserve">, vol. 106, no. 2, pp. 131–142. ISSN 0165-0114. DOI 10.1016/S0165-0114(97)00268-6. </w:t>
      </w:r>
    </w:p>
    <w:p>
      <w:pPr>
        <w:pStyle w:val="Bibliography"/>
        <w:rPr>
          <w:rFonts w:ascii="Arial" w:hAnsi="Arial" w:cs="Arial"/>
        </w:rPr>
      </w:pPr>
      <w:r>
        <w:rPr>
          <w:rFonts w:cs="Arial" w:ascii="Arial" w:hAnsi="Arial"/>
          <w:lang w:val="en-US"/>
        </w:rPr>
        <w:t xml:space="preserve">REBANE, G. y PEARL, J., 2013. The Recovery of Causal Poly-Trees from Statistical Data. </w:t>
      </w:r>
      <w:r>
        <w:rPr>
          <w:rFonts w:cs="Arial" w:ascii="Arial" w:hAnsi="Arial"/>
          <w:i/>
          <w:iCs/>
          <w:lang w:val="en-US"/>
        </w:rPr>
        <w:t>Third Conference on Uncertainty in Artificial Intelligence</w:t>
      </w:r>
      <w:r>
        <w:rPr>
          <w:rFonts w:cs="Arial" w:ascii="Arial" w:hAnsi="Arial"/>
          <w:lang w:val="en-US"/>
        </w:rPr>
        <w:t xml:space="preserve"> [en línea]. S.l.: AUAI Press, arXiv:1304.2736, ISBN: 978-0-444-87417-7, [Consulta: 24 marzo 2021]. </w:t>
      </w:r>
      <w:r>
        <w:rPr>
          <w:rFonts w:cs="Arial" w:ascii="Arial" w:hAnsi="Arial"/>
        </w:rPr>
        <w:t xml:space="preserve">Disponible en: http://arxiv.org/abs/1304.2736. </w:t>
      </w:r>
    </w:p>
    <w:p>
      <w:pPr>
        <w:pStyle w:val="Bibliography"/>
        <w:rPr>
          <w:rFonts w:ascii="Arial" w:hAnsi="Arial" w:cs="Arial"/>
        </w:rPr>
      </w:pPr>
      <w:r>
        <w:rPr>
          <w:rFonts w:cs="Arial" w:ascii="Arial" w:hAnsi="Arial"/>
        </w:rPr>
        <w:t xml:space="preserve">ROJAS VALENZUELA, Á.R., 2018. </w:t>
      </w:r>
      <w:r>
        <w:rPr>
          <w:rFonts w:cs="Arial" w:ascii="Arial" w:hAnsi="Arial"/>
          <w:i/>
          <w:iCs/>
        </w:rPr>
        <w:t>Resúmenes lingüísticos para riego de cultivos</w:t>
      </w:r>
      <w:r>
        <w:rPr>
          <w:rFonts w:cs="Arial" w:ascii="Arial" w:hAnsi="Arial"/>
        </w:rPr>
        <w:t xml:space="preserve"> [en línea]. Tesis. Santiago, Chile: Universidad Técnica Federico Santa María, Departamento de Informática. Disponible en: https://repositorio.usm.cl. </w:t>
      </w:r>
    </w:p>
    <w:p>
      <w:pPr>
        <w:pStyle w:val="Bibliography"/>
        <w:rPr>
          <w:rFonts w:ascii="Arial" w:hAnsi="Arial" w:cs="Arial"/>
          <w:lang w:val="en-US"/>
        </w:rPr>
      </w:pPr>
      <w:r>
        <w:rPr>
          <w:rFonts w:cs="Arial" w:ascii="Arial" w:hAnsi="Arial"/>
        </w:rPr>
        <w:t xml:space="preserve">RUBENS, N., ELAHI, M., SUGIYAMA, M. y KAPLAN, D., 2016. </w:t>
      </w:r>
      <w:r>
        <w:rPr>
          <w:rFonts w:cs="Arial" w:ascii="Arial" w:hAnsi="Arial"/>
          <w:lang w:val="en-US"/>
        </w:rPr>
        <w:t xml:space="preserve">Active learning in recommender systems. </w:t>
      </w:r>
      <w:r>
        <w:rPr>
          <w:rFonts w:cs="Arial" w:ascii="Arial" w:hAnsi="Arial"/>
          <w:i/>
          <w:iCs/>
          <w:lang w:val="en-US"/>
        </w:rPr>
        <w:t>Recommender Systems Handbook</w:t>
      </w:r>
      <w:r>
        <w:rPr>
          <w:rFonts w:cs="Arial" w:ascii="Arial" w:hAnsi="Arial"/>
          <w:lang w:val="en-US"/>
        </w:rPr>
        <w:t xml:space="preserve">. S.l.: Springer. DOI 10.1007/978-1-4899-7637-6, 2da, ISBN 978-1-4899-7637-6. </w:t>
      </w:r>
    </w:p>
    <w:p>
      <w:pPr>
        <w:pStyle w:val="Bibliography"/>
        <w:rPr>
          <w:rFonts w:ascii="Arial" w:hAnsi="Arial" w:cs="Arial"/>
        </w:rPr>
      </w:pPr>
      <w:r>
        <w:rPr>
          <w:rFonts w:cs="Arial" w:ascii="Arial" w:hAnsi="Arial"/>
          <w:lang w:val="en-US"/>
        </w:rPr>
        <w:t xml:space="preserve">RUIZ-SHULCLOPER, J., 2009. </w:t>
      </w:r>
      <w:r>
        <w:rPr>
          <w:rFonts w:cs="Arial" w:ascii="Arial" w:hAnsi="Arial"/>
          <w:i/>
          <w:iCs/>
        </w:rPr>
        <w:t>Reconocimiento lógico combinatorio de patrones: teoría y aplicaciones</w:t>
      </w:r>
      <w:r>
        <w:rPr>
          <w:rFonts w:cs="Arial" w:ascii="Arial" w:hAnsi="Arial"/>
        </w:rPr>
        <w:t xml:space="preserve">. PhD Thesis. Universidad Central «Marta Abreu» de Las Villas, Santa Clara: Centro de Investigaciones de Tecnologías de Avanzadas CENATAV. </w:t>
      </w:r>
    </w:p>
    <w:p>
      <w:pPr>
        <w:pStyle w:val="Bibliography"/>
        <w:rPr>
          <w:rFonts w:ascii="Arial" w:hAnsi="Arial" w:cs="Arial"/>
        </w:rPr>
      </w:pPr>
      <w:r>
        <w:rPr>
          <w:rFonts w:cs="Arial" w:ascii="Arial" w:hAnsi="Arial"/>
          <w:lang w:val="en-US"/>
        </w:rPr>
        <w:t xml:space="preserve">SALKIND, N.J., 2007. </w:t>
      </w:r>
      <w:r>
        <w:rPr>
          <w:rFonts w:cs="Arial" w:ascii="Arial" w:hAnsi="Arial"/>
          <w:i/>
          <w:iCs/>
          <w:lang w:val="en-US"/>
        </w:rPr>
        <w:t>Encyclopedia of Measurement and Statistics</w:t>
      </w:r>
      <w:r>
        <w:rPr>
          <w:rFonts w:cs="Arial" w:ascii="Arial" w:hAnsi="Arial"/>
          <w:lang w:val="en-US"/>
        </w:rPr>
        <w:t xml:space="preserve">. </w:t>
      </w:r>
      <w:r>
        <w:rPr>
          <w:rFonts w:cs="Arial" w:ascii="Arial" w:hAnsi="Arial"/>
        </w:rPr>
        <w:t xml:space="preserve">S.l.: SAGE, ISBN: 978-1-4129-1611-0. ISBN 978-1-4129-1611-0. </w:t>
      </w:r>
    </w:p>
    <w:p>
      <w:pPr>
        <w:pStyle w:val="Bibliography"/>
        <w:rPr>
          <w:rFonts w:ascii="Arial" w:hAnsi="Arial" w:cs="Arial"/>
          <w:lang w:val="en-US"/>
        </w:rPr>
      </w:pPr>
      <w:r>
        <w:rPr>
          <w:rFonts w:cs="Arial" w:ascii="Arial" w:hAnsi="Arial"/>
        </w:rPr>
        <w:t xml:space="preserve">SANCHEZ-VALDES, D., ALVAREZ-ALVAREZ, A. y TRIVINO, G., 2016. </w:t>
      </w:r>
      <w:r>
        <w:rPr>
          <w:rFonts w:cs="Arial" w:ascii="Arial" w:hAnsi="Arial"/>
          <w:lang w:val="en-US"/>
        </w:rPr>
        <w:t xml:space="preserve">Dynamic linguistic descriptions of time series applied to self-track the physical activity. </w:t>
      </w:r>
      <w:r>
        <w:rPr>
          <w:rFonts w:cs="Arial" w:ascii="Arial" w:hAnsi="Arial"/>
          <w:i/>
          <w:iCs/>
          <w:lang w:val="en-US"/>
        </w:rPr>
        <w:t>Fuzzy Sets and Systems</w:t>
      </w:r>
      <w:r>
        <w:rPr>
          <w:rFonts w:cs="Arial" w:ascii="Arial" w:hAnsi="Arial"/>
          <w:lang w:val="en-US"/>
        </w:rPr>
        <w:t xml:space="preserve">, vol. 285, pp. 162–181. DOI 10.1016/j.fss.2015.06.018. </w:t>
      </w:r>
    </w:p>
    <w:p>
      <w:pPr>
        <w:pStyle w:val="Bibliography"/>
        <w:rPr>
          <w:rFonts w:ascii="Arial" w:hAnsi="Arial" w:cs="Arial"/>
          <w:lang w:val="en-US"/>
        </w:rPr>
      </w:pPr>
      <w:r>
        <w:rPr>
          <w:rFonts w:cs="Arial" w:ascii="Arial" w:hAnsi="Arial"/>
          <w:lang w:val="en-US"/>
        </w:rPr>
        <w:t xml:space="preserve">SHESKIN, D.J., 2003. </w:t>
      </w:r>
      <w:r>
        <w:rPr>
          <w:rFonts w:cs="Arial" w:ascii="Arial" w:hAnsi="Arial"/>
          <w:i/>
          <w:iCs/>
          <w:lang w:val="en-US"/>
        </w:rPr>
        <w:t>Handbook of Parametric and Nonparametric Statistical Procedures</w:t>
      </w:r>
      <w:r>
        <w:rPr>
          <w:rFonts w:cs="Arial" w:ascii="Arial" w:hAnsi="Arial"/>
          <w:lang w:val="en-US"/>
        </w:rPr>
        <w:t xml:space="preserve">. S.l.: CRC Press, ISBN: 1-58488-440-1. ISBN 1-58488-440-1. </w:t>
      </w:r>
    </w:p>
    <w:p>
      <w:pPr>
        <w:pStyle w:val="Bibliography"/>
        <w:rPr>
          <w:rFonts w:ascii="Arial" w:hAnsi="Arial" w:cs="Arial"/>
          <w:lang w:val="en-US"/>
        </w:rPr>
      </w:pPr>
      <w:r>
        <w:rPr>
          <w:rFonts w:cs="Arial" w:ascii="Arial" w:hAnsi="Arial"/>
          <w:lang w:val="en-US"/>
        </w:rPr>
        <w:t xml:space="preserve">SMARANDACHE, F., 2017. </w:t>
      </w:r>
      <w:r>
        <w:rPr>
          <w:rFonts w:cs="Arial" w:ascii="Arial" w:hAnsi="Arial"/>
          <w:i/>
          <w:iCs/>
          <w:lang w:val="en-US"/>
        </w:rPr>
        <w:t xml:space="preserve">Nidus idearum.  </w:t>
      </w:r>
      <w:r>
        <w:rPr>
          <w:rFonts w:cs="Arial" w:ascii="Arial" w:hAnsi="Arial"/>
          <w:i/>
          <w:iCs/>
        </w:rPr>
        <w:t>Scilogs, III: Viva la Neutrosophia!</w:t>
      </w:r>
      <w:r>
        <w:rPr>
          <w:rFonts w:cs="Arial" w:ascii="Arial" w:hAnsi="Arial"/>
        </w:rPr>
        <w:t xml:space="preserve"> [en línea]. </w:t>
      </w:r>
      <w:r>
        <w:rPr>
          <w:rFonts w:cs="Arial" w:ascii="Arial" w:hAnsi="Arial"/>
          <w:lang w:val="en-US"/>
        </w:rPr>
        <w:t xml:space="preserve">Editions Pons. Brussels, Belgium: Pons Publishing. ISBN 978-1-59973-508-5. Disponible en: https://digitalrepository.unm.edu/math_fsp/306. </w:t>
      </w:r>
    </w:p>
    <w:p>
      <w:pPr>
        <w:pStyle w:val="Bibliography"/>
        <w:rPr>
          <w:rFonts w:ascii="Arial" w:hAnsi="Arial" w:cs="Arial"/>
          <w:lang w:val="en-US"/>
        </w:rPr>
      </w:pPr>
      <w:r>
        <w:rPr>
          <w:rFonts w:cs="Arial" w:ascii="Arial" w:hAnsi="Arial"/>
        </w:rPr>
        <w:t xml:space="preserve">SMARANDACHE, F. y PRAMANIK, S., 2018. </w:t>
      </w:r>
      <w:r>
        <w:rPr>
          <w:rFonts w:cs="Arial" w:ascii="Arial" w:hAnsi="Arial"/>
          <w:i/>
          <w:iCs/>
          <w:lang w:val="en-US"/>
        </w:rPr>
        <w:t>New Trends in Neutrosophic Theory and Applications, Volume II</w:t>
      </w:r>
      <w:r>
        <w:rPr>
          <w:rFonts w:cs="Arial" w:ascii="Arial" w:hAnsi="Arial"/>
          <w:lang w:val="en-US"/>
        </w:rPr>
        <w:t xml:space="preserve">. Pons. Brussels, Belgium, EU: Infinite Study. ISBN 978-1-59973-559-7. </w:t>
      </w:r>
    </w:p>
    <w:p>
      <w:pPr>
        <w:pStyle w:val="Bibliography"/>
        <w:rPr>
          <w:rFonts w:ascii="Arial" w:hAnsi="Arial" w:cs="Arial"/>
          <w:lang w:val="en-US"/>
        </w:rPr>
      </w:pPr>
      <w:r>
        <w:rPr>
          <w:rFonts w:cs="Arial" w:ascii="Arial" w:hAnsi="Arial"/>
          <w:lang w:val="en-US"/>
        </w:rPr>
        <w:t xml:space="preserve">SMITS, G., NERZIC, P., PIVERT, O. y LESOT, M.-J., 2018. Efficient Generation of Reliable Estimated Linguistic Summaries. </w:t>
      </w:r>
      <w:r>
        <w:rPr>
          <w:rFonts w:cs="Arial" w:ascii="Arial" w:hAnsi="Arial"/>
          <w:i/>
          <w:iCs/>
          <w:lang w:val="en-US"/>
        </w:rPr>
        <w:t>2018 IEEE International Conference on Fuzzy Systems (FUZZ-IEEE)</w:t>
      </w:r>
      <w:r>
        <w:rPr>
          <w:rFonts w:cs="Arial" w:ascii="Arial" w:hAnsi="Arial"/>
          <w:lang w:val="en-US"/>
        </w:rPr>
        <w:t xml:space="preserve">. S.l.: s.n., pp. 1–8. DOI 10.1109/FUZZ-IEEE.2018.8491604. </w:t>
      </w:r>
    </w:p>
    <w:p>
      <w:pPr>
        <w:pStyle w:val="Bibliography"/>
        <w:rPr>
          <w:rFonts w:ascii="Arial" w:hAnsi="Arial" w:cs="Arial"/>
          <w:lang w:val="en-US"/>
        </w:rPr>
      </w:pPr>
      <w:r>
        <w:rPr>
          <w:rFonts w:cs="Arial" w:ascii="Arial" w:hAnsi="Arial"/>
          <w:lang w:val="en-US"/>
        </w:rPr>
        <w:t xml:space="preserve">SOTO, M., 2003. </w:t>
      </w:r>
      <w:r>
        <w:rPr>
          <w:rFonts w:cs="Arial" w:ascii="Arial" w:hAnsi="Arial"/>
          <w:i/>
          <w:iCs/>
          <w:lang w:val="en-US"/>
        </w:rPr>
        <w:t>A single connected factorized distribution algorithm and its cost of evaluation</w:t>
      </w:r>
      <w:r>
        <w:rPr>
          <w:rFonts w:cs="Arial" w:ascii="Arial" w:hAnsi="Arial"/>
          <w:lang w:val="en-US"/>
        </w:rPr>
        <w:t xml:space="preserve">. </w:t>
      </w:r>
      <w:r>
        <w:rPr>
          <w:rFonts w:cs="Arial" w:ascii="Arial" w:hAnsi="Arial"/>
        </w:rPr>
        <w:t xml:space="preserve">Doctorado. Universidad de La Habana, Cuba: Instituto de Cibernética, Matemática y Física. </w:t>
      </w:r>
      <w:r>
        <w:rPr>
          <w:rFonts w:cs="Arial" w:ascii="Arial" w:hAnsi="Arial"/>
          <w:lang w:val="en-US"/>
        </w:rPr>
        <w:t xml:space="preserve">Departamento Matemática Interdisciplinaria. </w:t>
      </w:r>
    </w:p>
    <w:p>
      <w:pPr>
        <w:pStyle w:val="Bibliography"/>
        <w:rPr>
          <w:rFonts w:ascii="Arial" w:hAnsi="Arial" w:cs="Arial"/>
          <w:lang w:val="en-US"/>
        </w:rPr>
      </w:pPr>
      <w:r>
        <w:rPr>
          <w:rFonts w:cs="Arial" w:ascii="Arial" w:hAnsi="Arial"/>
          <w:lang w:val="en-US"/>
        </w:rPr>
        <w:t xml:space="preserve">SOTO, M. y OCHOA, A., 2000. A factorized distribution algorithm based on polytrees. </w:t>
      </w:r>
      <w:r>
        <w:rPr>
          <w:rFonts w:cs="Arial" w:ascii="Arial" w:hAnsi="Arial"/>
          <w:i/>
          <w:iCs/>
          <w:lang w:val="en-US"/>
        </w:rPr>
        <w:t>Proceedings of the 2000 Congress on Evolutionary Computation. CEC00 (Cat. No.00TH8512)</w:t>
      </w:r>
      <w:r>
        <w:rPr>
          <w:rFonts w:cs="Arial" w:ascii="Arial" w:hAnsi="Arial"/>
          <w:lang w:val="en-US"/>
        </w:rPr>
        <w:t xml:space="preserve">. S.l.: s.n., pp. 232-237 vol.1. DOI 10.1109/CEC.2000.870300. </w:t>
      </w:r>
    </w:p>
    <w:p>
      <w:pPr>
        <w:pStyle w:val="Bibliography"/>
        <w:rPr>
          <w:rFonts w:ascii="Arial" w:hAnsi="Arial" w:cs="Arial"/>
        </w:rPr>
      </w:pPr>
      <w:r>
        <w:rPr>
          <w:rFonts w:cs="Arial" w:ascii="Arial" w:hAnsi="Arial"/>
          <w:lang w:val="en-US"/>
        </w:rPr>
        <w:t xml:space="preserve">TAHYUDIN, I., HAVILUDDIN, H. y NAMBO, H., 2019. Time Complexity Of A Priori And Evolutionary Algorithm For Numerical Association Rule Mining Optimization. </w:t>
      </w:r>
      <w:r>
        <w:rPr>
          <w:rFonts w:cs="Arial" w:ascii="Arial" w:hAnsi="Arial"/>
        </w:rPr>
        <w:t xml:space="preserve">[en línea], [Consulta: 29 marzo 2021]. ISSN 2277-8616. Disponible en: http://repository.unmul.ac.id/handle/123456789/3898. </w:t>
      </w:r>
    </w:p>
    <w:p>
      <w:pPr>
        <w:pStyle w:val="Bibliography"/>
        <w:rPr>
          <w:rFonts w:ascii="Arial" w:hAnsi="Arial" w:cs="Arial"/>
          <w:lang w:val="en-US"/>
        </w:rPr>
      </w:pPr>
      <w:r>
        <w:rPr>
          <w:rFonts w:cs="Arial" w:ascii="Arial" w:hAnsi="Arial"/>
          <w:lang w:val="en-US"/>
        </w:rPr>
        <w:t xml:space="preserve">TONG, R.M. y BONISSONE, P.P., 1980. A linguistic approach to decisionmaking with fuzzy sets. </w:t>
      </w:r>
      <w:r>
        <w:rPr>
          <w:rFonts w:cs="Arial" w:ascii="Arial" w:hAnsi="Arial"/>
          <w:i/>
          <w:iCs/>
          <w:lang w:val="en-US"/>
        </w:rPr>
        <w:t>IEEE Transactions on Systems, Man, and Cybernetics</w:t>
      </w:r>
      <w:r>
        <w:rPr>
          <w:rFonts w:cs="Arial" w:ascii="Arial" w:hAnsi="Arial"/>
          <w:lang w:val="en-US"/>
        </w:rPr>
        <w:t xml:space="preserve">, vol. 10, no. 11, pp. 716–723. </w:t>
      </w:r>
    </w:p>
    <w:p>
      <w:pPr>
        <w:pStyle w:val="Bibliography"/>
        <w:rPr>
          <w:rFonts w:ascii="Arial" w:hAnsi="Arial" w:cs="Arial"/>
          <w:lang w:val="en-US"/>
        </w:rPr>
      </w:pPr>
      <w:r>
        <w:rPr>
          <w:rFonts w:cs="Arial" w:ascii="Arial" w:hAnsi="Arial"/>
        </w:rPr>
        <w:t xml:space="preserve">VAN ROOIJ, R. y SCHULZ, K., 2019. </w:t>
      </w:r>
      <w:r>
        <w:rPr>
          <w:rFonts w:cs="Arial" w:ascii="Arial" w:hAnsi="Arial"/>
          <w:lang w:val="en-US"/>
        </w:rPr>
        <w:t xml:space="preserve">Conditionals, Causality and Conditional Probability. </w:t>
      </w:r>
      <w:r>
        <w:rPr>
          <w:rFonts w:cs="Arial" w:ascii="Arial" w:hAnsi="Arial"/>
          <w:i/>
          <w:iCs/>
          <w:lang w:val="en-US"/>
        </w:rPr>
        <w:t>Journal of Logic, Language and Information</w:t>
      </w:r>
      <w:r>
        <w:rPr>
          <w:rFonts w:cs="Arial" w:ascii="Arial" w:hAnsi="Arial"/>
          <w:lang w:val="en-US"/>
        </w:rPr>
        <w:t xml:space="preserve">, vol. 28, no. 1, pp. 55-71. ISSN 1572-9583. DOI 10.1007/s10849-018-9275-5. </w:t>
      </w:r>
    </w:p>
    <w:p>
      <w:pPr>
        <w:pStyle w:val="Bibliography"/>
        <w:rPr>
          <w:rFonts w:ascii="Arial" w:hAnsi="Arial" w:cs="Arial"/>
          <w:lang w:val="en-US"/>
        </w:rPr>
      </w:pPr>
      <w:r>
        <w:rPr>
          <w:rFonts w:cs="Arial" w:ascii="Arial" w:hAnsi="Arial"/>
          <w:lang w:val="en-US"/>
        </w:rPr>
        <w:t xml:space="preserve">VERMA, A., TANEJA, A. y ARORA, A., 2017. Fraud detection and frequent pattern matching in insurance claims using data mining techniques. </w:t>
      </w:r>
      <w:r>
        <w:rPr>
          <w:rFonts w:cs="Arial" w:ascii="Arial" w:hAnsi="Arial"/>
          <w:i/>
          <w:iCs/>
          <w:lang w:val="en-US"/>
        </w:rPr>
        <w:t>2017 Tenth International Conference on Contemporary Computing (IC3)</w:t>
      </w:r>
      <w:r>
        <w:rPr>
          <w:rFonts w:cs="Arial" w:ascii="Arial" w:hAnsi="Arial"/>
          <w:lang w:val="en-US"/>
        </w:rPr>
        <w:t xml:space="preserve">. S.l.: s.n., pp. 1-7. DOI 10.1109/IC3.2017.8284299. </w:t>
      </w:r>
    </w:p>
    <w:p>
      <w:pPr>
        <w:pStyle w:val="Bibliography"/>
        <w:rPr>
          <w:rFonts w:ascii="Arial" w:hAnsi="Arial" w:cs="Arial"/>
        </w:rPr>
      </w:pPr>
      <w:r>
        <w:rPr>
          <w:rFonts w:cs="Arial" w:ascii="Arial" w:hAnsi="Arial"/>
          <w:lang w:val="en-US"/>
        </w:rPr>
        <w:t xml:space="preserve">WANG, R., ZHU, Q., LUO, J. y ZHU, F., 2020. Local dynamic neighborhood based outlier detection approach and its framework for large-scale datasets. </w:t>
      </w:r>
      <w:r>
        <w:rPr>
          <w:rFonts w:cs="Arial" w:ascii="Arial" w:hAnsi="Arial"/>
          <w:i/>
          <w:iCs/>
        </w:rPr>
        <w:t>Egyptian Informatics Journal</w:t>
      </w:r>
      <w:r>
        <w:rPr>
          <w:rFonts w:cs="Arial" w:ascii="Arial" w:hAnsi="Arial"/>
        </w:rPr>
        <w:t xml:space="preserve"> [en línea], [Consulta: 2 abril 2021]. ISSN 1110-8665. DOI 10.1016/j.eij.2020.06.001. Disponible en: https://www.sciencedirect.com/science/article/pii/S1110866520301328. </w:t>
      </w:r>
    </w:p>
    <w:p>
      <w:pPr>
        <w:pStyle w:val="Bibliography"/>
        <w:rPr>
          <w:rFonts w:ascii="Arial" w:hAnsi="Arial" w:cs="Arial"/>
        </w:rPr>
      </w:pPr>
      <w:r>
        <w:rPr>
          <w:rFonts w:cs="Arial" w:ascii="Arial" w:hAnsi="Arial"/>
        </w:rPr>
        <w:t xml:space="preserve">WASILEWSKA, A., 2007. Apriori algorithm. </w:t>
      </w:r>
      <w:r>
        <w:rPr>
          <w:rFonts w:cs="Arial" w:ascii="Arial" w:hAnsi="Arial"/>
          <w:i/>
          <w:iCs/>
        </w:rPr>
        <w:t>Lecture Notes, http://www. cs. sunysb. edu/</w:t>
      </w:r>
      <w:r>
        <w:rPr>
          <w:rFonts w:cs="Cambria Math" w:ascii="Cambria Math" w:hAnsi="Cambria Math"/>
          <w:i/>
          <w:iCs/>
        </w:rPr>
        <w:t>∼</w:t>
      </w:r>
      <w:r>
        <w:rPr>
          <w:rFonts w:cs="Arial" w:ascii="Arial" w:hAnsi="Arial"/>
          <w:i/>
          <w:iCs/>
        </w:rPr>
        <w:t xml:space="preserve"> cse634/lecture_notes/07apriori. pdf, accessed</w:t>
      </w:r>
      <w:r>
        <w:rPr>
          <w:rFonts w:cs="Arial" w:ascii="Arial" w:hAnsi="Arial"/>
        </w:rPr>
        <w:t xml:space="preserve"> [en línea], vol. 10. Disponible en: https://www3.cs.stonybrook.edu/ cse634/lecture_notes/07apriori.pdf. </w:t>
      </w:r>
    </w:p>
    <w:p>
      <w:pPr>
        <w:pStyle w:val="Bibliography"/>
        <w:rPr>
          <w:rFonts w:ascii="Arial" w:hAnsi="Arial" w:cs="Arial"/>
          <w:lang w:val="en-US"/>
        </w:rPr>
      </w:pPr>
      <w:r>
        <w:rPr>
          <w:rFonts w:cs="Arial" w:ascii="Arial" w:hAnsi="Arial"/>
        </w:rPr>
        <w:t xml:space="preserve">WILBIK, A., BARRETO, D. y BACKUS, G., 2020. </w:t>
      </w:r>
      <w:r>
        <w:rPr>
          <w:rFonts w:cs="Arial" w:ascii="Arial" w:hAnsi="Arial"/>
          <w:lang w:val="en-US"/>
        </w:rPr>
        <w:t xml:space="preserve">On Relevance of Linguistic Summaries–A Case Study from the Agro-Food Domain. </w:t>
      </w:r>
      <w:r>
        <w:rPr>
          <w:rFonts w:cs="Arial" w:ascii="Arial" w:hAnsi="Arial"/>
          <w:i/>
          <w:iCs/>
          <w:lang w:val="en-US"/>
        </w:rPr>
        <w:t>International Conference on Information Processing and Management of Uncertainty in Knowledge-Based Systems</w:t>
      </w:r>
      <w:r>
        <w:rPr>
          <w:rFonts w:cs="Arial" w:ascii="Arial" w:hAnsi="Arial"/>
          <w:lang w:val="en-US"/>
        </w:rPr>
        <w:t xml:space="preserve">. S.l.: Springer, pp. 289–300. ISBN 978-3-030-50146-4. DOI 10.1007/978-3-030-50146-4_22. </w:t>
      </w:r>
    </w:p>
    <w:p>
      <w:pPr>
        <w:pStyle w:val="Bibliography"/>
        <w:rPr>
          <w:rFonts w:ascii="Arial" w:hAnsi="Arial" w:cs="Arial"/>
          <w:lang w:val="en-US"/>
        </w:rPr>
      </w:pPr>
      <w:r>
        <w:rPr>
          <w:rFonts w:cs="Arial" w:ascii="Arial" w:hAnsi="Arial"/>
          <w:lang w:val="en-US"/>
        </w:rPr>
        <w:t xml:space="preserve">WILBIK, A. y DIJKMAN, R.M., 2016. On the generation of useful linguistic summaries of sequences. </w:t>
      </w:r>
      <w:r>
        <w:rPr>
          <w:rFonts w:cs="Arial" w:ascii="Arial" w:hAnsi="Arial"/>
          <w:i/>
          <w:iCs/>
          <w:lang w:val="en-US"/>
        </w:rPr>
        <w:t>2016 IEEE International Conference on Fuzzy Systems (FUZZ-IEEE)</w:t>
      </w:r>
      <w:r>
        <w:rPr>
          <w:rFonts w:cs="Arial" w:ascii="Arial" w:hAnsi="Arial"/>
          <w:lang w:val="en-US"/>
        </w:rPr>
        <w:t xml:space="preserve">. S.l.: s.n., pp. 555–562. DOI 10.1109/FUZZ-IEEE.2016.7737736. </w:t>
      </w:r>
    </w:p>
    <w:p>
      <w:pPr>
        <w:pStyle w:val="Bibliography"/>
        <w:rPr>
          <w:rFonts w:ascii="Arial" w:hAnsi="Arial" w:cs="Arial"/>
          <w:lang w:val="en-US"/>
        </w:rPr>
      </w:pPr>
      <w:r>
        <w:rPr>
          <w:rFonts w:cs="Arial" w:ascii="Arial" w:hAnsi="Arial"/>
          <w:lang w:val="en-US"/>
        </w:rPr>
        <w:t xml:space="preserve">WILBIK, A., KAYMAK, U. y DIJKMAN, R.M., 2017. A method for improving the generation of linguistic summaries. </w:t>
      </w:r>
      <w:r>
        <w:rPr>
          <w:rFonts w:cs="Arial" w:ascii="Arial" w:hAnsi="Arial"/>
          <w:i/>
          <w:iCs/>
          <w:lang w:val="en-US"/>
        </w:rPr>
        <w:t>2017 IEEE International Conference on Fuzzy Systems (FUZZ-IEEE)</w:t>
      </w:r>
      <w:r>
        <w:rPr>
          <w:rFonts w:cs="Arial" w:ascii="Arial" w:hAnsi="Arial"/>
          <w:lang w:val="en-US"/>
        </w:rPr>
        <w:t xml:space="preserve">. S.l.: s.n., pp. 1–6. DOI 10.1109/FUZZ-IEEE.2017.8015752. </w:t>
      </w:r>
    </w:p>
    <w:p>
      <w:pPr>
        <w:pStyle w:val="Bibliography"/>
        <w:rPr>
          <w:rFonts w:ascii="Arial" w:hAnsi="Arial" w:cs="Arial"/>
          <w:lang w:val="en-US"/>
        </w:rPr>
      </w:pPr>
      <w:r>
        <w:rPr>
          <w:rFonts w:cs="Arial" w:ascii="Arial" w:hAnsi="Arial"/>
          <w:lang w:val="en-US"/>
        </w:rPr>
        <w:t xml:space="preserve">WILBIK, A., VANDERFEESTEN, I., BERGMANS, D., HEINES, S. y MOOK, W. van, 2018. Linguistic Summaries for Compliance Analysis of a Glucose Management Clinical Protocol. </w:t>
      </w:r>
      <w:r>
        <w:rPr>
          <w:rFonts w:cs="Arial" w:ascii="Arial" w:hAnsi="Arial"/>
          <w:i/>
          <w:iCs/>
          <w:lang w:val="en-US"/>
        </w:rPr>
        <w:t>2018 IEEE International Conference on Fuzzy Systems (FUZZ-IEEE)</w:t>
      </w:r>
      <w:r>
        <w:rPr>
          <w:rFonts w:cs="Arial" w:ascii="Arial" w:hAnsi="Arial"/>
          <w:lang w:val="en-US"/>
        </w:rPr>
        <w:t xml:space="preserve">. S.l.: s.n., pp. 1–7. DOI 10.1109/FUZZ-IEEE.2018.8491449. </w:t>
      </w:r>
    </w:p>
    <w:p>
      <w:pPr>
        <w:pStyle w:val="Bibliography"/>
        <w:rPr>
          <w:rFonts w:ascii="Arial" w:hAnsi="Arial" w:cs="Arial"/>
        </w:rPr>
      </w:pPr>
      <w:r>
        <w:rPr>
          <w:rFonts w:cs="Arial" w:ascii="Arial" w:hAnsi="Arial"/>
          <w:lang w:val="en-US"/>
        </w:rPr>
        <w:t xml:space="preserve">WILCOXON, F., 1992. Individual Comparisons by Ranking Methods. En: S. KOTZ y N.L. JOHNSON (eds.), </w:t>
      </w:r>
      <w:r>
        <w:rPr>
          <w:rFonts w:cs="Arial" w:ascii="Arial" w:hAnsi="Arial"/>
          <w:i/>
          <w:iCs/>
          <w:lang w:val="en-US"/>
        </w:rPr>
        <w:t>Breakthroughs in Statistics: Methodology and Distribution</w:t>
      </w:r>
      <w:r>
        <w:rPr>
          <w:rFonts w:cs="Arial" w:ascii="Arial" w:hAnsi="Arial"/>
          <w:lang w:val="en-US"/>
        </w:rPr>
        <w:t xml:space="preserve"> [en línea]. New York, NY: Springer, ISBN: 978-1-4612-4380-9, Springer Series in Statistics, pp. 196-202. </w:t>
      </w:r>
      <w:r>
        <w:rPr>
          <w:rFonts w:cs="Arial" w:ascii="Arial" w:hAnsi="Arial"/>
        </w:rPr>
        <w:t xml:space="preserve">[Consulta: 8 abril 2021]. ISBN 978-1-4612-4380-9. Disponible en: https://doi.org/10.1007/978-1-4612-4380-9_16. </w:t>
      </w:r>
    </w:p>
    <w:p>
      <w:pPr>
        <w:pStyle w:val="Bibliography"/>
        <w:rPr>
          <w:rFonts w:ascii="Arial" w:hAnsi="Arial" w:cs="Arial"/>
          <w:lang w:val="en-US"/>
        </w:rPr>
      </w:pPr>
      <w:r>
        <w:rPr>
          <w:rFonts w:cs="Arial" w:ascii="Arial" w:hAnsi="Arial"/>
        </w:rPr>
        <w:t xml:space="preserve">WU, D. y MENDEL, J.M., 2010. </w:t>
      </w:r>
      <w:r>
        <w:rPr>
          <w:rFonts w:cs="Arial" w:ascii="Arial" w:hAnsi="Arial"/>
          <w:lang w:val="en-US"/>
        </w:rPr>
        <w:t xml:space="preserve">Linguistic summarization using IF–THEN rules and interval type-2 fuzzy sets. </w:t>
      </w:r>
      <w:r>
        <w:rPr>
          <w:rFonts w:cs="Arial" w:ascii="Arial" w:hAnsi="Arial"/>
          <w:i/>
          <w:iCs/>
          <w:lang w:val="en-US"/>
        </w:rPr>
        <w:t>IEEE Transactions on Fuzzy Systems</w:t>
      </w:r>
      <w:r>
        <w:rPr>
          <w:rFonts w:cs="Arial" w:ascii="Arial" w:hAnsi="Arial"/>
          <w:lang w:val="en-US"/>
        </w:rPr>
        <w:t xml:space="preserve">, vol. 19, no. 1, pp. 136–151. ISSN 1063-6706. DOI 10.1109/TFUZZ.2010.2088128. </w:t>
      </w:r>
    </w:p>
    <w:p>
      <w:pPr>
        <w:pStyle w:val="Bibliography"/>
        <w:rPr>
          <w:rFonts w:ascii="Arial" w:hAnsi="Arial" w:cs="Arial"/>
          <w:lang w:val="en-US"/>
        </w:rPr>
      </w:pPr>
      <w:r>
        <w:rPr>
          <w:rFonts w:cs="Arial" w:ascii="Arial" w:hAnsi="Arial"/>
        </w:rPr>
        <w:t xml:space="preserve">WU, D., MENDEL, J.M. y JOO, J., 2010. </w:t>
      </w:r>
      <w:r>
        <w:rPr>
          <w:rFonts w:cs="Arial" w:ascii="Arial" w:hAnsi="Arial"/>
          <w:lang w:val="en-US"/>
        </w:rPr>
        <w:t xml:space="preserve">Linguistic summarization using if-then rules. </w:t>
      </w:r>
      <w:r>
        <w:rPr>
          <w:rFonts w:cs="Arial" w:ascii="Arial" w:hAnsi="Arial"/>
          <w:i/>
          <w:iCs/>
          <w:lang w:val="en-US"/>
        </w:rPr>
        <w:t>Fuzzy Systems (FUZZ), 2010 IEEE International Conference on</w:t>
      </w:r>
      <w:r>
        <w:rPr>
          <w:rFonts w:cs="Arial" w:ascii="Arial" w:hAnsi="Arial"/>
          <w:lang w:val="en-US"/>
        </w:rPr>
        <w:t xml:space="preserve">. S.l.: IEEE, pp. 1–8. </w:t>
      </w:r>
    </w:p>
    <w:p>
      <w:pPr>
        <w:pStyle w:val="Bibliography"/>
        <w:rPr>
          <w:rFonts w:ascii="Arial" w:hAnsi="Arial" w:cs="Arial"/>
          <w:lang w:val="en-US"/>
        </w:rPr>
      </w:pPr>
      <w:r>
        <w:rPr>
          <w:rFonts w:cs="Arial" w:ascii="Arial" w:hAnsi="Arial"/>
          <w:lang w:val="en-US"/>
        </w:rPr>
        <w:t xml:space="preserve">YAGER, R.R., 1982. A new approach to the summarization of data. </w:t>
      </w:r>
      <w:r>
        <w:rPr>
          <w:rFonts w:cs="Arial" w:ascii="Arial" w:hAnsi="Arial"/>
          <w:i/>
          <w:iCs/>
          <w:lang w:val="en-US"/>
        </w:rPr>
        <w:t>Information Sciences</w:t>
      </w:r>
      <w:r>
        <w:rPr>
          <w:rFonts w:cs="Arial" w:ascii="Arial" w:hAnsi="Arial"/>
          <w:lang w:val="en-US"/>
        </w:rPr>
        <w:t xml:space="preserve">, vol. 28, no. 1, pp. 69–86. DOI 10.1016/0020-0255(82)90033-0. </w:t>
      </w:r>
    </w:p>
    <w:p>
      <w:pPr>
        <w:pStyle w:val="Bibliography"/>
        <w:rPr>
          <w:rFonts w:ascii="Arial" w:hAnsi="Arial" w:cs="Arial"/>
          <w:lang w:val="en-US"/>
        </w:rPr>
      </w:pPr>
      <w:r>
        <w:rPr>
          <w:rFonts w:cs="Arial" w:ascii="Arial" w:hAnsi="Arial"/>
          <w:lang w:val="en-US"/>
        </w:rPr>
        <w:t xml:space="preserve">YAGER, R.R., 1991. On Linguistic Summaries of Data. </w:t>
      </w:r>
      <w:r>
        <w:rPr>
          <w:rFonts w:cs="Arial" w:ascii="Arial" w:hAnsi="Arial"/>
          <w:i/>
          <w:iCs/>
          <w:lang w:val="en-US"/>
        </w:rPr>
        <w:t>Knowledge Discovery in Databases</w:t>
      </w:r>
      <w:r>
        <w:rPr>
          <w:rFonts w:cs="Arial" w:ascii="Arial" w:hAnsi="Arial"/>
          <w:lang w:val="en-US"/>
        </w:rPr>
        <w:t xml:space="preserve">, pp. 378–389. </w:t>
      </w:r>
    </w:p>
    <w:p>
      <w:pPr>
        <w:pStyle w:val="Bibliography"/>
        <w:rPr>
          <w:rFonts w:ascii="Arial" w:hAnsi="Arial" w:cs="Arial"/>
          <w:lang w:val="en-US"/>
        </w:rPr>
      </w:pPr>
      <w:r>
        <w:rPr>
          <w:rFonts w:cs="Arial" w:ascii="Arial" w:hAnsi="Arial"/>
          <w:lang w:val="en-US"/>
        </w:rPr>
        <w:t xml:space="preserve">ZADEH, L.A., 1976. The concept of a linguistic variable and its applications to approximate reasoning. , pp. 43-80. </w:t>
      </w:r>
    </w:p>
    <w:p>
      <w:pPr>
        <w:pStyle w:val="Bibliography"/>
        <w:rPr>
          <w:rFonts w:ascii="Arial" w:hAnsi="Arial" w:cs="Arial"/>
          <w:lang w:val="en-US"/>
        </w:rPr>
      </w:pPr>
      <w:r>
        <w:rPr>
          <w:rFonts w:cs="Arial" w:ascii="Arial" w:hAnsi="Arial"/>
          <w:lang w:val="en-US"/>
        </w:rPr>
        <w:t xml:space="preserve">ZADEH, L.A., 1983. A computational approach to fuzzy quantifiers in natural languages. </w:t>
      </w:r>
      <w:r>
        <w:rPr>
          <w:rFonts w:cs="Arial" w:ascii="Arial" w:hAnsi="Arial"/>
          <w:i/>
          <w:iCs/>
          <w:lang w:val="en-US"/>
        </w:rPr>
        <w:t>Computers &amp; Mathematics with applications</w:t>
      </w:r>
      <w:r>
        <w:rPr>
          <w:rFonts w:cs="Arial" w:ascii="Arial" w:hAnsi="Arial"/>
          <w:lang w:val="en-US"/>
        </w:rPr>
        <w:t xml:space="preserve">, vol. 9, no. 1, pp. 149–184. </w:t>
      </w:r>
    </w:p>
    <w:p>
      <w:pPr>
        <w:pStyle w:val="Bibliography"/>
        <w:rPr>
          <w:rFonts w:ascii="Arial" w:hAnsi="Arial" w:cs="Arial"/>
          <w:lang w:val="en-US"/>
        </w:rPr>
      </w:pPr>
      <w:r>
        <w:rPr>
          <w:rFonts w:cs="Arial" w:ascii="Arial" w:hAnsi="Arial"/>
          <w:lang w:val="en-US"/>
        </w:rPr>
        <w:t xml:space="preserve">ZADEH, L.A., 1996. Fuzzy logic = computing with words. En: Conference Name: IEEE Transactions on Fuzzy Systems, </w:t>
      </w:r>
      <w:r>
        <w:rPr>
          <w:rFonts w:cs="Arial" w:ascii="Arial" w:hAnsi="Arial"/>
          <w:i/>
          <w:iCs/>
          <w:lang w:val="en-US"/>
        </w:rPr>
        <w:t>IEEE Transactions on Fuzzy Systems</w:t>
      </w:r>
      <w:r>
        <w:rPr>
          <w:rFonts w:cs="Arial" w:ascii="Arial" w:hAnsi="Arial"/>
          <w:lang w:val="en-US"/>
        </w:rPr>
        <w:t xml:space="preserve">, vol. 4, no. 2, pp. 103-111. ISSN 1941-0034. DOI 10.1109/91.493904. </w:t>
      </w:r>
    </w:p>
    <w:p>
      <w:pPr>
        <w:pStyle w:val="Bibliography"/>
        <w:rPr>
          <w:rFonts w:ascii="Arial" w:hAnsi="Arial" w:cs="Arial"/>
          <w:lang w:val="en-US"/>
        </w:rPr>
      </w:pPr>
      <w:r>
        <w:rPr>
          <w:rFonts w:cs="Arial" w:ascii="Arial" w:hAnsi="Arial"/>
          <w:lang w:val="en-US"/>
        </w:rPr>
        <w:t xml:space="preserve">ZADEH, L.A., 2002. A prototype-centered approach to adding deduction capability to search engines–the concept of protoform. </w:t>
      </w:r>
      <w:r>
        <w:rPr>
          <w:rFonts w:cs="Arial" w:ascii="Arial" w:hAnsi="Arial"/>
          <w:i/>
          <w:iCs/>
          <w:lang w:val="en-US"/>
        </w:rPr>
        <w:t>Intelligent Systems, 2002. Proceedings. 2002 First International IEEE Symposium</w:t>
      </w:r>
      <w:r>
        <w:rPr>
          <w:rFonts w:cs="Arial" w:ascii="Arial" w:hAnsi="Arial"/>
          <w:lang w:val="en-US"/>
        </w:rPr>
        <w:t xml:space="preserve">. S.l.: IEEE, pp. 2–3. DOI 10.1109/IS.2002.1044219. </w:t>
      </w:r>
    </w:p>
    <w:p>
      <w:pPr>
        <w:pStyle w:val="Bibliography"/>
        <w:rPr>
          <w:rFonts w:ascii="Arial" w:hAnsi="Arial" w:cs="Arial"/>
          <w:lang w:val="en-US"/>
        </w:rPr>
      </w:pPr>
      <w:r>
        <w:rPr>
          <w:rFonts w:cs="Arial" w:ascii="Arial" w:hAnsi="Arial"/>
          <w:lang w:val="en-US"/>
        </w:rPr>
        <w:t xml:space="preserve">ZHAI, J., ZHANG, S. y ZHANG, Y., 2016. An extension of rough fuzzy set. </w:t>
      </w:r>
      <w:r>
        <w:rPr>
          <w:rFonts w:cs="Arial" w:ascii="Arial" w:hAnsi="Arial"/>
          <w:i/>
          <w:iCs/>
          <w:lang w:val="en-US"/>
        </w:rPr>
        <w:t>Journal of Intelligent &amp; Fuzzy Systems</w:t>
      </w:r>
      <w:r>
        <w:rPr>
          <w:rFonts w:cs="Arial" w:ascii="Arial" w:hAnsi="Arial"/>
          <w:lang w:val="en-US"/>
        </w:rPr>
        <w:t xml:space="preserve">, vol. 30, no. 6, pp. 3311-3320. ISSN 1064-1246. DOI 10.3233/IFS-152079. </w:t>
      </w:r>
    </w:p>
    <w:p>
      <w:pPr>
        <w:pStyle w:val="Bibliography"/>
        <w:rPr>
          <w:rFonts w:ascii="Arial" w:hAnsi="Arial" w:cs="Arial"/>
          <w:lang w:val="en-US"/>
        </w:rPr>
      </w:pPr>
      <w:r>
        <w:rPr>
          <w:rFonts w:cs="Arial" w:ascii="Arial" w:hAnsi="Arial"/>
          <w:lang w:val="en-US"/>
        </w:rPr>
        <w:t xml:space="preserve">ZHANG, J., ZHANG, S., CHANG, K.H. y QIN, X., 2014. An outlier mining algorithm based on constrained concept lattice. </w:t>
      </w:r>
      <w:r>
        <w:rPr>
          <w:rFonts w:cs="Arial" w:ascii="Arial" w:hAnsi="Arial"/>
          <w:i/>
          <w:iCs/>
          <w:lang w:val="en-US"/>
        </w:rPr>
        <w:t>International Journal of Systems Science</w:t>
      </w:r>
      <w:r>
        <w:rPr>
          <w:rFonts w:cs="Arial" w:ascii="Arial" w:hAnsi="Arial"/>
          <w:lang w:val="en-US"/>
        </w:rPr>
        <w:t xml:space="preserve">, vol. 45, no. 5, pp. 1170-1179. ISSN 0020-7721. DOI 10.1080/00207721.2012.745029. </w:t>
      </w:r>
    </w:p>
    <w:p>
      <w:pPr>
        <w:pStyle w:val="Bibliography"/>
        <w:rPr>
          <w:rFonts w:ascii="Arial" w:hAnsi="Arial" w:cs="Arial"/>
          <w:lang w:val="en-US"/>
        </w:rPr>
      </w:pPr>
      <w:r>
        <w:rPr>
          <w:rFonts w:cs="Arial" w:ascii="Arial" w:hAnsi="Arial"/>
          <w:lang w:val="en-US"/>
        </w:rPr>
        <w:t xml:space="preserve">ZHANG, S., WEI, G., ALSAADI, F.E., HAYAT, T., WEI, C. y ZHANG, Z., 2020. MABAC method for multiple attribute group decision making under picture 2-tuple linguistic environment. </w:t>
      </w:r>
      <w:r>
        <w:rPr>
          <w:rFonts w:cs="Arial" w:ascii="Arial" w:hAnsi="Arial"/>
          <w:i/>
          <w:iCs/>
          <w:lang w:val="en-US"/>
        </w:rPr>
        <w:t>Soft Computing</w:t>
      </w:r>
      <w:r>
        <w:rPr>
          <w:rFonts w:cs="Arial" w:ascii="Arial" w:hAnsi="Arial"/>
          <w:lang w:val="en-US"/>
        </w:rPr>
        <w:t xml:space="preserve">, vol. 24, no. 8, pp. 5819–5829. DOI 10.1007/s00500-019-04364-x. </w:t>
      </w:r>
    </w:p>
    <w:p>
      <w:pPr>
        <w:pStyle w:val="Bibliography"/>
        <w:rPr>
          <w:rFonts w:ascii="Arial" w:hAnsi="Arial" w:cs="Arial"/>
          <w:lang w:val="en-US"/>
        </w:rPr>
      </w:pPr>
      <w:r>
        <w:rPr>
          <w:rFonts w:cs="Arial" w:ascii="Arial" w:hAnsi="Arial"/>
          <w:lang w:val="en-US"/>
        </w:rPr>
        <w:t xml:space="preserve">ZHANG, Xiaoliang, HE, Y., JIN, Y., QIN, H., AZHAR, M. y HUANG, J.Z., 2020. A Robust k-Means Clustering Algorithm Based on Observation Point Mechanism. </w:t>
      </w:r>
      <w:r>
        <w:rPr>
          <w:rFonts w:cs="Arial" w:ascii="Arial" w:hAnsi="Arial"/>
          <w:i/>
          <w:iCs/>
          <w:lang w:val="en-US"/>
        </w:rPr>
        <w:t>Complexity</w:t>
      </w:r>
      <w:r>
        <w:rPr>
          <w:rFonts w:cs="Arial" w:ascii="Arial" w:hAnsi="Arial"/>
          <w:lang w:val="en-US"/>
        </w:rPr>
        <w:t xml:space="preserve">, vol. 2020, pp. e3650926. ISSN 1076-2787. DOI 10.1155/2020/3650926. </w:t>
      </w:r>
    </w:p>
    <w:p>
      <w:pPr>
        <w:pStyle w:val="Bibliography"/>
        <w:rPr>
          <w:rFonts w:ascii="Arial" w:hAnsi="Arial" w:cs="Arial"/>
        </w:rPr>
      </w:pPr>
      <w:r>
        <w:rPr>
          <w:rFonts w:cs="Arial" w:ascii="Arial" w:hAnsi="Arial"/>
          <w:lang w:val="en-US"/>
        </w:rPr>
        <w:t xml:space="preserve">ZHAO, Y., TARUS, S.K., YANG, L.T., SUN, J., GE, Y. y WANG, J., 2020. Privacy-preserving clustering for big data in cyber-physical-social systems: Survey and perspectives. </w:t>
      </w:r>
      <w:r>
        <w:rPr>
          <w:rFonts w:cs="Arial" w:ascii="Arial" w:hAnsi="Arial"/>
          <w:i/>
          <w:iCs/>
        </w:rPr>
        <w:t>Information Sciences</w:t>
      </w:r>
      <w:r>
        <w:rPr>
          <w:rFonts w:cs="Arial" w:ascii="Arial" w:hAnsi="Arial"/>
        </w:rPr>
        <w:t xml:space="preserve">, vol. 515, pp. 132-155. ISSN 0020-0255. DOI 10.1016/j.ins.2019.10.019. </w:t>
      </w:r>
    </w:p>
    <w:p>
      <w:pPr>
        <w:pStyle w:val="Bibliography"/>
        <w:rPr>
          <w:rFonts w:ascii="Arial" w:hAnsi="Arial" w:cs="Arial"/>
          <w:lang w:val="es-ES"/>
        </w:rPr>
      </w:pPr>
      <w:r>
        <w:rPr>
          <w:rFonts w:cs="Arial" w:ascii="Arial" w:hAnsi="Arial"/>
          <w:lang w:val="es-ES"/>
        </w:rPr>
      </w:r>
    </w:p>
    <w:p>
      <w:pPr>
        <w:pStyle w:val="Normal"/>
        <w:rPr/>
      </w:pPr>
      <w:r>
        <w:rPr/>
      </w:r>
    </w:p>
    <w:p>
      <w:pPr>
        <w:pStyle w:val="Heading1"/>
        <w:numPr>
          <w:ilvl w:val="0"/>
          <w:numId w:val="80"/>
        </w:numPr>
        <w:rPr/>
      </w:pPr>
      <w:bookmarkStart w:id="3718" w:name="_Toc84598954"/>
      <w:bookmarkStart w:id="3719" w:name="_Toc476476179"/>
      <w:bookmarkStart w:id="3720" w:name="_Toc484293927"/>
      <w:bookmarkEnd w:id="3718"/>
      <w:bookmarkEnd w:id="3719"/>
      <w:bookmarkEnd w:id="3720"/>
      <w:r>
        <w:rPr/>
        <w:t>Anexos</w:t>
      </w:r>
    </w:p>
    <w:p>
      <w:pPr>
        <w:pStyle w:val="Heading2"/>
        <w:numPr>
          <w:ilvl w:val="1"/>
          <w:numId w:val="80"/>
        </w:numPr>
        <w:rPr/>
      </w:pPr>
      <w:bookmarkStart w:id="3721" w:name="_Ref70268045"/>
      <w:bookmarkStart w:id="3722" w:name="_Toc84598955"/>
      <w:bookmarkStart w:id="3723" w:name="_Ref70268671"/>
      <w:bookmarkStart w:id="3724" w:name="__RefHeading__392_1220193368"/>
      <w:bookmarkStart w:id="3725" w:name="_Ref70236091"/>
      <w:bookmarkStart w:id="3726" w:name="_Ref50058579"/>
      <w:bookmarkStart w:id="3727" w:name="_Ref509315741"/>
      <w:bookmarkStart w:id="3728" w:name="_Ref479170843"/>
      <w:bookmarkStart w:id="3729" w:name="_Ref484089738"/>
      <w:bookmarkStart w:id="3730" w:name="_Toc484293978"/>
      <w:bookmarkEnd w:id="3724"/>
      <w:bookmarkEnd w:id="3725"/>
      <w:bookmarkEnd w:id="3726"/>
      <w:bookmarkEnd w:id="3727"/>
      <w:bookmarkEnd w:id="3728"/>
      <w:bookmarkEnd w:id="3729"/>
      <w:bookmarkEnd w:id="3730"/>
      <w:r>
        <w:rPr/>
        <w:t xml:space="preserve">Anexo </w:t>
      </w:r>
      <w:r>
        <w:rPr/>
        <w:fldChar w:fldCharType="begin"/>
      </w:r>
      <w:r>
        <w:instrText> SEQ Anexo \* ARABIC </w:instrText>
      </w:r>
      <w:r>
        <w:fldChar w:fldCharType="separate"/>
      </w:r>
      <w:r>
        <w:t>1</w:t>
      </w:r>
      <w:r>
        <w:fldChar w:fldCharType="end"/>
      </w:r>
      <w:bookmarkEnd w:id="3721"/>
      <w:bookmarkEnd w:id="3722"/>
      <w:bookmarkEnd w:id="3723"/>
      <w:r>
        <w:rPr/>
        <w:t>. Producción científica del autor</w:t>
      </w:r>
    </w:p>
    <w:p>
      <w:pPr>
        <w:pStyle w:val="TDNormalLista"/>
        <w:rPr/>
      </w:pPr>
      <w:r>
        <w:rPr/>
        <w:t xml:space="preserve">Se presentan un conjunto de publicaciones del autor relacionadas a la investigación:  </w:t>
      </w:r>
    </w:p>
    <w:p>
      <w:pPr>
        <w:pStyle w:val="TDNormalLista"/>
        <w:numPr>
          <w:ilvl w:val="0"/>
          <w:numId w:val="50"/>
        </w:numPr>
        <w:rPr>
          <w:color w:val="00000A"/>
          <w:lang w:val="en-US"/>
        </w:rPr>
      </w:pPr>
      <w:r>
        <w:rPr>
          <w:b/>
          <w:color w:val="00000A"/>
        </w:rPr>
        <w:t>I. Pérez Pupo</w:t>
      </w:r>
      <w:r>
        <w:rPr>
          <w:color w:val="00000A"/>
        </w:rPr>
        <w:t xml:space="preserve">, Piñero, Vacacela, Bello, &amp; Acuña. </w:t>
      </w:r>
      <w:r>
        <w:rPr>
          <w:color w:val="00000A"/>
          <w:lang w:val="en-US"/>
        </w:rPr>
        <w:t>“Discovering Fails in Software Projects Planning Based on Linguistic Summaries”. Lecture Notes in Computer Science ISSN 0302-9743, Springer, ISBN 978-3-030-52704-4, pp. 365–375, doi: 10.1007/978-3-030-52705-1_27, 2020. (SCOPUS)</w:t>
      </w:r>
    </w:p>
    <w:p>
      <w:pPr>
        <w:pStyle w:val="TDNormalLista"/>
        <w:numPr>
          <w:ilvl w:val="0"/>
          <w:numId w:val="50"/>
        </w:numPr>
        <w:rPr>
          <w:color w:val="00000A"/>
          <w:lang w:val="en-US"/>
        </w:rPr>
      </w:pPr>
      <w:r>
        <w:rPr>
          <w:b/>
          <w:color w:val="00000A"/>
          <w:lang w:val="es-CO"/>
        </w:rPr>
        <w:t>I. Pérez Pupo</w:t>
      </w:r>
      <w:r>
        <w:rPr>
          <w:color w:val="00000A"/>
        </w:rPr>
        <w:t xml:space="preserve">, Piñero, Bello, Acuña, &amp; Vacacela. </w:t>
      </w:r>
      <w:r>
        <w:rPr>
          <w:color w:val="00000A"/>
          <w:lang w:val="en-US"/>
        </w:rPr>
        <w:t>“Linguistic Summaries Generation with Hybridization Method Based on Rough and Fuzzy Sets”. Lecture Notes in Computer Science ISSN 0302-9743, Springer, ISBN 978-3-030-52704-4, 2020, pp. 385–397, doi: 10.1007/978-3-030-52705-1_29, 2020. (SCOPUS)</w:t>
      </w:r>
    </w:p>
    <w:p>
      <w:pPr>
        <w:pStyle w:val="TDNormalLista"/>
        <w:numPr>
          <w:ilvl w:val="0"/>
          <w:numId w:val="50"/>
        </w:numPr>
        <w:rPr>
          <w:color w:val="00000A"/>
        </w:rPr>
      </w:pPr>
      <w:r>
        <w:rPr>
          <w:b/>
          <w:color w:val="00000A"/>
          <w:lang w:val="es-CO"/>
        </w:rPr>
        <w:t>I. Pérez Pupo</w:t>
      </w:r>
      <w:r>
        <w:rPr>
          <w:color w:val="00000A"/>
        </w:rPr>
        <w:t xml:space="preserve">, Vacacela, Piñero, Sadeq, &amp; Peña Abreu, M. “Experiencias en el uso de técnicas de softcomputing en la evaluación de proyectos de software”. </w:t>
      </w:r>
      <w:r>
        <w:rPr>
          <w:i/>
          <w:iCs/>
          <w:color w:val="00000A"/>
        </w:rPr>
        <w:t>Revista Investigación Operacional</w:t>
      </w:r>
      <w:r>
        <w:rPr>
          <w:color w:val="00000A"/>
        </w:rPr>
        <w:t xml:space="preserve">, </w:t>
      </w:r>
      <w:r>
        <w:rPr>
          <w:i/>
          <w:iCs/>
          <w:color w:val="00000A"/>
        </w:rPr>
        <w:t>41</w:t>
      </w:r>
      <w:r>
        <w:rPr>
          <w:color w:val="00000A"/>
        </w:rPr>
        <w:t>(1), 106–117, 2020. (SCOPUS)</w:t>
      </w:r>
    </w:p>
    <w:p>
      <w:pPr>
        <w:pStyle w:val="TDNormalLista"/>
        <w:numPr>
          <w:ilvl w:val="0"/>
          <w:numId w:val="50"/>
        </w:numPr>
        <w:rPr>
          <w:lang w:val="es-CO"/>
        </w:rPr>
      </w:pPr>
      <w:r>
        <w:rPr>
          <w:color w:val="00000A"/>
          <w:lang w:val="es-CO"/>
        </w:rPr>
        <w:t xml:space="preserve">Piñero, </w:t>
      </w:r>
      <w:r>
        <w:rPr>
          <w:b/>
          <w:color w:val="00000A"/>
          <w:lang w:val="es-CO"/>
        </w:rPr>
        <w:t>I. Pérez Pupo</w:t>
      </w:r>
      <w:r>
        <w:rPr>
          <w:color w:val="00000A"/>
          <w:lang w:val="es-CO"/>
        </w:rPr>
        <w:t xml:space="preserve">, Hechavarría, Lusardo, Sosa </w:t>
      </w:r>
      <w:r>
        <w:rPr>
          <w:color w:val="00000A"/>
        </w:rPr>
        <w:t xml:space="preserve">&amp; </w:t>
      </w:r>
      <w:r>
        <w:rPr>
          <w:color w:val="00000A"/>
          <w:lang w:val="es-CO"/>
        </w:rPr>
        <w:t xml:space="preserve">Torres. “Repositorio de datos para investigaciones en gestión de proyectos”. </w:t>
      </w:r>
      <w:r>
        <w:rPr>
          <w:i/>
          <w:iCs/>
          <w:color w:val="00000A"/>
          <w:lang w:val="es-CO"/>
        </w:rPr>
        <w:t>Revista Cubana de Ciencias Informáticas</w:t>
      </w:r>
      <w:r>
        <w:rPr>
          <w:color w:val="00000A"/>
          <w:lang w:val="es-CO"/>
        </w:rPr>
        <w:t>, vol. 13, no. 1, pp. 176–191, ISSN 2227-1899, 2019. (SCIELO)</w:t>
      </w:r>
    </w:p>
    <w:p>
      <w:pPr>
        <w:pStyle w:val="TDNormalLista"/>
        <w:numPr>
          <w:ilvl w:val="0"/>
          <w:numId w:val="50"/>
        </w:numPr>
        <w:rPr>
          <w:lang w:val="es-CO"/>
        </w:rPr>
      </w:pPr>
      <w:r>
        <w:rPr>
          <w:b/>
        </w:rPr>
        <w:t>I. Pérez Pupo</w:t>
      </w:r>
      <w:r>
        <w:rPr/>
        <w:t xml:space="preserve">, Gómez, Varona, </w:t>
      </w:r>
      <w:r>
        <w:rPr>
          <w:color w:val="00000A"/>
          <w:lang w:val="es-CO"/>
        </w:rPr>
        <w:t>Piñero</w:t>
      </w:r>
      <w:r>
        <w:rPr/>
        <w:t xml:space="preserve"> &amp; Vacacela. “Construcción de resúmenes lingüísticos a partir de rasgos de la personalidad y el desempeño en el desarrollo de software”. </w:t>
      </w:r>
      <w:r>
        <w:rPr>
          <w:i/>
          <w:iCs/>
        </w:rPr>
        <w:t>Revista Cubana de Ciencias Informáticas</w:t>
      </w:r>
      <w:r>
        <w:rPr/>
        <w:t xml:space="preserve">, ISSN: 2227-1899, vol. 12, pp. 135–150, 2018. </w:t>
      </w:r>
      <w:r>
        <w:rPr>
          <w:lang w:val="es-CO"/>
        </w:rPr>
        <w:t>(SCIELO)</w:t>
      </w:r>
    </w:p>
    <w:p>
      <w:pPr>
        <w:pStyle w:val="TDNormalLista"/>
        <w:numPr>
          <w:ilvl w:val="0"/>
          <w:numId w:val="50"/>
        </w:numPr>
        <w:rPr>
          <w:lang w:val="es-CO"/>
        </w:rPr>
      </w:pPr>
      <w:r>
        <w:rPr>
          <w:b/>
        </w:rPr>
        <w:t>I. Pérez Pupo</w:t>
      </w:r>
      <w:r>
        <w:rPr/>
        <w:t xml:space="preserve">, Acosta, Vacacela, </w:t>
      </w:r>
      <w:r>
        <w:rPr>
          <w:color w:val="00000A"/>
          <w:lang w:val="es-CO"/>
        </w:rPr>
        <w:t>Piñero</w:t>
      </w:r>
      <w:r>
        <w:rPr/>
        <w:t xml:space="preserve"> &amp; Ramírez. “Descubrimiento de resúmenes lingüísticos para ayuda a la toma decisiones en gestión de proyectos”. </w:t>
      </w:r>
      <w:r>
        <w:rPr>
          <w:i/>
          <w:iCs/>
        </w:rPr>
        <w:t>Revista Cubana de Ciencias Informáticas</w:t>
      </w:r>
      <w:r>
        <w:rPr/>
        <w:t xml:space="preserve">, ISSN: 2227-1899, vol. 12, pp. 163–175, 2018. </w:t>
      </w:r>
      <w:r>
        <w:rPr>
          <w:lang w:val="es-CO"/>
        </w:rPr>
        <w:t>(SCIELO)</w:t>
      </w:r>
    </w:p>
    <w:p>
      <w:pPr>
        <w:pStyle w:val="TDNormalLista"/>
        <w:numPr>
          <w:ilvl w:val="0"/>
          <w:numId w:val="50"/>
        </w:numPr>
        <w:rPr>
          <w:lang w:val="en-US"/>
        </w:rPr>
      </w:pPr>
      <w:r>
        <w:rPr>
          <w:b/>
        </w:rPr>
        <w:t>I. Pérez Pupo</w:t>
      </w:r>
      <w:r>
        <w:rPr/>
        <w:t xml:space="preserve">, Piñero, Vacacela, Bello, Santos &amp; Leyva. </w:t>
      </w:r>
      <w:r>
        <w:rPr>
          <w:lang w:val="en-US"/>
        </w:rPr>
        <w:t xml:space="preserve">“Extensions to Linguistic Summaries Indicators based on Neutrosophic Theory, Applications in Project Management Decisions”. </w:t>
      </w:r>
      <w:r>
        <w:rPr>
          <w:i/>
          <w:iCs/>
          <w:lang w:val="en-US"/>
        </w:rPr>
        <w:t>Neutrosophic Sets and Systems</w:t>
      </w:r>
      <w:r>
        <w:rPr>
          <w:lang w:val="en-US"/>
        </w:rPr>
        <w:t xml:space="preserve">, ISSN: 2331-6055, vol. 22, pp. 87–100, ISBN: 978-1-59973-587-0, 2018. (COPERNICUS) </w:t>
      </w:r>
      <w:r>
        <w:rPr>
          <w:color w:val="00000A"/>
          <w:lang w:val="en-US"/>
        </w:rPr>
        <w:t>(SCOPUS)</w:t>
      </w:r>
    </w:p>
    <w:p>
      <w:pPr>
        <w:pStyle w:val="TDNormalLista"/>
        <w:ind w:firstLine="360"/>
        <w:rPr/>
      </w:pPr>
      <w:r>
        <w:rPr/>
        <w:t>Otras publicaciones en revistas o libros relevantes para la investigación</w:t>
      </w:r>
    </w:p>
    <w:p>
      <w:pPr>
        <w:pStyle w:val="TDNormalLista"/>
        <w:numPr>
          <w:ilvl w:val="0"/>
          <w:numId w:val="50"/>
        </w:numPr>
        <w:rPr>
          <w:color w:val="00000A"/>
          <w:lang w:val="es-CO"/>
        </w:rPr>
      </w:pPr>
      <w:r>
        <w:rPr>
          <w:color w:val="00000A"/>
          <w:lang w:val="es-CO"/>
        </w:rPr>
        <w:t xml:space="preserve">Piñero, </w:t>
      </w:r>
      <w:r>
        <w:rPr>
          <w:b/>
          <w:color w:val="00000A"/>
          <w:lang w:val="es-CO"/>
        </w:rPr>
        <w:t>I. Pérez Pupo</w:t>
      </w:r>
      <w:r>
        <w:rPr>
          <w:color w:val="00000A"/>
          <w:lang w:val="es-CO"/>
        </w:rPr>
        <w:t xml:space="preserve">, Vacacela </w:t>
      </w:r>
      <w:r>
        <w:rPr>
          <w:color w:val="00000A"/>
        </w:rPr>
        <w:t xml:space="preserve">&amp; </w:t>
      </w:r>
      <w:r>
        <w:rPr>
          <w:color w:val="00000A"/>
          <w:lang w:val="es-CO"/>
        </w:rPr>
        <w:t>Toscanini. “Caracterización de los estándares de gestión de proyectos y su impacto en la gestión económico financiera de las organizaciones orientadas a proyectos”. Guayaquil, Ecuador: Universidad Católica de Santiago de Guayaquil, (Book) ISBN: 978-9942-82-514-8, 2020.</w:t>
      </w:r>
    </w:p>
    <w:p>
      <w:pPr>
        <w:pStyle w:val="ListParagraph"/>
        <w:numPr>
          <w:ilvl w:val="0"/>
          <w:numId w:val="50"/>
        </w:numPr>
        <w:rPr/>
      </w:pPr>
      <w:r>
        <w:rPr>
          <w:b/>
          <w:lang w:val="es-ES"/>
        </w:rPr>
        <w:t xml:space="preserve">I. </w:t>
      </w:r>
      <w:r>
        <w:rPr>
          <w:b/>
        </w:rPr>
        <w:t>Pérez Pupo,</w:t>
      </w:r>
      <w:r>
        <w:rPr>
          <w:b/>
          <w:lang w:val="es-ES"/>
        </w:rPr>
        <w:t xml:space="preserve"> </w:t>
      </w:r>
      <w:r>
        <w:rPr/>
        <w:t xml:space="preserve">Piñero, </w:t>
      </w:r>
      <w:r>
        <w:rPr>
          <w:lang w:val="es-ES"/>
        </w:rPr>
        <w:t>M</w:t>
      </w:r>
      <w:r>
        <w:rPr/>
        <w:t xml:space="preserve">artín &amp; Bello. </w:t>
      </w:r>
      <w:r>
        <w:rPr>
          <w:lang w:val="es-ES"/>
        </w:rPr>
        <w:t>“</w:t>
      </w:r>
      <w:r>
        <w:rPr/>
        <w:t>Tendencias en la sumarización lingüística de datos</w:t>
      </w:r>
      <w:r>
        <w:rPr>
          <w:lang w:val="es-ES"/>
        </w:rPr>
        <w:t>”</w:t>
      </w:r>
      <w:r>
        <w:rPr/>
        <w:t xml:space="preserve">. </w:t>
      </w:r>
      <w:r>
        <w:rPr>
          <w:i/>
          <w:iCs/>
        </w:rPr>
        <w:t>Revista Cubana de Transformación Digital</w:t>
      </w:r>
      <w:r>
        <w:rPr/>
        <w:t>, 2(1), 79–101, 2021.</w:t>
      </w:r>
    </w:p>
    <w:p>
      <w:pPr>
        <w:pStyle w:val="TDNormalLista"/>
        <w:ind w:firstLine="360"/>
        <w:rPr/>
      </w:pPr>
      <w:r>
        <w:rPr/>
        <w:t>Publicaciones en eventos</w:t>
      </w:r>
    </w:p>
    <w:p>
      <w:pPr>
        <w:pStyle w:val="TDNormalLista"/>
        <w:numPr>
          <w:ilvl w:val="0"/>
          <w:numId w:val="50"/>
        </w:numPr>
        <w:rPr/>
      </w:pPr>
      <w:r>
        <w:rPr>
          <w:b/>
        </w:rPr>
        <w:t xml:space="preserve">I. Pérez Pupo, </w:t>
      </w:r>
      <w:r>
        <w:rPr/>
        <w:t xml:space="preserve">Villavicencio, Piñero, Vacacela &amp; García. “Proerp, ecosistema de software para la toma de decisiones en gestión de proyectos”. (Book Section) in </w:t>
      </w:r>
      <w:r>
        <w:rPr>
          <w:i/>
          <w:iCs/>
        </w:rPr>
        <w:t>Experiencias Iberoamericanas de Ingeniería de Proyectos</w:t>
      </w:r>
      <w:r>
        <w:rPr/>
        <w:t>, Ecuador: Universidad Católica de Santiago de Guayaquil, pp. 832–845, ISBN: 978-9942-82-511-7, 2020.</w:t>
      </w:r>
    </w:p>
    <w:p>
      <w:pPr>
        <w:pStyle w:val="TDNormalLista"/>
        <w:numPr>
          <w:ilvl w:val="0"/>
          <w:numId w:val="50"/>
        </w:numPr>
        <w:rPr>
          <w:lang w:val="en-US"/>
        </w:rPr>
      </w:pPr>
      <w:r>
        <w:rPr>
          <w:b/>
        </w:rPr>
        <w:t xml:space="preserve">I. Pérez Pupo, </w:t>
      </w:r>
      <w:r>
        <w:rPr/>
        <w:t xml:space="preserve">Santos, Bello &amp; Piñero. </w:t>
      </w:r>
      <w:r>
        <w:rPr>
          <w:lang w:val="en-US"/>
        </w:rPr>
        <w:t xml:space="preserve">“Algorithms for linguistic data summarization, help in decision-making in project-oriented organizations”. In </w:t>
      </w:r>
      <w:r>
        <w:rPr>
          <w:i/>
          <w:iCs/>
          <w:lang w:val="en-US"/>
        </w:rPr>
        <w:t>XXII Ibero-American Conference on Software Engineering</w:t>
      </w:r>
      <w:r>
        <w:rPr>
          <w:lang w:val="en-US"/>
        </w:rPr>
        <w:t>, CIbSE 2019, pp. 633–640, Springer, 2019. (SCOPUS)</w:t>
      </w:r>
    </w:p>
    <w:p>
      <w:pPr>
        <w:pStyle w:val="TDNormalLista"/>
        <w:numPr>
          <w:ilvl w:val="0"/>
          <w:numId w:val="50"/>
        </w:numPr>
        <w:rPr>
          <w:lang w:val="es-CO"/>
        </w:rPr>
      </w:pPr>
      <w:r>
        <w:rPr>
          <w:b/>
          <w:lang w:val="es-CO"/>
        </w:rPr>
        <w:t>I. Pérez Pupo</w:t>
      </w:r>
      <w:r>
        <w:rPr>
          <w:lang w:val="es-CO"/>
        </w:rPr>
        <w:t xml:space="preserve">, Piñero, Bello, Vacacela, et al. “Aplicaciones de la sumarización lingüística de datos en la toma de decisiones en gestión de proyectos”. In </w:t>
      </w:r>
      <w:r>
        <w:rPr>
          <w:i/>
          <w:iCs/>
          <w:lang w:val="es-CO"/>
        </w:rPr>
        <w:t>V Conferencia Internacional en Ciencias Computacionales e Informáticas</w:t>
      </w:r>
      <w:r>
        <w:rPr>
          <w:lang w:val="es-CO"/>
        </w:rPr>
        <w:t xml:space="preserve"> (CICCI’ 2020). Informática CICCI´2020.</w:t>
      </w:r>
    </w:p>
    <w:p>
      <w:pPr>
        <w:pStyle w:val="TDNormalLista"/>
        <w:numPr>
          <w:ilvl w:val="0"/>
          <w:numId w:val="50"/>
        </w:numPr>
        <w:rPr/>
      </w:pPr>
      <w:r>
        <w:rPr>
          <w:b/>
        </w:rPr>
        <w:t>I. Pérez Pupo,</w:t>
      </w:r>
      <w:r>
        <w:rPr/>
        <w:t xml:space="preserve"> Piñero. “Ecosistema de software inteligente para la toma de decisiones en gestión de proyectos”, en </w:t>
      </w:r>
      <w:r>
        <w:rPr>
          <w:i/>
          <w:iCs/>
        </w:rPr>
        <w:t xml:space="preserve">IX Congreso Iberoamericano de Ingeniería de Proyecto, CIIP´2019, </w:t>
      </w:r>
      <w:r>
        <w:rPr>
          <w:iCs/>
        </w:rPr>
        <w:t xml:space="preserve">Guayaquil, Ecuador, 27-29 noviembre, </w:t>
      </w:r>
      <w:r>
        <w:rPr/>
        <w:t xml:space="preserve">2019. </w:t>
      </w:r>
    </w:p>
    <w:p>
      <w:pPr>
        <w:pStyle w:val="TDNormalLista"/>
        <w:numPr>
          <w:ilvl w:val="0"/>
          <w:numId w:val="50"/>
        </w:numPr>
        <w:rPr/>
      </w:pPr>
      <w:r>
        <w:rPr/>
        <w:t xml:space="preserve">Hechavarría, </w:t>
      </w:r>
      <w:r>
        <w:rPr>
          <w:b/>
        </w:rPr>
        <w:t>I. Pérez Pupo</w:t>
      </w:r>
      <w:r>
        <w:rPr/>
        <w:t xml:space="preserve">, Piñero &amp; Huergo. “Proceso de limpieza de datos en la construcción del repositorio para investigaciones en gestión de proyectos”. In </w:t>
      </w:r>
      <w:r>
        <w:rPr>
          <w:i/>
          <w:iCs/>
        </w:rPr>
        <w:t xml:space="preserve">IV Conferencia Internacional en Ciencias Computacionales e Informática </w:t>
      </w:r>
      <w:r>
        <w:rPr/>
        <w:t>(</w:t>
      </w:r>
      <w:r>
        <w:rPr>
          <w:lang w:val="es-CO"/>
        </w:rPr>
        <w:t>CICCI’ 2018)</w:t>
      </w:r>
      <w:r>
        <w:rPr/>
        <w:t>, La Habana, Cuba, pp. 24–26, 2018.</w:t>
      </w:r>
    </w:p>
    <w:p>
      <w:pPr>
        <w:pStyle w:val="Heading2"/>
        <w:numPr>
          <w:ilvl w:val="1"/>
          <w:numId w:val="80"/>
        </w:numPr>
        <w:rPr/>
      </w:pPr>
      <w:bookmarkStart w:id="3731" w:name="_Ref70268586"/>
      <w:bookmarkStart w:id="3732" w:name="_Toc84598956"/>
      <w:bookmarkStart w:id="3733" w:name="_Ref70268640"/>
      <w:r>
        <w:rPr/>
        <w:t xml:space="preserve">Anexo </w:t>
      </w:r>
      <w:r>
        <w:rPr/>
        <w:fldChar w:fldCharType="begin"/>
      </w:r>
      <w:r>
        <w:instrText> SEQ Anexo \* ARABIC </w:instrText>
      </w:r>
      <w:r>
        <w:fldChar w:fldCharType="separate"/>
      </w:r>
      <w:r>
        <w:t>2</w:t>
      </w:r>
      <w:r>
        <w:fldChar w:fldCharType="end"/>
      </w:r>
      <w:bookmarkEnd w:id="3733"/>
      <w:r>
        <w:rPr/>
        <w:t xml:space="preserve">. </w:t>
      </w:r>
      <w:r>
        <w:rPr>
          <w:lang w:val="en-US"/>
        </w:rPr>
        <w:t>Protocolo de revisión sistemática aplicado</w:t>
      </w:r>
      <w:bookmarkEnd w:id="3731"/>
      <w:bookmarkEnd w:id="3732"/>
      <w:r>
        <w:rPr/>
        <w:t xml:space="preserve"> </w:t>
      </w:r>
    </w:p>
    <w:p>
      <w:pPr>
        <w:pStyle w:val="Normal"/>
        <w:rPr>
          <w:szCs w:val="24"/>
          <w:lang w:val="en-US"/>
        </w:rPr>
      </w:pPr>
      <w:r>
        <w:rPr>
          <w:szCs w:val="24"/>
          <w:lang w:val="en-US"/>
        </w:rPr>
        <w:t>Protocolo de revisión sistemática aplicado en la construcción del marco teórico referencial:</w:t>
      </w:r>
    </w:p>
    <w:p>
      <w:pPr>
        <w:pStyle w:val="ListParagraph"/>
        <w:numPr>
          <w:ilvl w:val="0"/>
          <w:numId w:val="22"/>
        </w:numPr>
        <w:suppressAutoHyphens w:val="false"/>
        <w:overflowPunct w:val="true"/>
        <w:spacing w:before="0" w:after="0"/>
        <w:contextualSpacing/>
        <w:textAlignment w:val="auto"/>
        <w:rPr>
          <w:rFonts w:cs="Arial"/>
          <w:lang w:val="es-ES" w:eastAsia="ja-JP"/>
        </w:rPr>
      </w:pPr>
      <w:r>
        <w:rPr>
          <w:rFonts w:cs="Arial"/>
          <w:lang w:val="es-ES" w:eastAsia="ja-JP"/>
        </w:rPr>
        <w:t>Definición del objeto de estudio, campo de acción y objetivo de la investigación.</w:t>
      </w:r>
    </w:p>
    <w:p>
      <w:pPr>
        <w:pStyle w:val="TDNormal"/>
        <w:numPr>
          <w:ilvl w:val="1"/>
          <w:numId w:val="22"/>
        </w:numPr>
        <w:suppressAutoHyphens w:val="false"/>
        <w:overflowPunct w:val="true"/>
        <w:spacing w:before="0" w:after="0"/>
        <w:textAlignment w:val="auto"/>
        <w:rPr>
          <w:rFonts w:eastAsia="Calibri" w:eastAsiaTheme="minorHAnsi"/>
          <w:color w:val="00000A"/>
          <w:lang w:eastAsia="en-US"/>
        </w:rPr>
      </w:pPr>
      <w:r>
        <w:rPr>
          <w:rFonts w:eastAsia="Calibri" w:eastAsiaTheme="minorHAnsi"/>
          <w:color w:val="00000A"/>
          <w:lang w:eastAsia="en-US"/>
        </w:rPr>
        <w:t>Objeto de investigación: sumarización lingüística de datos</w:t>
      </w:r>
    </w:p>
    <w:p>
      <w:pPr>
        <w:pStyle w:val="ListParagraph"/>
        <w:numPr>
          <w:ilvl w:val="1"/>
          <w:numId w:val="22"/>
        </w:numPr>
        <w:suppressAutoHyphens w:val="false"/>
        <w:overflowPunct w:val="true"/>
        <w:spacing w:before="0" w:after="0"/>
        <w:contextualSpacing/>
        <w:textAlignment w:val="auto"/>
        <w:rPr>
          <w:rFonts w:cs="Arial"/>
        </w:rPr>
      </w:pPr>
      <w:r>
        <w:rPr>
          <w:rFonts w:cs="Arial"/>
        </w:rPr>
        <w:t>Objetivo general: Desarrollar nuevos algoritmos para mejorar la eficacia en la generación y evaluación de resúmenes lingüísticos de datos respecto al tratamiento de la indeterminación, la interpretabilidad y su aplicabilidad en la toma de decisiones bajo un enfoque multilingüe.</w:t>
      </w:r>
    </w:p>
    <w:p>
      <w:pPr>
        <w:pStyle w:val="ListParagraph"/>
        <w:numPr>
          <w:ilvl w:val="1"/>
          <w:numId w:val="22"/>
        </w:numPr>
        <w:suppressAutoHyphens w:val="false"/>
        <w:overflowPunct w:val="true"/>
        <w:spacing w:before="0" w:after="0"/>
        <w:contextualSpacing/>
        <w:textAlignment w:val="auto"/>
        <w:rPr>
          <w:rFonts w:cs="Arial"/>
          <w:szCs w:val="24"/>
          <w:lang w:val="en-US"/>
        </w:rPr>
      </w:pPr>
      <w:r>
        <w:rPr>
          <w:rFonts w:cs="Arial"/>
        </w:rPr>
        <w:t xml:space="preserve">Campo de investigación: </w:t>
      </w:r>
      <w:r>
        <w:rPr/>
        <w:t>algoritmos para la generación y evaluación de resúmenes lingüísticos de datos.</w:t>
      </w:r>
    </w:p>
    <w:p>
      <w:pPr>
        <w:pStyle w:val="ListParagraph"/>
        <w:numPr>
          <w:ilvl w:val="0"/>
          <w:numId w:val="22"/>
        </w:numPr>
        <w:suppressAutoHyphens w:val="false"/>
        <w:overflowPunct w:val="true"/>
        <w:spacing w:before="0" w:after="0"/>
        <w:contextualSpacing/>
        <w:textAlignment w:val="auto"/>
        <w:rPr>
          <w:rFonts w:cs="Arial"/>
          <w:lang w:val="es-ES" w:eastAsia="ja-JP"/>
        </w:rPr>
      </w:pPr>
      <w:r>
        <w:rPr>
          <w:rFonts w:cs="Arial"/>
          <w:lang w:val="es-ES" w:eastAsia="ja-JP"/>
        </w:rPr>
        <w:t>Definición de un gestor bibliográfico: zotero.</w:t>
      </w:r>
    </w:p>
    <w:p>
      <w:pPr>
        <w:pStyle w:val="ListParagraph"/>
        <w:numPr>
          <w:ilvl w:val="0"/>
          <w:numId w:val="22"/>
        </w:numPr>
        <w:suppressAutoHyphens w:val="false"/>
        <w:overflowPunct w:val="true"/>
        <w:spacing w:before="0" w:after="0"/>
        <w:contextualSpacing/>
        <w:textAlignment w:val="auto"/>
        <w:rPr>
          <w:rFonts w:cs="Arial"/>
          <w:lang w:val="es-ES" w:eastAsia="ja-JP"/>
        </w:rPr>
      </w:pPr>
      <w:r>
        <w:rPr>
          <w:rFonts w:cs="Arial"/>
          <w:lang w:val="es-ES" w:eastAsia="ja-JP"/>
        </w:rPr>
        <w:t xml:space="preserve">Definición de fuentes de información académica para el desarrollo de </w:t>
      </w:r>
      <w:r>
        <w:rPr>
          <w:rFonts w:cs="Arial"/>
        </w:rPr>
        <w:t>la revisión: “</w:t>
      </w:r>
      <w:r>
        <w:rPr>
          <w:rFonts w:cs="Arial"/>
          <w:i/>
        </w:rPr>
        <w:t>Semantic Scholar</w:t>
      </w:r>
      <w:r>
        <w:rPr>
          <w:rFonts w:cs="Arial"/>
        </w:rPr>
        <w:t>”, “</w:t>
      </w:r>
      <w:r>
        <w:rPr>
          <w:rFonts w:cs="Arial"/>
          <w:i/>
        </w:rPr>
        <w:t>Google Scholar</w:t>
      </w:r>
      <w:r>
        <w:rPr>
          <w:rFonts w:cs="Arial"/>
        </w:rPr>
        <w:t>”</w:t>
      </w:r>
      <w:r>
        <w:rPr>
          <w:rFonts w:cs="Arial"/>
          <w:lang w:val="es-ES"/>
        </w:rPr>
        <w:t>,</w:t>
      </w:r>
      <w:r>
        <w:rPr>
          <w:rFonts w:cs="Arial"/>
        </w:rPr>
        <w:t xml:space="preserve"> “</w:t>
      </w:r>
      <w:r>
        <w:rPr>
          <w:rFonts w:cs="Arial"/>
          <w:i/>
        </w:rPr>
        <w:t>Scopus</w:t>
      </w:r>
      <w:r>
        <w:rPr>
          <w:rFonts w:cs="Arial"/>
        </w:rPr>
        <w:t xml:space="preserve">” y </w:t>
      </w:r>
      <w:r>
        <w:rPr>
          <w:rFonts w:cs="Arial"/>
          <w:lang w:val="es-ES" w:eastAsia="ja-JP"/>
        </w:rPr>
        <w:t>otros meta-buscadores académicos basados en ciencia abierta.</w:t>
      </w:r>
    </w:p>
    <w:p>
      <w:pPr>
        <w:pStyle w:val="ListParagraph"/>
        <w:numPr>
          <w:ilvl w:val="0"/>
          <w:numId w:val="22"/>
        </w:numPr>
        <w:suppressAutoHyphens w:val="false"/>
        <w:overflowPunct w:val="true"/>
        <w:spacing w:before="0" w:after="0"/>
        <w:contextualSpacing/>
        <w:textAlignment w:val="auto"/>
        <w:rPr>
          <w:rFonts w:cs="Arial"/>
          <w:lang w:val="es-ES" w:eastAsia="ja-JP"/>
        </w:rPr>
      </w:pPr>
      <w:r>
        <w:rPr>
          <w:rFonts w:cs="Arial"/>
          <w:lang w:val="es-ES" w:eastAsia="ja-JP"/>
        </w:rPr>
        <w:t>Definición de frases claves para la realización de las búsquedas: “linguistic data summarization”, “linguistic data summaries”, “linguistic summarization”, “linguistic summaries”; también la combinación de éstas con “review”, “applied”.</w:t>
      </w:r>
    </w:p>
    <w:p>
      <w:pPr>
        <w:pStyle w:val="ListParagraph"/>
        <w:numPr>
          <w:ilvl w:val="0"/>
          <w:numId w:val="22"/>
        </w:numPr>
        <w:suppressAutoHyphens w:val="false"/>
        <w:overflowPunct w:val="true"/>
        <w:spacing w:before="0" w:after="0"/>
        <w:contextualSpacing/>
        <w:textAlignment w:val="auto"/>
        <w:rPr>
          <w:rFonts w:cs="Arial"/>
          <w:lang w:val="es-ES" w:eastAsia="ja-JP"/>
        </w:rPr>
      </w:pPr>
      <w:r>
        <w:rPr>
          <w:rFonts w:cs="Arial"/>
          <w:lang w:val="es-ES" w:eastAsia="ja-JP"/>
        </w:rPr>
        <w:t>Definición de las metas del análisis bibliométrico en forma de preguntas de investigación y criterios de inclusión – exclusión:</w:t>
      </w:r>
    </w:p>
    <w:p>
      <w:pPr>
        <w:pStyle w:val="ListParagraph"/>
        <w:numPr>
          <w:ilvl w:val="1"/>
          <w:numId w:val="22"/>
        </w:numPr>
        <w:suppressAutoHyphens w:val="false"/>
        <w:overflowPunct w:val="true"/>
        <w:spacing w:before="0" w:after="0"/>
        <w:ind w:left="1276" w:hanging="360"/>
        <w:contextualSpacing/>
        <w:textAlignment w:val="auto"/>
        <w:rPr>
          <w:lang w:eastAsia="ja-JP"/>
        </w:rPr>
      </w:pPr>
      <w:r>
        <w:rPr>
          <w:lang w:eastAsia="ja-JP"/>
        </w:rPr>
        <w:t>¿Cómo ha sido la tendencia de las publicaciones por año?</w:t>
      </w:r>
    </w:p>
    <w:p>
      <w:pPr>
        <w:pStyle w:val="ListParagraph"/>
        <w:numPr>
          <w:ilvl w:val="1"/>
          <w:numId w:val="22"/>
        </w:numPr>
        <w:suppressAutoHyphens w:val="false"/>
        <w:overflowPunct w:val="true"/>
        <w:spacing w:before="0" w:after="0"/>
        <w:ind w:left="1276" w:hanging="360"/>
        <w:contextualSpacing/>
        <w:textAlignment w:val="auto"/>
        <w:rPr>
          <w:lang w:eastAsia="ja-JP"/>
        </w:rPr>
      </w:pPr>
      <w:r>
        <w:rPr>
          <w:lang w:eastAsia="ja-JP"/>
        </w:rPr>
        <w:t>¿Cuáles son los principales autores?</w:t>
      </w:r>
    </w:p>
    <w:p>
      <w:pPr>
        <w:pStyle w:val="ListParagraph"/>
        <w:numPr>
          <w:ilvl w:val="1"/>
          <w:numId w:val="22"/>
        </w:numPr>
        <w:suppressAutoHyphens w:val="false"/>
        <w:overflowPunct w:val="true"/>
        <w:spacing w:before="0" w:after="0"/>
        <w:ind w:left="1276" w:hanging="360"/>
        <w:contextualSpacing/>
        <w:textAlignment w:val="auto"/>
        <w:rPr>
          <w:lang w:eastAsia="ja-JP"/>
        </w:rPr>
      </w:pPr>
      <w:r>
        <w:rPr>
          <w:lang w:eastAsia="ja-JP"/>
        </w:rPr>
        <w:t>¿Cuáles son las afiliaciones y países de los principales autores?</w:t>
      </w:r>
    </w:p>
    <w:p>
      <w:pPr>
        <w:pStyle w:val="ListParagraph"/>
        <w:numPr>
          <w:ilvl w:val="1"/>
          <w:numId w:val="22"/>
        </w:numPr>
        <w:suppressAutoHyphens w:val="false"/>
        <w:overflowPunct w:val="true"/>
        <w:spacing w:before="0" w:after="0"/>
        <w:ind w:left="1276" w:hanging="360"/>
        <w:contextualSpacing/>
        <w:textAlignment w:val="auto"/>
        <w:rPr>
          <w:lang w:eastAsia="ja-JP"/>
        </w:rPr>
      </w:pPr>
      <w:r>
        <w:rPr>
          <w:lang w:eastAsia="ja-JP"/>
        </w:rPr>
        <w:t>¿Cómo se distribuyen las publicaciones considerando los tipos de documentos en: artículos, libros, tesis y memorias de conferencias o congresos?</w:t>
      </w:r>
    </w:p>
    <w:p>
      <w:pPr>
        <w:pStyle w:val="ListParagraph"/>
        <w:numPr>
          <w:ilvl w:val="1"/>
          <w:numId w:val="22"/>
        </w:numPr>
        <w:suppressAutoHyphens w:val="false"/>
        <w:overflowPunct w:val="true"/>
        <w:spacing w:before="0" w:after="0"/>
        <w:ind w:left="1276" w:hanging="360"/>
        <w:contextualSpacing/>
        <w:textAlignment w:val="auto"/>
        <w:rPr>
          <w:lang w:eastAsia="ja-JP"/>
        </w:rPr>
      </w:pPr>
      <w:r>
        <w:rPr>
          <w:lang w:eastAsia="ja-JP"/>
        </w:rPr>
        <w:t xml:space="preserve">Exclusión de trabajos publicados en espacios con poco nivel de arbitraje. </w:t>
      </w:r>
    </w:p>
    <w:p>
      <w:pPr>
        <w:pStyle w:val="ListParagraph"/>
        <w:numPr>
          <w:ilvl w:val="1"/>
          <w:numId w:val="22"/>
        </w:numPr>
        <w:suppressAutoHyphens w:val="false"/>
        <w:overflowPunct w:val="true"/>
        <w:spacing w:before="0" w:after="0"/>
        <w:ind w:left="1276" w:hanging="360"/>
        <w:contextualSpacing/>
        <w:textAlignment w:val="auto"/>
        <w:rPr>
          <w:rFonts w:cs="Arial"/>
          <w:lang w:val="es-ES" w:eastAsia="ja-JP"/>
        </w:rPr>
      </w:pPr>
      <w:r>
        <w:rPr>
          <w:lang w:eastAsia="ja-JP"/>
        </w:rPr>
        <w:t>Exclusión de trabajos de minería de textos no asociados al uso de técnicas de sumarización lingüística de datos.</w:t>
      </w:r>
    </w:p>
    <w:p>
      <w:pPr>
        <w:pStyle w:val="ListParagraph"/>
        <w:numPr>
          <w:ilvl w:val="0"/>
          <w:numId w:val="22"/>
        </w:numPr>
        <w:suppressAutoHyphens w:val="false"/>
        <w:overflowPunct w:val="true"/>
        <w:spacing w:before="0" w:after="0"/>
        <w:contextualSpacing/>
        <w:textAlignment w:val="auto"/>
        <w:rPr>
          <w:rFonts w:cs="Arial"/>
          <w:lang w:val="es-ES" w:eastAsia="ja-JP"/>
        </w:rPr>
      </w:pPr>
      <w:r>
        <w:rPr>
          <w:rFonts w:cs="Arial"/>
          <w:lang w:val="es-ES" w:eastAsia="ja-JP"/>
        </w:rPr>
        <w:t xml:space="preserve">Clasificar y filtrar las publicaciones en el siguiente conjunto de categorías: </w:t>
      </w:r>
    </w:p>
    <w:p>
      <w:pPr>
        <w:pStyle w:val="ListParagraph"/>
        <w:numPr>
          <w:ilvl w:val="1"/>
          <w:numId w:val="51"/>
        </w:numPr>
        <w:suppressAutoHyphens w:val="false"/>
        <w:overflowPunct w:val="true"/>
        <w:spacing w:before="0" w:after="0"/>
        <w:ind w:left="1134" w:hanging="360"/>
        <w:contextualSpacing/>
        <w:textAlignment w:val="auto"/>
        <w:rPr>
          <w:lang w:eastAsia="ja-JP"/>
        </w:rPr>
      </w:pPr>
      <w:r>
        <w:rPr>
          <w:lang w:eastAsia="ja-JP"/>
        </w:rPr>
        <w:t>Clásicas: se refiere a publicaciones pioneras en sumarización lingüística de datos, donde se exponen los principios fundamentales que marcan pa</w:t>
      </w:r>
      <w:r>
        <w:rPr>
          <w:lang w:val="es-ES" w:eastAsia="ja-JP"/>
        </w:rPr>
        <w:t>u</w:t>
      </w:r>
      <w:r>
        <w:rPr>
          <w:lang w:eastAsia="ja-JP"/>
        </w:rPr>
        <w:t xml:space="preserve">tas en la teoría. </w:t>
      </w:r>
    </w:p>
    <w:p>
      <w:pPr>
        <w:pStyle w:val="ListParagraph"/>
        <w:numPr>
          <w:ilvl w:val="1"/>
          <w:numId w:val="51"/>
        </w:numPr>
        <w:suppressAutoHyphens w:val="false"/>
        <w:overflowPunct w:val="true"/>
        <w:spacing w:before="0" w:after="0"/>
        <w:ind w:left="1134" w:hanging="360"/>
        <w:contextualSpacing/>
        <w:textAlignment w:val="auto"/>
        <w:rPr>
          <w:lang w:eastAsia="ja-JP"/>
        </w:rPr>
      </w:pPr>
      <w:r>
        <w:rPr>
          <w:lang w:eastAsia="ja-JP"/>
        </w:rPr>
        <w:t xml:space="preserve">Extensiones a las teorías: se refiere a publicaciones que extienden la teoría planteada en las publicaciones entendidas como clásicas, no marcan pautas que cambien significativamente los métodos propuestos con anterioridad, aunque si desarrollan aportes al conocimiento. </w:t>
      </w:r>
    </w:p>
    <w:p>
      <w:pPr>
        <w:pStyle w:val="ListParagraph"/>
        <w:numPr>
          <w:ilvl w:val="1"/>
          <w:numId w:val="51"/>
        </w:numPr>
        <w:suppressAutoHyphens w:val="false"/>
        <w:overflowPunct w:val="true"/>
        <w:spacing w:before="0" w:after="0"/>
        <w:ind w:left="1134" w:hanging="360"/>
        <w:contextualSpacing/>
        <w:textAlignment w:val="auto"/>
        <w:rPr>
          <w:lang w:eastAsia="ja-JP"/>
        </w:rPr>
      </w:pPr>
      <w:r>
        <w:rPr>
          <w:lang w:eastAsia="ja-JP"/>
        </w:rPr>
        <w:t>Resultados de aplicación: publicaciones que se concentran en el empleo de la teoría existente en escenarios prácticos concretos.</w:t>
      </w:r>
    </w:p>
    <w:p>
      <w:pPr>
        <w:pStyle w:val="ListParagraph"/>
        <w:numPr>
          <w:ilvl w:val="1"/>
          <w:numId w:val="51"/>
        </w:numPr>
        <w:suppressAutoHyphens w:val="false"/>
        <w:overflowPunct w:val="true"/>
        <w:spacing w:before="0" w:after="0"/>
        <w:ind w:left="1134" w:hanging="360"/>
        <w:contextualSpacing/>
        <w:textAlignment w:val="auto"/>
        <w:rPr>
          <w:lang w:eastAsia="ja-JP"/>
        </w:rPr>
      </w:pPr>
      <w:r>
        <w:rPr>
          <w:lang w:eastAsia="ja-JP"/>
        </w:rPr>
        <w:t>Revisiones terciarias: se refiere a artículos de revisión de las tendencias y la evolución en la temática en cuestión.</w:t>
      </w:r>
    </w:p>
    <w:p>
      <w:pPr>
        <w:pStyle w:val="ListParagraph"/>
        <w:numPr>
          <w:ilvl w:val="0"/>
          <w:numId w:val="22"/>
        </w:numPr>
        <w:suppressAutoHyphens w:val="false"/>
        <w:overflowPunct w:val="true"/>
        <w:spacing w:before="0" w:after="0"/>
        <w:contextualSpacing/>
        <w:textAlignment w:val="auto"/>
        <w:rPr>
          <w:rFonts w:cs="Arial"/>
          <w:lang w:val="es-ES" w:eastAsia="ja-JP"/>
        </w:rPr>
      </w:pPr>
      <w:r>
        <w:rPr>
          <w:rFonts w:cs="Arial"/>
          <w:lang w:val="es-ES" w:eastAsia="ja-JP"/>
        </w:rPr>
        <w:t>Sintetizar las principales tendencias.</w:t>
      </w:r>
    </w:p>
    <w:p>
      <w:pPr>
        <w:pStyle w:val="ListParagraph"/>
        <w:numPr>
          <w:ilvl w:val="0"/>
          <w:numId w:val="22"/>
        </w:numPr>
        <w:suppressAutoHyphens w:val="false"/>
        <w:overflowPunct w:val="true"/>
        <w:spacing w:before="0" w:after="0"/>
        <w:contextualSpacing/>
        <w:textAlignment w:val="auto"/>
        <w:rPr>
          <w:lang w:eastAsia="ja-JP"/>
        </w:rPr>
      </w:pPr>
      <w:r>
        <w:rPr>
          <w:lang w:val="es-ES" w:eastAsia="ja-JP"/>
        </w:rPr>
        <w:t>R</w:t>
      </w:r>
      <w:r>
        <w:rPr>
          <w:lang w:eastAsia="ja-JP"/>
        </w:rPr>
        <w:t>ealiza</w:t>
      </w:r>
      <w:r>
        <w:rPr>
          <w:lang w:val="es-ES" w:eastAsia="ja-JP"/>
        </w:rPr>
        <w:t>r</w:t>
      </w:r>
      <w:r>
        <w:rPr>
          <w:lang w:eastAsia="ja-JP"/>
        </w:rPr>
        <w:t xml:space="preserve"> análisis detallado de cada uno de los trabajos y caracteriza</w:t>
      </w:r>
      <w:r>
        <w:rPr>
          <w:lang w:val="es-ES" w:eastAsia="ja-JP"/>
        </w:rPr>
        <w:t>rlos</w:t>
      </w:r>
      <w:r>
        <w:rPr>
          <w:lang w:eastAsia="ja-JP"/>
        </w:rPr>
        <w:t xml:space="preserve"> respecto a: </w:t>
      </w:r>
    </w:p>
    <w:p>
      <w:pPr>
        <w:pStyle w:val="ListParagraph"/>
        <w:numPr>
          <w:ilvl w:val="1"/>
          <w:numId w:val="51"/>
        </w:numPr>
        <w:suppressAutoHyphens w:val="false"/>
        <w:overflowPunct w:val="true"/>
        <w:spacing w:before="0" w:after="0"/>
        <w:ind w:left="1134" w:hanging="360"/>
        <w:contextualSpacing/>
        <w:textAlignment w:val="auto"/>
        <w:rPr>
          <w:lang w:eastAsia="ja-JP"/>
        </w:rPr>
      </w:pPr>
      <w:r>
        <w:rPr>
          <w:lang w:eastAsia="ja-JP"/>
        </w:rPr>
        <w:t>Estructura de los resúmenes que se generan (protoformas).</w:t>
      </w:r>
    </w:p>
    <w:p>
      <w:pPr>
        <w:pStyle w:val="ListParagraph"/>
        <w:numPr>
          <w:ilvl w:val="1"/>
          <w:numId w:val="51"/>
        </w:numPr>
        <w:suppressAutoHyphens w:val="false"/>
        <w:overflowPunct w:val="true"/>
        <w:spacing w:before="0" w:after="0"/>
        <w:ind w:left="1134" w:hanging="360"/>
        <w:contextualSpacing/>
        <w:textAlignment w:val="auto"/>
        <w:rPr>
          <w:lang w:eastAsia="ja-JP"/>
        </w:rPr>
      </w:pPr>
      <w:r>
        <w:rPr>
          <w:lang w:eastAsia="ja-JP"/>
        </w:rPr>
        <w:t>Métodos o técnicas para la generación de los resúmenes lingüísticos de datos.</w:t>
      </w:r>
    </w:p>
    <w:p>
      <w:pPr>
        <w:pStyle w:val="ListParagraph"/>
        <w:numPr>
          <w:ilvl w:val="1"/>
          <w:numId w:val="51"/>
        </w:numPr>
        <w:suppressAutoHyphens w:val="false"/>
        <w:overflowPunct w:val="true"/>
        <w:spacing w:before="0" w:after="0"/>
        <w:ind w:left="1134" w:hanging="360"/>
        <w:contextualSpacing/>
        <w:textAlignment w:val="auto"/>
        <w:rPr>
          <w:lang w:eastAsia="ja-JP"/>
        </w:rPr>
      </w:pPr>
      <w:r>
        <w:rPr>
          <w:lang w:eastAsia="ja-JP"/>
        </w:rPr>
        <w:t>Principales técnicas y métodos de validación empleados en las investigaciones.</w:t>
      </w:r>
    </w:p>
    <w:p>
      <w:pPr>
        <w:pStyle w:val="ListParagraph"/>
        <w:numPr>
          <w:ilvl w:val="1"/>
          <w:numId w:val="51"/>
        </w:numPr>
        <w:suppressAutoHyphens w:val="false"/>
        <w:overflowPunct w:val="true"/>
        <w:spacing w:before="0" w:after="0"/>
        <w:ind w:left="1134" w:hanging="360"/>
        <w:contextualSpacing/>
        <w:textAlignment w:val="auto"/>
        <w:rPr>
          <w:lang w:eastAsia="ja-JP"/>
        </w:rPr>
      </w:pPr>
      <w:r>
        <w:rPr>
          <w:lang w:eastAsia="ja-JP"/>
        </w:rPr>
        <w:t>Áreas de aplicación de la propuesta.</w:t>
      </w:r>
    </w:p>
    <w:p>
      <w:pPr>
        <w:pStyle w:val="Heading2"/>
        <w:numPr>
          <w:ilvl w:val="1"/>
          <w:numId w:val="80"/>
        </w:numPr>
        <w:rPr/>
      </w:pPr>
      <w:bookmarkStart w:id="3734" w:name="_Ref77845328"/>
      <w:bookmarkStart w:id="3735" w:name="_Toc84598957"/>
      <w:bookmarkStart w:id="3736" w:name="_Ref79256146"/>
      <w:bookmarkStart w:id="3737" w:name="_Ref70269123"/>
      <w:bookmarkStart w:id="3738" w:name="_Ref702360911"/>
      <w:bookmarkEnd w:id="3737"/>
      <w:bookmarkEnd w:id="3738"/>
      <w:r>
        <w:rPr/>
        <w:t xml:space="preserve">Anexo </w:t>
      </w:r>
      <w:r>
        <w:rPr/>
        <w:fldChar w:fldCharType="begin"/>
      </w:r>
      <w:r>
        <w:instrText> SEQ Anexo \* ARABIC </w:instrText>
      </w:r>
      <w:r>
        <w:fldChar w:fldCharType="separate"/>
      </w:r>
      <w:r>
        <w:t>3</w:t>
      </w:r>
      <w:r>
        <w:fldChar w:fldCharType="end"/>
      </w:r>
      <w:bookmarkEnd w:id="3735"/>
      <w:bookmarkEnd w:id="3736"/>
      <w:r>
        <w:rPr/>
        <w:t>. Caracterización de la bibliografía consultada en la revisión sistemática</w:t>
      </w:r>
    </w:p>
    <w:p>
      <w:pPr>
        <w:pStyle w:val="Normal"/>
        <w:keepNext/>
        <w:tabs>
          <w:tab w:val="left" w:pos="0" w:leader="none"/>
        </w:tabs>
        <w:jc w:val="center"/>
        <w:rPr/>
      </w:pPr>
      <w:r>
        <w:rPr/>
        <w:drawing>
          <wp:inline distT="0" distB="0" distL="0" distR="0">
            <wp:extent cx="4617720" cy="1907540"/>
            <wp:effectExtent l="0" t="0" r="0" b="0"/>
            <wp:docPr id="13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pStyle w:val="Caption1"/>
        <w:rPr/>
      </w:pPr>
      <w:bookmarkStart w:id="3739" w:name="_Toc84599034"/>
      <w:bookmarkStart w:id="3740" w:name="_Ref68774628"/>
      <w:r>
        <w:rPr/>
        <w:t xml:space="preserve">Figura </w:t>
      </w:r>
      <w:r>
        <w:rPr/>
        <w:fldChar w:fldCharType="begin"/>
      </w:r>
      <w:r>
        <w:instrText> SEQ Figura \* ARABIC </w:instrText>
      </w:r>
      <w:r>
        <w:fldChar w:fldCharType="separate"/>
      </w:r>
      <w:r>
        <w:t>27</w:t>
      </w:r>
      <w:r>
        <w:fldChar w:fldCharType="end"/>
      </w:r>
      <w:bookmarkEnd w:id="3739"/>
      <w:bookmarkEnd w:id="3740"/>
      <w:r>
        <w:rPr/>
        <w:t>: Publicaciones por países de la bibliografía consultada.</w:t>
      </w:r>
    </w:p>
    <w:p>
      <w:pPr>
        <w:pStyle w:val="Normal"/>
        <w:rPr/>
      </w:pPr>
      <w:r>
        <w:rPr/>
      </w:r>
    </w:p>
    <w:p>
      <w:pPr>
        <w:pStyle w:val="Normal"/>
        <w:rPr/>
      </w:pPr>
      <w:r>
        <w:rPr/>
        <w:drawing>
          <wp:inline distT="0" distB="0" distL="0" distR="0">
            <wp:extent cx="2846070" cy="1573530"/>
            <wp:effectExtent l="0" t="0" r="0" b="0"/>
            <wp:docPr id="13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drawing>
          <wp:inline distT="0" distB="0" distL="0" distR="0">
            <wp:extent cx="2435860" cy="1456690"/>
            <wp:effectExtent l="0" t="0" r="0" b="0"/>
            <wp:docPr id="13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Normal"/>
        <w:jc w:val="center"/>
        <w:rPr/>
      </w:pPr>
      <w:bookmarkStart w:id="3741" w:name="_Toc84599035"/>
      <w:bookmarkStart w:id="3742" w:name="_Ref79256895"/>
      <w:r>
        <w:rPr>
          <w:rFonts w:cs="Verdana"/>
          <w:sz w:val="20"/>
        </w:rPr>
        <w:t xml:space="preserve">Figura </w:t>
      </w:r>
      <w:r>
        <w:rPr>
          <w:rFonts w:cs="Verdana"/>
          <w:sz w:val="20"/>
        </w:rPr>
        <w:fldChar w:fldCharType="begin"/>
      </w:r>
      <w:r>
        <w:instrText> SEQ Figura \* ARABIC </w:instrText>
      </w:r>
      <w:r>
        <w:fldChar w:fldCharType="separate"/>
      </w:r>
      <w:r>
        <w:t>28</w:t>
      </w:r>
      <w:r>
        <w:fldChar w:fldCharType="end"/>
      </w:r>
      <w:bookmarkEnd w:id="3742"/>
      <w:r>
        <w:rPr/>
        <w:t>:</w:t>
      </w:r>
      <w:bookmarkEnd w:id="3741"/>
      <w:r>
        <w:rPr>
          <w:rFonts w:cs="Verdana"/>
          <w:sz w:val="20"/>
        </w:rPr>
        <w:t xml:space="preserve"> Bibliografía por tipo de publicación e indexado.</w:t>
      </w:r>
    </w:p>
    <w:p>
      <w:pPr>
        <w:pStyle w:val="Normal"/>
        <w:jc w:val="center"/>
        <w:rPr>
          <w:rFonts w:cs="Verdana"/>
          <w:sz w:val="20"/>
        </w:rPr>
      </w:pPr>
      <w:r>
        <w:rPr>
          <w:rFonts w:cs="Verdana"/>
          <w:sz w:val="20"/>
        </w:rPr>
      </w:r>
    </w:p>
    <w:p>
      <w:pPr>
        <w:pStyle w:val="Normal"/>
        <w:jc w:val="center"/>
        <w:rPr>
          <w:rFonts w:cs="Verdana"/>
          <w:sz w:val="20"/>
        </w:rPr>
      </w:pPr>
      <w:r>
        <w:rPr/>
        <w:drawing>
          <wp:inline distT="0" distB="0" distL="0" distR="0">
            <wp:extent cx="5453380" cy="1795780"/>
            <wp:effectExtent l="0" t="0" r="0" b="0"/>
            <wp:docPr id="13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Normal"/>
        <w:jc w:val="center"/>
        <w:rPr/>
      </w:pPr>
      <w:bookmarkStart w:id="3743" w:name="_Toc84599036"/>
      <w:bookmarkStart w:id="3744" w:name="_Ref62104937"/>
      <w:r>
        <w:rPr>
          <w:rFonts w:cs="Verdana"/>
          <w:sz w:val="20"/>
        </w:rPr>
        <w:t xml:space="preserve">Figura </w:t>
      </w:r>
      <w:r>
        <w:rPr>
          <w:rFonts w:cs="Verdana"/>
          <w:sz w:val="20"/>
        </w:rPr>
        <w:fldChar w:fldCharType="begin"/>
      </w:r>
      <w:r>
        <w:instrText> SEQ Figura \* ARABIC </w:instrText>
      </w:r>
      <w:r>
        <w:fldChar w:fldCharType="separate"/>
      </w:r>
      <w:r>
        <w:t>29</w:t>
      </w:r>
      <w:r>
        <w:fldChar w:fldCharType="end"/>
      </w:r>
      <w:bookmarkEnd w:id="3744"/>
      <w:r>
        <w:rPr/>
        <w:t>:</w:t>
      </w:r>
      <w:bookmarkStart w:id="3745" w:name="_Ref79223508"/>
      <w:bookmarkEnd w:id="3743"/>
      <w:bookmarkEnd w:id="3745"/>
      <w:r>
        <w:rPr>
          <w:rFonts w:cs="Verdana"/>
          <w:sz w:val="20"/>
        </w:rPr>
        <w:t xml:space="preserve"> Fuentes y editoriales principales de la bibliografía analizada en profundidad</w:t>
      </w:r>
    </w:p>
    <w:p>
      <w:pPr>
        <w:pStyle w:val="Normal"/>
        <w:rPr/>
      </w:pPr>
      <w:r>
        <w:rPr/>
      </w:r>
    </w:p>
    <w:p>
      <w:pPr>
        <w:pStyle w:val="Normal"/>
        <w:keepNext/>
        <w:jc w:val="center"/>
        <w:rPr/>
      </w:pPr>
      <w:r>
        <w:rPr/>
        <w:drawing>
          <wp:inline distT="0" distB="0" distL="0" distR="0">
            <wp:extent cx="5405755" cy="4079240"/>
            <wp:effectExtent l="0" t="0" r="0" b="0"/>
            <wp:docPr id="139"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n 3" descr=""/>
                    <pic:cNvPicPr>
                      <a:picLocks noChangeAspect="1" noChangeArrowheads="1"/>
                    </pic:cNvPicPr>
                  </pic:nvPicPr>
                  <pic:blipFill>
                    <a:blip r:embed="rId35"/>
                    <a:stretch>
                      <a:fillRect/>
                    </a:stretch>
                  </pic:blipFill>
                  <pic:spPr bwMode="auto">
                    <a:xfrm>
                      <a:off x="0" y="0"/>
                      <a:ext cx="5405755" cy="4079240"/>
                    </a:xfrm>
                    <a:prstGeom prst="rect">
                      <a:avLst/>
                    </a:prstGeom>
                  </pic:spPr>
                </pic:pic>
              </a:graphicData>
            </a:graphic>
          </wp:inline>
        </w:drawing>
      </w:r>
    </w:p>
    <w:p>
      <w:pPr>
        <w:pStyle w:val="Caption1"/>
        <w:rPr/>
      </w:pPr>
      <w:bookmarkStart w:id="3746" w:name="_Toc84599037"/>
      <w:bookmarkStart w:id="3747" w:name="_Ref60469996"/>
      <w:r>
        <w:rPr/>
        <w:t xml:space="preserve">Figura </w:t>
      </w:r>
      <w:r>
        <w:rPr/>
        <w:fldChar w:fldCharType="begin"/>
      </w:r>
      <w:r>
        <w:instrText> SEQ Figura \* ARABIC </w:instrText>
      </w:r>
      <w:r>
        <w:fldChar w:fldCharType="separate"/>
      </w:r>
      <w:r>
        <w:t>30</w:t>
      </w:r>
      <w:r>
        <w:fldChar w:fldCharType="end"/>
      </w:r>
      <w:bookmarkEnd w:id="3747"/>
      <w:r>
        <w:rPr/>
        <w:t xml:space="preserve">: </w:t>
      </w:r>
      <w:r>
        <w:rPr>
          <w:rFonts w:cs="Arial"/>
        </w:rPr>
        <w:t>Tendencias de los métodos o técnicas para generar resúmenes lingüísticos de datos</w:t>
      </w:r>
      <w:bookmarkEnd w:id="3746"/>
      <w:r>
        <w:rPr/>
        <w:t>.</w:t>
      </w:r>
    </w:p>
    <w:p>
      <w:pPr>
        <w:pStyle w:val="Normal"/>
        <w:keepNext/>
        <w:jc w:val="center"/>
        <w:rPr/>
      </w:pPr>
      <w:r>
        <w:rPr/>
        <w:drawing>
          <wp:inline distT="0" distB="0" distL="0" distR="0">
            <wp:extent cx="4754880" cy="2877185"/>
            <wp:effectExtent l="0" t="0" r="0" b="0"/>
            <wp:docPr id="140" name="Imagen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n 11" descr=""/>
                    <pic:cNvPicPr>
                      <a:picLocks noChangeAspect="1" noChangeArrowheads="1"/>
                    </pic:cNvPicPr>
                  </pic:nvPicPr>
                  <pic:blipFill>
                    <a:blip r:embed="rId36"/>
                    <a:stretch>
                      <a:fillRect/>
                    </a:stretch>
                  </pic:blipFill>
                  <pic:spPr bwMode="auto">
                    <a:xfrm>
                      <a:off x="0" y="0"/>
                      <a:ext cx="4754880" cy="2877185"/>
                    </a:xfrm>
                    <a:prstGeom prst="rect">
                      <a:avLst/>
                    </a:prstGeom>
                  </pic:spPr>
                </pic:pic>
              </a:graphicData>
            </a:graphic>
          </wp:inline>
        </w:drawing>
      </w:r>
    </w:p>
    <w:p>
      <w:pPr>
        <w:pStyle w:val="Caption1"/>
        <w:rPr/>
      </w:pPr>
      <w:bookmarkStart w:id="3748" w:name="_Toc84599038"/>
      <w:bookmarkStart w:id="3749" w:name="_Ref60470079"/>
      <w:r>
        <w:rPr/>
        <w:t xml:space="preserve">Figura </w:t>
      </w:r>
      <w:r>
        <w:rPr/>
        <w:fldChar w:fldCharType="begin"/>
      </w:r>
      <w:r>
        <w:instrText> SEQ Figura \* ARABIC </w:instrText>
      </w:r>
      <w:r>
        <w:fldChar w:fldCharType="separate"/>
      </w:r>
      <w:r>
        <w:t>31</w:t>
      </w:r>
      <w:r>
        <w:fldChar w:fldCharType="end"/>
      </w:r>
      <w:bookmarkEnd w:id="3748"/>
      <w:bookmarkEnd w:id="3749"/>
      <w:r>
        <w:rPr/>
        <w:t>: Estrategias y técnicas de validación empleadas en la bibliografía estudiada.</w:t>
      </w:r>
    </w:p>
    <w:p>
      <w:pPr>
        <w:pStyle w:val="Normal"/>
        <w:rPr/>
      </w:pPr>
      <w:r>
        <w:rPr/>
      </w:r>
    </w:p>
    <w:p>
      <w:pPr>
        <w:pStyle w:val="Normal"/>
        <w:jc w:val="center"/>
        <w:rPr/>
      </w:pPr>
      <w:r>
        <w:rPr/>
        <w:drawing>
          <wp:inline distT="0" distB="0" distL="0" distR="0">
            <wp:extent cx="5307965" cy="3089275"/>
            <wp:effectExtent l="0" t="0" r="0" b="0"/>
            <wp:docPr id="141" name="Imagen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n 20" descr=""/>
                    <pic:cNvPicPr>
                      <a:picLocks noChangeAspect="1" noChangeArrowheads="1"/>
                    </pic:cNvPicPr>
                  </pic:nvPicPr>
                  <pic:blipFill>
                    <a:blip r:embed="rId37"/>
                    <a:stretch>
                      <a:fillRect/>
                    </a:stretch>
                  </pic:blipFill>
                  <pic:spPr bwMode="auto">
                    <a:xfrm>
                      <a:off x="0" y="0"/>
                      <a:ext cx="5307965" cy="3089275"/>
                    </a:xfrm>
                    <a:prstGeom prst="rect">
                      <a:avLst/>
                    </a:prstGeom>
                  </pic:spPr>
                </pic:pic>
              </a:graphicData>
            </a:graphic>
          </wp:inline>
        </w:drawing>
      </w:r>
    </w:p>
    <w:p>
      <w:pPr>
        <w:pStyle w:val="Caption1"/>
        <w:spacing w:lineRule="auto" w:line="360" w:before="80" w:after="0"/>
        <w:ind w:left="360" w:hanging="0"/>
        <w:rPr/>
      </w:pPr>
      <w:bookmarkStart w:id="3750" w:name="_Toc84599039"/>
      <w:bookmarkStart w:id="3751" w:name="_Ref59424124"/>
      <w:r>
        <w:rPr>
          <w:rFonts w:cs="Arial"/>
          <w:szCs w:val="20"/>
        </w:rPr>
        <w:t xml:space="preserve">Figura </w:t>
      </w:r>
      <w:r>
        <w:rPr>
          <w:rFonts w:cs="Arial"/>
          <w:szCs w:val="20"/>
        </w:rPr>
        <w:fldChar w:fldCharType="begin"/>
      </w:r>
      <w:r>
        <w:instrText> SEQ Figura \* ARABIC </w:instrText>
      </w:r>
      <w:r>
        <w:fldChar w:fldCharType="separate"/>
      </w:r>
      <w:r>
        <w:t>32</w:t>
      </w:r>
      <w:r>
        <w:fldChar w:fldCharType="end"/>
      </w:r>
      <w:bookmarkEnd w:id="3751"/>
      <w:r>
        <w:rPr/>
        <w:t>:</w:t>
      </w:r>
      <w:r>
        <w:rPr>
          <w:rFonts w:cs="Arial"/>
          <w:szCs w:val="20"/>
        </w:rPr>
        <w:t xml:space="preserve"> Alcance de la validación empleada en la bibliografía estudiada</w:t>
      </w:r>
      <w:bookmarkEnd w:id="3750"/>
      <w:r>
        <w:rPr>
          <w:rFonts w:cs="Arial"/>
          <w:sz w:val="22"/>
        </w:rPr>
        <w:t>.</w:t>
      </w:r>
    </w:p>
    <w:p>
      <w:pPr>
        <w:pStyle w:val="Normal"/>
        <w:keepNext/>
        <w:ind w:left="-426" w:hanging="0"/>
        <w:jc w:val="center"/>
        <w:rPr/>
      </w:pPr>
      <w:r>
        <w:rPr/>
        <w:drawing>
          <wp:inline distT="0" distB="0" distL="0" distR="0">
            <wp:extent cx="5365115" cy="2584450"/>
            <wp:effectExtent l="0" t="0" r="0" b="0"/>
            <wp:docPr id="142" name="Imagen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n 21" descr=""/>
                    <pic:cNvPicPr>
                      <a:picLocks noChangeAspect="1" noChangeArrowheads="1"/>
                    </pic:cNvPicPr>
                  </pic:nvPicPr>
                  <pic:blipFill>
                    <a:blip r:embed="rId38"/>
                    <a:stretch>
                      <a:fillRect/>
                    </a:stretch>
                  </pic:blipFill>
                  <pic:spPr bwMode="auto">
                    <a:xfrm>
                      <a:off x="0" y="0"/>
                      <a:ext cx="5365115" cy="2584450"/>
                    </a:xfrm>
                    <a:prstGeom prst="rect">
                      <a:avLst/>
                    </a:prstGeom>
                  </pic:spPr>
                </pic:pic>
              </a:graphicData>
            </a:graphic>
          </wp:inline>
        </w:drawing>
      </w:r>
    </w:p>
    <w:p>
      <w:pPr>
        <w:pStyle w:val="Normal"/>
        <w:jc w:val="center"/>
        <w:rPr/>
      </w:pPr>
      <w:bookmarkStart w:id="3752" w:name="_Toc58849620"/>
      <w:bookmarkStart w:id="3753" w:name="_Toc84599040"/>
      <w:bookmarkStart w:id="3754" w:name="_Ref58509942"/>
      <w:r>
        <w:rPr>
          <w:sz w:val="20"/>
          <w:szCs w:val="20"/>
        </w:rPr>
        <w:t xml:space="preserve">Figura </w:t>
      </w:r>
      <w:r>
        <w:rPr>
          <w:sz w:val="20"/>
          <w:szCs w:val="20"/>
        </w:rPr>
        <w:fldChar w:fldCharType="begin"/>
      </w:r>
      <w:r>
        <w:instrText> SEQ Figura \* ARABIC </w:instrText>
      </w:r>
      <w:r>
        <w:fldChar w:fldCharType="separate"/>
      </w:r>
      <w:r>
        <w:t>33</w:t>
      </w:r>
      <w:r>
        <w:fldChar w:fldCharType="end"/>
      </w:r>
      <w:bookmarkEnd w:id="3754"/>
      <w:r>
        <w:rPr/>
        <w:t>:</w:t>
      </w:r>
      <w:bookmarkEnd w:id="3752"/>
      <w:bookmarkEnd w:id="3753"/>
      <w:r>
        <w:rPr>
          <w:sz w:val="20"/>
          <w:szCs w:val="20"/>
        </w:rPr>
        <w:t xml:space="preserve"> Análisis de publicaciones respecto a los entornos de aplicación.</w:t>
      </w:r>
    </w:p>
    <w:p>
      <w:pPr>
        <w:pStyle w:val="Heading2"/>
        <w:numPr>
          <w:ilvl w:val="1"/>
          <w:numId w:val="80"/>
        </w:numPr>
        <w:rPr/>
      </w:pPr>
      <w:bookmarkStart w:id="3755" w:name="_Toc84598958"/>
      <w:bookmarkStart w:id="3756" w:name="_Ref79263371"/>
      <w:r>
        <w:rPr/>
        <w:t xml:space="preserve">Anexo </w:t>
      </w:r>
      <w:r>
        <w:rPr/>
        <w:fldChar w:fldCharType="begin"/>
      </w:r>
      <w:r>
        <w:instrText> SEQ Anexo \* ARABIC </w:instrText>
      </w:r>
      <w:r>
        <w:fldChar w:fldCharType="separate"/>
      </w:r>
      <w:r>
        <w:t>4</w:t>
      </w:r>
      <w:r>
        <w:fldChar w:fldCharType="end"/>
      </w:r>
      <w:bookmarkEnd w:id="3755"/>
      <w:bookmarkEnd w:id="3756"/>
      <w:r>
        <w:rPr/>
        <w:t>. Taxonomía de técnicas para la detección de datos anómalos</w:t>
      </w:r>
    </w:p>
    <w:p>
      <w:pPr>
        <w:pStyle w:val="Normal"/>
        <w:rPr/>
      </w:pPr>
      <w:r>
        <w:rPr/>
        <w:drawing>
          <wp:inline distT="0" distB="0" distL="0" distR="0">
            <wp:extent cx="5786755" cy="1584325"/>
            <wp:effectExtent l="0" t="0" r="0" b="0"/>
            <wp:docPr id="143"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n 7" descr=""/>
                    <pic:cNvPicPr>
                      <a:picLocks noChangeAspect="1" noChangeArrowheads="1"/>
                    </pic:cNvPicPr>
                  </pic:nvPicPr>
                  <pic:blipFill>
                    <a:blip r:embed="rId39"/>
                    <a:stretch>
                      <a:fillRect/>
                    </a:stretch>
                  </pic:blipFill>
                  <pic:spPr bwMode="auto">
                    <a:xfrm>
                      <a:off x="0" y="0"/>
                      <a:ext cx="5786755" cy="1584325"/>
                    </a:xfrm>
                    <a:prstGeom prst="rect">
                      <a:avLst/>
                    </a:prstGeom>
                  </pic:spPr>
                </pic:pic>
              </a:graphicData>
            </a:graphic>
          </wp:inline>
        </w:drawing>
      </w:r>
    </w:p>
    <w:p>
      <w:pPr>
        <w:pStyle w:val="Caption1"/>
        <w:rPr/>
      </w:pPr>
      <w:bookmarkStart w:id="3757" w:name="_Toc84599041"/>
      <w:bookmarkStart w:id="3758" w:name="_Ref68273983"/>
      <w:r>
        <w:rPr/>
        <w:t xml:space="preserve">Figura </w:t>
      </w:r>
      <w:r>
        <w:rPr/>
        <w:fldChar w:fldCharType="begin"/>
      </w:r>
      <w:r>
        <w:instrText> SEQ Figura \* ARABIC </w:instrText>
      </w:r>
      <w:r>
        <w:fldChar w:fldCharType="separate"/>
      </w:r>
      <w:r>
        <w:t>34</w:t>
      </w:r>
      <w:r>
        <w:fldChar w:fldCharType="end"/>
      </w:r>
      <w:bookmarkEnd w:id="3757"/>
      <w:bookmarkEnd w:id="3758"/>
      <w:r>
        <w:rPr/>
        <w:t>: Taxonomía de técnicas para el descubrimiento de datos anómalos.</w:t>
      </w:r>
    </w:p>
    <w:p>
      <w:pPr>
        <w:pStyle w:val="Heading2"/>
        <w:numPr>
          <w:ilvl w:val="1"/>
          <w:numId w:val="80"/>
        </w:numPr>
        <w:rPr/>
      </w:pPr>
      <w:bookmarkStart w:id="3759" w:name="_Toc84598959"/>
      <w:bookmarkStart w:id="3760" w:name="_Ref79475164"/>
      <w:r>
        <w:rPr/>
        <w:t xml:space="preserve">Anexo </w:t>
      </w:r>
      <w:r>
        <w:rPr/>
        <w:fldChar w:fldCharType="begin"/>
      </w:r>
      <w:r>
        <w:instrText> SEQ Anexo \* ARABIC </w:instrText>
      </w:r>
      <w:r>
        <w:fldChar w:fldCharType="separate"/>
      </w:r>
      <w:r>
        <w:t>5</w:t>
      </w:r>
      <w:r>
        <w:fldChar w:fldCharType="end"/>
      </w:r>
      <w:bookmarkEnd w:id="3760"/>
      <w:r>
        <w:rPr/>
        <w:t>. Taxonomía del concepto de incertidumbre</w:t>
      </w:r>
      <w:bookmarkEnd w:id="3759"/>
      <w:r>
        <w:rPr/>
        <w:t xml:space="preserve"> </w:t>
      </w:r>
    </w:p>
    <w:p>
      <w:pPr>
        <w:pStyle w:val="Normal"/>
        <w:rPr/>
      </w:pPr>
      <w:r>
        <w:rPr/>
        <w:drawing>
          <wp:inline distT="0" distB="0" distL="0" distR="0" wp14:anchorId="7CED095E">
            <wp:extent cx="4979670" cy="1779270"/>
            <wp:effectExtent l="0" t="0" r="0" b="0"/>
            <wp:docPr id="144" name="Diagram1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pPr>
        <w:pStyle w:val="Normal"/>
        <w:jc w:val="center"/>
        <w:rPr/>
      </w:pPr>
      <w:bookmarkStart w:id="3761" w:name="_Ref79475183"/>
      <w:bookmarkStart w:id="3762" w:name="_Ref79475202"/>
      <w:bookmarkStart w:id="3763" w:name="_Toc84599042"/>
      <w:bookmarkStart w:id="3764" w:name="_Ref79475209"/>
      <w:r>
        <w:rPr/>
        <w:t xml:space="preserve">Figura </w:t>
      </w:r>
      <w:r>
        <w:rPr/>
        <w:fldChar w:fldCharType="begin"/>
      </w:r>
      <w:r>
        <w:instrText> SEQ Figura \* ARABIC </w:instrText>
      </w:r>
      <w:r>
        <w:fldChar w:fldCharType="separate"/>
      </w:r>
      <w:r>
        <w:t>35</w:t>
      </w:r>
      <w:r>
        <w:fldChar w:fldCharType="end"/>
      </w:r>
      <w:bookmarkEnd w:id="3761"/>
      <w:bookmarkEnd w:id="3762"/>
      <w:bookmarkEnd w:id="3763"/>
      <w:bookmarkEnd w:id="3764"/>
      <w:r>
        <w:rPr/>
        <w:t>: Taxonomía que representa el concepto de incertidumbre.</w:t>
      </w:r>
    </w:p>
    <w:p>
      <w:pPr>
        <w:pStyle w:val="Heading2"/>
        <w:numPr>
          <w:ilvl w:val="1"/>
          <w:numId w:val="80"/>
        </w:numPr>
        <w:rPr/>
      </w:pPr>
      <w:bookmarkStart w:id="3765" w:name="_Toc84598960"/>
      <w:bookmarkStart w:id="3766" w:name="_Ref79224509"/>
      <w:r>
        <w:rPr/>
        <w:t xml:space="preserve">Anexo </w:t>
      </w:r>
      <w:r>
        <w:rPr/>
        <w:fldChar w:fldCharType="begin"/>
      </w:r>
      <w:r>
        <w:instrText> SEQ Anexo \* ARABIC </w:instrText>
      </w:r>
      <w:r>
        <w:fldChar w:fldCharType="separate"/>
      </w:r>
      <w:r>
        <w:t>6</w:t>
      </w:r>
      <w:r>
        <w:fldChar w:fldCharType="end"/>
      </w:r>
      <w:bookmarkEnd w:id="3766"/>
      <w:r>
        <w:rPr/>
        <w:t>. Evolución de la teoría neutrosófica</w:t>
      </w:r>
      <w:bookmarkEnd w:id="3765"/>
      <w:r>
        <w:rPr/>
        <w:t xml:space="preserve"> </w:t>
      </w:r>
    </w:p>
    <w:p>
      <w:pPr>
        <w:pStyle w:val="Normal"/>
        <w:rPr/>
      </w:pPr>
      <w:r>
        <w:rPr/>
        <mc:AlternateContent>
          <mc:Choice Requires="wpg">
            <w:drawing>
              <wp:anchor behindDoc="0" distT="0" distB="0" distL="114300" distR="114300" simplePos="0" locked="0" layoutInCell="1" allowOverlap="1" relativeHeight="2" wp14:anchorId="1264733B">
                <wp:simplePos x="0" y="0"/>
                <wp:positionH relativeFrom="column">
                  <wp:posOffset>-72390</wp:posOffset>
                </wp:positionH>
                <wp:positionV relativeFrom="paragraph">
                  <wp:posOffset>214630</wp:posOffset>
                </wp:positionV>
                <wp:extent cx="5993765" cy="2288540"/>
                <wp:effectExtent l="0" t="0" r="0" b="171450"/>
                <wp:wrapTopAndBottom/>
                <wp:docPr id="145" name="Group 1"/>
                <a:graphic xmlns:a="http://schemas.openxmlformats.org/drawingml/2006/main">
                  <a:graphicData uri="http://schemas.microsoft.com/office/word/2010/wordprocessingGroup">
                    <wpg:wgp>
                      <wpg:cNvGrpSpPr/>
                      <wpg:grpSpPr>
                        <a:xfrm>
                          <a:off x="0" y="0"/>
                          <a:ext cx="5993280" cy="2287800"/>
                        </a:xfrm>
                      </wpg:grpSpPr>
                      <pic:pic xmlns:pic="http://schemas.openxmlformats.org/drawingml/2006/picture">
                        <pic:nvPicPr>
                          <pic:cNvPr id="0" name="Picture 51" descr=""/>
                          <pic:cNvPicPr/>
                        </pic:nvPicPr>
                        <pic:blipFill>
                          <a:blip r:embed="rId45"/>
                          <a:srcRect l="38309" t="25877" r="18028" b="15262"/>
                          <a:stretch/>
                        </pic:blipFill>
                        <pic:spPr>
                          <a:xfrm>
                            <a:off x="0" y="945360"/>
                            <a:ext cx="1024200" cy="1342440"/>
                          </a:xfrm>
                          <a:prstGeom prst="rect">
                            <a:avLst/>
                          </a:prstGeom>
                          <a:ln>
                            <a:noFill/>
                          </a:ln>
                        </pic:spPr>
                      </pic:pic>
                      <pic:pic xmlns:pic="http://schemas.openxmlformats.org/drawingml/2006/picture">
                        <pic:nvPicPr>
                          <pic:cNvPr id="1" name="Picture 53" descr=""/>
                          <pic:cNvPicPr/>
                        </pic:nvPicPr>
                        <pic:blipFill>
                          <a:blip r:embed="rId46"/>
                          <a:srcRect l="36370" t="26590" r="18185" b="16343"/>
                          <a:stretch/>
                        </pic:blipFill>
                        <pic:spPr>
                          <a:xfrm>
                            <a:off x="1630080" y="522720"/>
                            <a:ext cx="1024200" cy="1252800"/>
                          </a:xfrm>
                          <a:prstGeom prst="rect">
                            <a:avLst/>
                          </a:prstGeom>
                          <a:ln>
                            <a:noFill/>
                          </a:ln>
                        </pic:spPr>
                      </pic:pic>
                      <pic:pic xmlns:pic="http://schemas.openxmlformats.org/drawingml/2006/picture">
                        <pic:nvPicPr>
                          <pic:cNvPr id="2" name="Picture 61" descr=""/>
                          <pic:cNvPicPr/>
                        </pic:nvPicPr>
                        <pic:blipFill>
                          <a:blip r:embed="rId47"/>
                          <a:srcRect l="22831" t="14309" r="20862" b="1709"/>
                          <a:stretch/>
                        </pic:blipFill>
                        <pic:spPr>
                          <a:xfrm>
                            <a:off x="3386520" y="0"/>
                            <a:ext cx="1373400" cy="1460520"/>
                          </a:xfrm>
                          <a:prstGeom prst="rect">
                            <a:avLst/>
                          </a:prstGeom>
                          <a:ln>
                            <a:noFill/>
                          </a:ln>
                        </pic:spPr>
                      </pic:pic>
                      <wps:wsp>
                        <wps:cNvSpPr/>
                        <wps:spPr>
                          <a:xfrm>
                            <a:off x="4572000" y="531360"/>
                            <a:ext cx="1421280" cy="1040040"/>
                          </a:xfrm>
                          <a:prstGeom prst="rect">
                            <a:avLst/>
                          </a:prstGeom>
                          <a:noFill/>
                          <a:ln>
                            <a:noFill/>
                          </a:ln>
                        </wps:spPr>
                        <wps:style>
                          <a:lnRef idx="0"/>
                          <a:fillRef idx="0"/>
                          <a:effectRef idx="0"/>
                          <a:fontRef idx="minor"/>
                        </wps:style>
                        <wps:txbx>
                          <w:txbxContent>
                            <w:p>
                              <w:pPr>
                                <w:overflowPunct w:val="false"/>
                                <w:spacing w:before="120" w:after="120" w:lineRule="auto" w:line="360"/>
                                <w:jc w:val="center"/>
                                <w:rPr/>
                              </w:pPr>
                              <w:r>
                                <w:rPr>
                                  <w:spacing w:val="0"/>
                                  <w:smallCaps w:val="false"/>
                                  <w:caps w:val="false"/>
                                  <w:iCs w:val="false"/>
                                  <w:bCs w:val="false"/>
                                  <w:szCs w:val="18"/>
                                  <w:vertAlign w:val="baseline"/>
                                  <w:position w:val="0"/>
                                  <w:sz w:val="18"/>
                                  <w:i w:val="false"/>
                                  <w:dstrike w:val="false"/>
                                  <w:strike w:val="false"/>
                                  <w:u w:val="none"/>
                                  <w:b w:val="false"/>
                                  <w:sz w:val="18"/>
                                  <w:rFonts w:eastAsia="游明朝" w:eastAsiaTheme="minorEastAsia" w:cs="Calibri" w:ascii="Times New Roman" w:hAnsi="Times New Roman"/>
                                  <w:color w:val="00000A"/>
                                  <w:lang w:val="en-US" w:eastAsia="en-US"/>
                                </w:rPr>
                                <w:t>verdad (T), indeterminación (I) falsedad (F)</w:t>
                              </w:r>
                            </w:p>
                          </w:txbxContent>
                        </wps:txbx>
                        <wps:bodyPr lIns="90000" rIns="90000" tIns="45000" bIns="45000">
                          <a:noAutofit/>
                        </wps:bodyPr>
                      </wps:wsp>
                    </wpg:wgp>
                  </a:graphicData>
                </a:graphic>
                <wp14:sizeRelH relativeFrom="margin">
                  <wp14:pctWidth>20000</wp14:pctWidth>
                </wp14:sizeRelH>
              </wp:anchor>
            </w:drawing>
          </mc:Choice>
          <mc:Fallback>
            <w:pict>
              <v:group id="shape_0" alt="Group 1" style="position:absolute;margin-left:-5.7pt;margin-top:16.9pt;width:471.9pt;height:180.1pt" coordorigin="-114,338" coordsize="9438,3602">
                <v:rect id="shape_0" ID="Picture 51" stroked="f" style="position:absolute;left:-114;top:1827;width:1612;height:2113">
                  <v:imagedata r:id="rId48" o:detectmouseclick="t"/>
                  <w10:wrap type="none"/>
                  <v:stroke color="#3465a4" joinstyle="round" endcap="flat"/>
                </v:rect>
                <v:rect id="shape_0" ID="Picture 53" stroked="f" style="position:absolute;left:2453;top:1161;width:1612;height:1972">
                  <v:imagedata r:id="rId49" o:detectmouseclick="t"/>
                  <w10:wrap type="none"/>
                  <v:stroke color="#3465a4" joinstyle="round" endcap="flat"/>
                </v:rect>
                <v:rect id="shape_0" ID="Picture 61" stroked="f" style="position:absolute;left:5219;top:338;width:2162;height:2299">
                  <v:imagedata r:id="rId50" o:detectmouseclick="t"/>
                  <w10:wrap type="none"/>
                  <v:stroke color="#3465a4" joinstyle="round" endcap="flat"/>
                </v:rect>
                <v:rect id="shape_0" ID="Rectángulo 29" stroked="f" style="position:absolute;left:7086;top:1175;width:2237;height:1637">
                  <v:textbox>
                    <w:txbxContent>
                      <w:p>
                        <w:pPr>
                          <w:overflowPunct w:val="false"/>
                          <w:spacing w:before="120" w:after="120" w:lineRule="auto" w:line="360"/>
                          <w:jc w:val="center"/>
                          <w:rPr/>
                        </w:pPr>
                        <w:r>
                          <w:rPr>
                            <w:spacing w:val="0"/>
                            <w:smallCaps w:val="false"/>
                            <w:caps w:val="false"/>
                            <w:iCs w:val="false"/>
                            <w:bCs w:val="false"/>
                            <w:szCs w:val="18"/>
                            <w:vertAlign w:val="baseline"/>
                            <w:position w:val="0"/>
                            <w:sz w:val="18"/>
                            <w:i w:val="false"/>
                            <w:dstrike w:val="false"/>
                            <w:strike w:val="false"/>
                            <w:u w:val="none"/>
                            <w:b w:val="false"/>
                            <w:sz w:val="18"/>
                            <w:rFonts w:eastAsia="游明朝" w:eastAsiaTheme="minorEastAsia" w:cs="Calibri" w:ascii="Times New Roman" w:hAnsi="Times New Roman"/>
                            <w:color w:val="00000A"/>
                            <w:lang w:val="en-US" w:eastAsia="en-US"/>
                          </w:rPr>
                          <w:t>verdad (T), indeterminación (I) falsedad (F)</w:t>
                        </w:r>
                      </w:p>
                    </w:txbxContent>
                  </v:textbox>
                  <w10:wrap type="square"/>
                  <v:fill o:detectmouseclick="t" on="false"/>
                  <v:stroke color="#3465a4" joinstyle="round" endcap="flat"/>
                </v:rect>
              </v:group>
            </w:pict>
          </mc:Fallback>
        </mc:AlternateContent>
      </w:r>
    </w:p>
    <w:p>
      <w:pPr>
        <w:pStyle w:val="Caption1"/>
        <w:spacing w:before="240" w:after="60"/>
        <w:rPr/>
      </w:pPr>
      <w:bookmarkStart w:id="3767" w:name="_Toc84599043"/>
      <w:bookmarkStart w:id="3768" w:name="_Ref79479311"/>
      <w:r>
        <w:rPr/>
        <w:t xml:space="preserve">Figura </w:t>
      </w:r>
      <w:r>
        <w:rPr/>
        <w:fldChar w:fldCharType="begin"/>
      </w:r>
      <w:r>
        <w:instrText> SEQ Figura \* ARABIC </w:instrText>
      </w:r>
      <w:r>
        <w:fldChar w:fldCharType="separate"/>
      </w:r>
      <w:r>
        <w:t>36</w:t>
      </w:r>
      <w:r>
        <w:fldChar w:fldCharType="end"/>
      </w:r>
      <w:bookmarkEnd w:id="3767"/>
      <w:bookmarkEnd w:id="3768"/>
      <w:r>
        <w:rPr/>
        <w:t>: Evolución de la teoría neutrosófica.</w:t>
      </w:r>
    </w:p>
    <w:p>
      <w:pPr>
        <w:pStyle w:val="Heading2"/>
        <w:numPr>
          <w:ilvl w:val="1"/>
          <w:numId w:val="80"/>
        </w:numPr>
        <w:rPr/>
      </w:pPr>
      <w:bookmarkStart w:id="3769" w:name="_Toc84598961"/>
      <w:bookmarkStart w:id="3770" w:name="_Ref79296896"/>
      <w:r>
        <w:rPr/>
        <w:t xml:space="preserve">Anexo </w:t>
      </w:r>
      <w:r>
        <w:rPr/>
        <w:fldChar w:fldCharType="begin"/>
      </w:r>
      <w:r>
        <w:instrText> SEQ Anexo \* ARABIC </w:instrText>
      </w:r>
      <w:r>
        <w:fldChar w:fldCharType="separate"/>
      </w:r>
      <w:r>
        <w:t>7</w:t>
      </w:r>
      <w:r>
        <w:fldChar w:fldCharType="end"/>
      </w:r>
      <w:bookmarkEnd w:id="3769"/>
      <w:bookmarkEnd w:id="3770"/>
      <w:r>
        <w:rPr/>
        <w:t>. Escenarios de pruebas para la comparación de los indicadores de calidad</w:t>
      </w:r>
    </w:p>
    <w:p>
      <w:pPr>
        <w:pStyle w:val="Normal"/>
        <w:rPr/>
      </w:pPr>
      <w:r>
        <w:rPr/>
        <w:t xml:space="preserve">Conjunto de escenarios de prueba para la comparación de los indicadores de calidad de los resúmenes lingüísticos. Se conforman 29 escenarios de prueba que cubren las diferentes situaciones durante el proceso de evaluación de resúmenes, ver </w:t>
      </w:r>
      <w:r>
        <w:rPr/>
        <w:fldChar w:fldCharType="begin"/>
      </w:r>
      <w:r>
        <w:instrText> REF _Ref50293911 \h </w:instrText>
      </w:r>
      <w:r>
        <w:fldChar w:fldCharType="separate"/>
      </w:r>
      <w:r>
        <w:t>Tabla 22</w:t>
      </w:r>
      <w:r>
        <w:fldChar w:fldCharType="end"/>
      </w:r>
      <w:r>
        <w:rPr/>
        <w:t>.</w:t>
      </w:r>
    </w:p>
    <w:p>
      <w:pPr>
        <w:pStyle w:val="Caption1"/>
        <w:keepNext/>
        <w:rPr/>
      </w:pPr>
      <w:bookmarkStart w:id="3771" w:name="_Toc84598992"/>
      <w:bookmarkStart w:id="3772" w:name="_Ref50293911"/>
      <w:r>
        <w:rPr/>
        <w:t xml:space="preserve">Tabla </w:t>
      </w:r>
      <w:r>
        <w:rPr/>
        <w:fldChar w:fldCharType="begin"/>
      </w:r>
      <w:r>
        <w:instrText> SEQ Tabla \* ARABIC </w:instrText>
      </w:r>
      <w:r>
        <w:fldChar w:fldCharType="separate"/>
      </w:r>
      <w:r>
        <w:t>22</w:t>
      </w:r>
      <w:r>
        <w:fldChar w:fldCharType="end"/>
      </w:r>
      <w:bookmarkEnd w:id="3771"/>
      <w:bookmarkEnd w:id="3772"/>
      <w:r>
        <w:rPr/>
        <w:t>: Clases de prueba para los escenarios de prueba.</w:t>
      </w:r>
    </w:p>
    <w:tbl>
      <w:tblPr>
        <w:tblW w:w="5991"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3" w:type="dxa"/>
          <w:bottom w:w="0" w:type="dxa"/>
          <w:right w:w="108" w:type="dxa"/>
        </w:tblCellMar>
        <w:tblLook w:val="04a0" w:noVBand="1" w:noHBand="0" w:lastColumn="0" w:firstColumn="1" w:lastRow="0" w:firstRow="1"/>
      </w:tblPr>
      <w:tblGrid>
        <w:gridCol w:w="1283"/>
        <w:gridCol w:w="2509"/>
        <w:gridCol w:w="850"/>
        <w:gridCol w:w="1348"/>
      </w:tblGrid>
      <w:tr>
        <w:trPr>
          <w:trHeight w:val="330" w:hRule="atLeast"/>
        </w:trPr>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eastAsia="en-US"/>
              </w:rPr>
            </w:pPr>
            <w:r>
              <w:rPr>
                <w:lang w:eastAsia="en-US"/>
              </w:rPr>
            </w:r>
          </w:p>
        </w:tc>
        <w:tc>
          <w:tcPr>
            <w:tcW w:w="25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Cuantificador</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Filtro</w:t>
            </w:r>
          </w:p>
        </w:tc>
        <w:tc>
          <w:tcPr>
            <w:tcW w:w="13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Sumarizador</w:t>
            </w:r>
          </w:p>
        </w:tc>
      </w:tr>
      <w:tr>
        <w:trPr>
          <w:trHeight w:val="300" w:hRule="atLeast"/>
        </w:trPr>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Clase ER1</w:t>
            </w:r>
          </w:p>
        </w:tc>
        <w:tc>
          <w:tcPr>
            <w:tcW w:w="25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Pocos</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Bajo</w:t>
            </w:r>
          </w:p>
        </w:tc>
        <w:tc>
          <w:tcPr>
            <w:tcW w:w="13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Bajo</w:t>
            </w:r>
          </w:p>
        </w:tc>
      </w:tr>
      <w:tr>
        <w:trPr>
          <w:trHeight w:val="300" w:hRule="atLeast"/>
        </w:trPr>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Clase ER2</w:t>
            </w:r>
          </w:p>
        </w:tc>
        <w:tc>
          <w:tcPr>
            <w:tcW w:w="25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Pocos</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Bajo</w:t>
            </w:r>
          </w:p>
        </w:tc>
        <w:tc>
          <w:tcPr>
            <w:tcW w:w="13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Medio</w:t>
            </w:r>
          </w:p>
        </w:tc>
      </w:tr>
      <w:tr>
        <w:trPr>
          <w:trHeight w:val="300" w:hRule="atLeast"/>
        </w:trPr>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Clase ER3</w:t>
            </w:r>
          </w:p>
        </w:tc>
        <w:tc>
          <w:tcPr>
            <w:tcW w:w="25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Pocos</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Bajo</w:t>
            </w:r>
          </w:p>
        </w:tc>
        <w:tc>
          <w:tcPr>
            <w:tcW w:w="13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Alto</w:t>
            </w:r>
          </w:p>
        </w:tc>
      </w:tr>
      <w:tr>
        <w:trPr>
          <w:trHeight w:val="300" w:hRule="atLeast"/>
        </w:trPr>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Clase ER4</w:t>
            </w:r>
          </w:p>
        </w:tc>
        <w:tc>
          <w:tcPr>
            <w:tcW w:w="25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Pocos</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Medio</w:t>
            </w:r>
          </w:p>
        </w:tc>
        <w:tc>
          <w:tcPr>
            <w:tcW w:w="13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Bajo</w:t>
            </w:r>
          </w:p>
        </w:tc>
      </w:tr>
      <w:tr>
        <w:trPr>
          <w:trHeight w:val="300" w:hRule="atLeast"/>
        </w:trPr>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Clase ER5</w:t>
            </w:r>
          </w:p>
        </w:tc>
        <w:tc>
          <w:tcPr>
            <w:tcW w:w="25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Pocos</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Medio</w:t>
            </w:r>
          </w:p>
        </w:tc>
        <w:tc>
          <w:tcPr>
            <w:tcW w:w="13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Medio</w:t>
            </w:r>
          </w:p>
        </w:tc>
      </w:tr>
      <w:tr>
        <w:trPr>
          <w:trHeight w:val="300" w:hRule="atLeast"/>
        </w:trPr>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Clase ER6</w:t>
            </w:r>
          </w:p>
        </w:tc>
        <w:tc>
          <w:tcPr>
            <w:tcW w:w="25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Pocos</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Medio</w:t>
            </w:r>
          </w:p>
        </w:tc>
        <w:tc>
          <w:tcPr>
            <w:tcW w:w="13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Alto</w:t>
            </w:r>
          </w:p>
        </w:tc>
      </w:tr>
      <w:tr>
        <w:trPr>
          <w:trHeight w:val="300" w:hRule="atLeast"/>
        </w:trPr>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Clase ER7</w:t>
            </w:r>
          </w:p>
        </w:tc>
        <w:tc>
          <w:tcPr>
            <w:tcW w:w="25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Pocos</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Alto</w:t>
            </w:r>
          </w:p>
        </w:tc>
        <w:tc>
          <w:tcPr>
            <w:tcW w:w="13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Bajo</w:t>
            </w:r>
          </w:p>
        </w:tc>
      </w:tr>
      <w:tr>
        <w:trPr>
          <w:trHeight w:val="300" w:hRule="atLeast"/>
        </w:trPr>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Clase ER8</w:t>
            </w:r>
          </w:p>
        </w:tc>
        <w:tc>
          <w:tcPr>
            <w:tcW w:w="25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Pocos</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Alto</w:t>
            </w:r>
          </w:p>
        </w:tc>
        <w:tc>
          <w:tcPr>
            <w:tcW w:w="13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Medio</w:t>
            </w:r>
          </w:p>
        </w:tc>
      </w:tr>
      <w:tr>
        <w:trPr>
          <w:trHeight w:val="300" w:hRule="atLeast"/>
        </w:trPr>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Clase ER9</w:t>
            </w:r>
          </w:p>
        </w:tc>
        <w:tc>
          <w:tcPr>
            <w:tcW w:w="25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Pocos</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Alto</w:t>
            </w:r>
          </w:p>
        </w:tc>
        <w:tc>
          <w:tcPr>
            <w:tcW w:w="13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Alto</w:t>
            </w:r>
          </w:p>
        </w:tc>
      </w:tr>
      <w:tr>
        <w:trPr>
          <w:trHeight w:val="359" w:hRule="atLeast"/>
        </w:trPr>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Clase ER10</w:t>
            </w:r>
          </w:p>
        </w:tc>
        <w:tc>
          <w:tcPr>
            <w:tcW w:w="25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Aproximadamente el 50%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Bajo</w:t>
            </w:r>
          </w:p>
        </w:tc>
        <w:tc>
          <w:tcPr>
            <w:tcW w:w="13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Bajo</w:t>
            </w:r>
          </w:p>
        </w:tc>
      </w:tr>
      <w:tr>
        <w:trPr>
          <w:trHeight w:val="279" w:hRule="atLeast"/>
        </w:trPr>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Clase ER11</w:t>
            </w:r>
          </w:p>
        </w:tc>
        <w:tc>
          <w:tcPr>
            <w:tcW w:w="25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Aproximadamente el 50%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Bajo</w:t>
            </w:r>
          </w:p>
        </w:tc>
        <w:tc>
          <w:tcPr>
            <w:tcW w:w="13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Medio</w:t>
            </w:r>
          </w:p>
        </w:tc>
      </w:tr>
      <w:tr>
        <w:trPr>
          <w:trHeight w:val="410" w:hRule="atLeast"/>
        </w:trPr>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Clase ER12</w:t>
            </w:r>
          </w:p>
        </w:tc>
        <w:tc>
          <w:tcPr>
            <w:tcW w:w="25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Aproximadamente el 50%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Bajo</w:t>
            </w:r>
          </w:p>
        </w:tc>
        <w:tc>
          <w:tcPr>
            <w:tcW w:w="13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Alto</w:t>
            </w:r>
          </w:p>
        </w:tc>
      </w:tr>
      <w:tr>
        <w:trPr>
          <w:trHeight w:val="403" w:hRule="atLeast"/>
        </w:trPr>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Clase ER13</w:t>
            </w:r>
          </w:p>
        </w:tc>
        <w:tc>
          <w:tcPr>
            <w:tcW w:w="25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Aproximadamente el 50%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Medio</w:t>
            </w:r>
          </w:p>
        </w:tc>
        <w:tc>
          <w:tcPr>
            <w:tcW w:w="13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Bajo</w:t>
            </w:r>
          </w:p>
        </w:tc>
      </w:tr>
      <w:tr>
        <w:trPr>
          <w:trHeight w:val="369" w:hRule="atLeast"/>
        </w:trPr>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Clase ER14</w:t>
            </w:r>
          </w:p>
        </w:tc>
        <w:tc>
          <w:tcPr>
            <w:tcW w:w="25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Aproximadamente el 50%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Medio</w:t>
            </w:r>
          </w:p>
        </w:tc>
        <w:tc>
          <w:tcPr>
            <w:tcW w:w="13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Medio</w:t>
            </w:r>
          </w:p>
        </w:tc>
      </w:tr>
      <w:tr>
        <w:trPr>
          <w:trHeight w:val="333" w:hRule="atLeast"/>
        </w:trPr>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Clase ER15</w:t>
            </w:r>
          </w:p>
        </w:tc>
        <w:tc>
          <w:tcPr>
            <w:tcW w:w="25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Aproximadamente el 50%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Medio</w:t>
            </w:r>
          </w:p>
        </w:tc>
        <w:tc>
          <w:tcPr>
            <w:tcW w:w="13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Alto</w:t>
            </w:r>
          </w:p>
        </w:tc>
      </w:tr>
      <w:tr>
        <w:trPr>
          <w:trHeight w:val="427" w:hRule="atLeast"/>
        </w:trPr>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Clase ER16</w:t>
            </w:r>
          </w:p>
        </w:tc>
        <w:tc>
          <w:tcPr>
            <w:tcW w:w="25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Aproximadamente el 50%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Alto</w:t>
            </w:r>
          </w:p>
        </w:tc>
        <w:tc>
          <w:tcPr>
            <w:tcW w:w="13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Bajo</w:t>
            </w:r>
          </w:p>
        </w:tc>
      </w:tr>
      <w:tr>
        <w:trPr>
          <w:trHeight w:val="393" w:hRule="atLeast"/>
        </w:trPr>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Clase ER17</w:t>
            </w:r>
          </w:p>
        </w:tc>
        <w:tc>
          <w:tcPr>
            <w:tcW w:w="25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Aproximadamente el 50%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Alto</w:t>
            </w:r>
          </w:p>
        </w:tc>
        <w:tc>
          <w:tcPr>
            <w:tcW w:w="13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Medio</w:t>
            </w:r>
          </w:p>
        </w:tc>
      </w:tr>
      <w:tr>
        <w:trPr>
          <w:trHeight w:val="399" w:hRule="atLeast"/>
        </w:trPr>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Clase ER18</w:t>
            </w:r>
          </w:p>
        </w:tc>
        <w:tc>
          <w:tcPr>
            <w:tcW w:w="25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Aproximadamente el 50%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Alto</w:t>
            </w:r>
          </w:p>
        </w:tc>
        <w:tc>
          <w:tcPr>
            <w:tcW w:w="13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Alto</w:t>
            </w:r>
          </w:p>
        </w:tc>
      </w:tr>
      <w:tr>
        <w:trPr>
          <w:trHeight w:val="300" w:hRule="atLeast"/>
        </w:trPr>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Clase ER19</w:t>
            </w:r>
          </w:p>
        </w:tc>
        <w:tc>
          <w:tcPr>
            <w:tcW w:w="25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La mayoría</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Bajo</w:t>
            </w:r>
          </w:p>
        </w:tc>
        <w:tc>
          <w:tcPr>
            <w:tcW w:w="13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Bajo</w:t>
            </w:r>
          </w:p>
        </w:tc>
      </w:tr>
      <w:tr>
        <w:trPr>
          <w:trHeight w:val="300" w:hRule="atLeast"/>
        </w:trPr>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Clase ER20</w:t>
            </w:r>
          </w:p>
        </w:tc>
        <w:tc>
          <w:tcPr>
            <w:tcW w:w="25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La mayoría</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Bajo</w:t>
            </w:r>
          </w:p>
        </w:tc>
        <w:tc>
          <w:tcPr>
            <w:tcW w:w="13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Medio</w:t>
            </w:r>
          </w:p>
        </w:tc>
      </w:tr>
      <w:tr>
        <w:trPr>
          <w:trHeight w:val="300" w:hRule="atLeast"/>
        </w:trPr>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Clase ER21</w:t>
            </w:r>
          </w:p>
        </w:tc>
        <w:tc>
          <w:tcPr>
            <w:tcW w:w="25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La mayoría</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Bajo</w:t>
            </w:r>
          </w:p>
        </w:tc>
        <w:tc>
          <w:tcPr>
            <w:tcW w:w="13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Alto</w:t>
            </w:r>
          </w:p>
        </w:tc>
      </w:tr>
      <w:tr>
        <w:trPr>
          <w:trHeight w:val="300" w:hRule="atLeast"/>
        </w:trPr>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Clase ER22</w:t>
            </w:r>
          </w:p>
        </w:tc>
        <w:tc>
          <w:tcPr>
            <w:tcW w:w="25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La mayoría</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Medio</w:t>
            </w:r>
          </w:p>
        </w:tc>
        <w:tc>
          <w:tcPr>
            <w:tcW w:w="13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Bajo</w:t>
            </w:r>
          </w:p>
        </w:tc>
      </w:tr>
      <w:tr>
        <w:trPr>
          <w:trHeight w:val="300" w:hRule="atLeast"/>
        </w:trPr>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Clase ER23</w:t>
            </w:r>
          </w:p>
        </w:tc>
        <w:tc>
          <w:tcPr>
            <w:tcW w:w="25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La mayoría</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Medio</w:t>
            </w:r>
          </w:p>
        </w:tc>
        <w:tc>
          <w:tcPr>
            <w:tcW w:w="13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Medio</w:t>
            </w:r>
          </w:p>
        </w:tc>
      </w:tr>
      <w:tr>
        <w:trPr>
          <w:trHeight w:val="300" w:hRule="atLeast"/>
        </w:trPr>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Clase ER24</w:t>
            </w:r>
          </w:p>
        </w:tc>
        <w:tc>
          <w:tcPr>
            <w:tcW w:w="25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La mayoría</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Medio</w:t>
            </w:r>
          </w:p>
        </w:tc>
        <w:tc>
          <w:tcPr>
            <w:tcW w:w="13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Alto</w:t>
            </w:r>
          </w:p>
        </w:tc>
      </w:tr>
      <w:tr>
        <w:trPr>
          <w:trHeight w:val="300" w:hRule="atLeast"/>
        </w:trPr>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Clase ER25</w:t>
            </w:r>
          </w:p>
        </w:tc>
        <w:tc>
          <w:tcPr>
            <w:tcW w:w="25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La mayoría</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Alto</w:t>
            </w:r>
          </w:p>
        </w:tc>
        <w:tc>
          <w:tcPr>
            <w:tcW w:w="13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Bajo</w:t>
            </w:r>
          </w:p>
        </w:tc>
      </w:tr>
      <w:tr>
        <w:trPr>
          <w:trHeight w:val="300" w:hRule="atLeast"/>
        </w:trPr>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Clase ER26</w:t>
            </w:r>
          </w:p>
        </w:tc>
        <w:tc>
          <w:tcPr>
            <w:tcW w:w="25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La mayoría</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Alto</w:t>
            </w:r>
          </w:p>
        </w:tc>
        <w:tc>
          <w:tcPr>
            <w:tcW w:w="13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Medio</w:t>
            </w:r>
          </w:p>
        </w:tc>
      </w:tr>
      <w:tr>
        <w:trPr>
          <w:trHeight w:val="300" w:hRule="atLeast"/>
        </w:trPr>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Clase ER27</w:t>
            </w:r>
          </w:p>
        </w:tc>
        <w:tc>
          <w:tcPr>
            <w:tcW w:w="25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La mayoría</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Alto</w:t>
            </w:r>
          </w:p>
        </w:tc>
        <w:tc>
          <w:tcPr>
            <w:tcW w:w="13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Alto</w:t>
            </w:r>
          </w:p>
        </w:tc>
      </w:tr>
      <w:tr>
        <w:trPr>
          <w:trHeight w:val="300" w:hRule="atLeast"/>
        </w:trPr>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Clase ER28</w:t>
            </w:r>
          </w:p>
        </w:tc>
        <w:tc>
          <w:tcPr>
            <w:tcW w:w="25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La mayoría</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Porosa</w:t>
            </w:r>
          </w:p>
        </w:tc>
        <w:tc>
          <w:tcPr>
            <w:tcW w:w="13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Porosa</w:t>
            </w:r>
          </w:p>
        </w:tc>
      </w:tr>
      <w:tr>
        <w:trPr>
          <w:trHeight w:val="300" w:hRule="atLeast"/>
        </w:trPr>
        <w:tc>
          <w:tcPr>
            <w:tcW w:w="1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Clase ER29</w:t>
            </w:r>
          </w:p>
        </w:tc>
        <w:tc>
          <w:tcPr>
            <w:tcW w:w="25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La mayoría</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Porosa</w:t>
            </w:r>
          </w:p>
        </w:tc>
        <w:tc>
          <w:tcPr>
            <w:tcW w:w="13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Tabla"/>
              <w:rPr>
                <w:lang w:val="en-US" w:eastAsia="en-US"/>
              </w:rPr>
            </w:pPr>
            <w:r>
              <w:rPr>
                <w:lang w:val="en-US" w:eastAsia="en-US"/>
              </w:rPr>
              <w:t>Porosa</w:t>
            </w:r>
          </w:p>
        </w:tc>
      </w:tr>
    </w:tbl>
    <w:p>
      <w:pPr>
        <w:pStyle w:val="Normal"/>
        <w:rPr/>
      </w:pPr>
      <w:r>
        <w:rPr/>
      </w:r>
    </w:p>
    <w:p>
      <w:pPr>
        <w:pStyle w:val="Normal"/>
        <w:rPr/>
      </w:pPr>
      <w:r>
        <w:rPr/>
        <w:t xml:space="preserve">En la </w:t>
      </w:r>
      <w:r>
        <w:rPr/>
        <w:fldChar w:fldCharType="begin"/>
      </w:r>
      <w:r>
        <w:instrText> REF _Ref79297961 \h </w:instrText>
      </w:r>
      <w:r>
        <w:fldChar w:fldCharType="separate"/>
      </w:r>
      <w:r>
        <w:t>Figura 37</w:t>
      </w:r>
      <w:r>
        <w:fldChar w:fldCharType="end"/>
      </w:r>
      <w:r>
        <w:rPr/>
        <w:t xml:space="preserve"> se representa el dominio de la variable lingüística de los cuantificadores empleados en las pruebas.</w:t>
      </w:r>
    </w:p>
    <w:p>
      <w:pPr>
        <w:pStyle w:val="Normal"/>
        <w:keepNext/>
        <w:rPr/>
      </w:pPr>
      <w:r>
        <w:rPr/>
        <w:drawing>
          <wp:inline distT="0" distB="0" distL="0" distR="0">
            <wp:extent cx="5379720" cy="1919605"/>
            <wp:effectExtent l="0" t="0" r="0" b="0"/>
            <wp:docPr id="14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pStyle w:val="Caption1"/>
        <w:rPr/>
      </w:pPr>
      <w:bookmarkStart w:id="3773" w:name="_Toc84599044"/>
      <w:bookmarkStart w:id="3774" w:name="_Ref79297961"/>
      <w:r>
        <w:rPr/>
        <w:t xml:space="preserve">Figura </w:t>
      </w:r>
      <w:r>
        <w:rPr/>
        <w:fldChar w:fldCharType="begin"/>
      </w:r>
      <w:r>
        <w:instrText> SEQ Figura \* ARABIC </w:instrText>
      </w:r>
      <w:r>
        <w:fldChar w:fldCharType="separate"/>
      </w:r>
      <w:r>
        <w:t>37</w:t>
      </w:r>
      <w:r>
        <w:fldChar w:fldCharType="end"/>
      </w:r>
      <w:bookmarkEnd w:id="3773"/>
      <w:bookmarkEnd w:id="3774"/>
      <w:r>
        <w:rPr/>
        <w:t>: Variable lingüística de los cuantificadores usados en las pruebas.</w:t>
      </w:r>
    </w:p>
    <w:p>
      <w:pPr>
        <w:pStyle w:val="Normal"/>
        <w:rPr/>
      </w:pPr>
      <w:r>
        <w:rPr/>
      </w:r>
    </w:p>
    <w:p>
      <w:pPr>
        <w:pStyle w:val="Normal"/>
        <w:jc w:val="center"/>
        <w:rPr/>
      </w:pPr>
      <w:bookmarkStart w:id="3775" w:name="_Ref79301280"/>
      <w:bookmarkStart w:id="3776" w:name="_Ref50124733"/>
      <w:bookmarkStart w:id="3777" w:name="_Toc84598993"/>
      <w:bookmarkStart w:id="3778" w:name="_Ref50124749"/>
      <w:r>
        <w:rPr/>
        <w:t xml:space="preserve">Tabla </w:t>
      </w:r>
      <w:r>
        <w:rPr/>
        <w:fldChar w:fldCharType="begin"/>
      </w:r>
      <w:r>
        <w:instrText> SEQ Tabla \* ARABIC </w:instrText>
      </w:r>
      <w:r>
        <w:fldChar w:fldCharType="separate"/>
      </w:r>
      <w:r>
        <w:t>23</w:t>
      </w:r>
      <w:r>
        <w:fldChar w:fldCharType="end"/>
      </w:r>
      <w:bookmarkEnd w:id="3776"/>
      <w:bookmarkEnd w:id="3777"/>
      <w:bookmarkEnd w:id="3778"/>
      <w:r>
        <w:rPr/>
        <w:t>: Ejemplo de objetos de la clase de prueba ER1.</w:t>
      </w:r>
    </w:p>
    <w:tbl>
      <w:tblPr>
        <w:tblW w:w="820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3" w:type="dxa"/>
          <w:bottom w:w="0" w:type="dxa"/>
          <w:right w:w="108" w:type="dxa"/>
        </w:tblCellMar>
        <w:tblLook w:val="04a0" w:noVBand="1" w:noHBand="0" w:lastColumn="0" w:firstColumn="1" w:lastRow="0" w:firstRow="1"/>
      </w:tblPr>
      <w:tblGrid>
        <w:gridCol w:w="914"/>
        <w:gridCol w:w="606"/>
        <w:gridCol w:w="606"/>
        <w:gridCol w:w="606"/>
        <w:gridCol w:w="607"/>
        <w:gridCol w:w="607"/>
        <w:gridCol w:w="607"/>
        <w:gridCol w:w="606"/>
        <w:gridCol w:w="611"/>
        <w:gridCol w:w="607"/>
        <w:gridCol w:w="607"/>
        <w:gridCol w:w="606"/>
        <w:gridCol w:w="611"/>
      </w:tblGrid>
      <w:tr>
        <w:trPr>
          <w:trHeight w:val="300" w:hRule="atLeast"/>
        </w:trPr>
        <w:tc>
          <w:tcPr>
            <w:tcW w:w="8201" w:type="dxa"/>
            <w:gridSpan w:val="1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
                <w:b/>
                <w:lang w:val="en-US" w:eastAsia="en-US"/>
              </w:rPr>
            </w:pPr>
            <w:r>
              <w:rPr>
                <w:rFonts w:cs="Times New Roman" w:ascii="Calibri" w:hAnsi="Calibri"/>
                <w:b/>
                <w:lang w:val="en-US" w:eastAsia="en-US"/>
              </w:rPr>
              <w:t>Clase de prueba: ER1</w:t>
            </w:r>
          </w:p>
        </w:tc>
      </w:tr>
      <w:tr>
        <w:trPr>
          <w:trHeight w:val="321" w:hRule="atLeast"/>
        </w:trPr>
        <w:tc>
          <w:tcPr>
            <w:tcW w:w="91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spacing w:lineRule="auto" w:line="240" w:before="0" w:after="0"/>
              <w:jc w:val="center"/>
              <w:rPr>
                <w:rFonts w:ascii="Calibri" w:hAnsi="Calibri" w:cs="Times New Roman"/>
                <w:bCs w:val="false"/>
                <w:lang w:val="en-US" w:eastAsia="en-US"/>
              </w:rPr>
            </w:pPr>
            <w:r>
              <w:rPr>
                <w:rFonts w:cs="Times New Roman" w:ascii="Calibri" w:hAnsi="Calibri"/>
                <w:bCs w:val="false"/>
                <w:lang w:val="en-US" w:eastAsia="en-US"/>
              </w:rPr>
              <w:t>Objetos</w:t>
            </w:r>
          </w:p>
        </w:tc>
        <w:tc>
          <w:tcPr>
            <w:tcW w:w="2425"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μ</w:t>
            </w:r>
            <w:r>
              <w:rPr>
                <w:rFonts w:cs="Times New Roman" w:ascii="Calibri" w:hAnsi="Calibri"/>
                <w:bCs w:val="false"/>
                <w:vertAlign w:val="subscript"/>
                <w:lang w:val="en-US" w:eastAsia="en-US"/>
              </w:rPr>
              <w:t>M</w:t>
            </w:r>
            <w:r>
              <w:rPr>
                <w:rFonts w:cs="Times New Roman" w:ascii="Calibri" w:hAnsi="Calibri"/>
                <w:bCs w:val="false"/>
                <w:lang w:val="en-US" w:eastAsia="en-US"/>
              </w:rPr>
              <w:t>(x) Pertenencia</w:t>
            </w:r>
          </w:p>
        </w:tc>
        <w:tc>
          <w:tcPr>
            <w:tcW w:w="2431"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eastAsia="Symbol" w:cs="Symbol" w:ascii="Symbol" w:hAnsi="Symbol"/>
                <w:i/>
                <w:sz w:val="24"/>
                <w:szCs w:val="24"/>
                <w:lang w:val="x-none" w:eastAsia="en-US"/>
              </w:rPr>
              <w:t></w:t>
            </w:r>
            <w:r>
              <w:rPr>
                <w:rFonts w:cs="Times New Roman" w:ascii="Calibri" w:hAnsi="Calibri"/>
                <w:bCs w:val="false"/>
                <w:vertAlign w:val="subscript"/>
                <w:lang w:val="en-US" w:eastAsia="en-US"/>
              </w:rPr>
              <w:t>M</w:t>
            </w:r>
            <w:r>
              <w:rPr>
                <w:rFonts w:cs="Times New Roman" w:ascii="Calibri" w:hAnsi="Calibri"/>
                <w:bCs w:val="false"/>
                <w:lang w:val="en-US" w:eastAsia="en-US"/>
              </w:rPr>
              <w:t>(x) Indeterminación</w:t>
            </w:r>
          </w:p>
        </w:tc>
        <w:tc>
          <w:tcPr>
            <w:tcW w:w="2431"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σ</w:t>
            </w:r>
            <w:r>
              <w:rPr>
                <w:rFonts w:cs="Times New Roman" w:ascii="Calibri" w:hAnsi="Calibri"/>
                <w:bCs w:val="false"/>
                <w:vertAlign w:val="subscript"/>
                <w:lang w:val="en-US" w:eastAsia="en-US"/>
              </w:rPr>
              <w:t>M</w:t>
            </w:r>
            <w:r>
              <w:rPr>
                <w:rFonts w:cs="Times New Roman" w:ascii="Calibri" w:hAnsi="Calibri"/>
                <w:bCs w:val="false"/>
                <w:lang w:val="en-US" w:eastAsia="en-US"/>
              </w:rPr>
              <w:t>(x) No pertenencia</w:t>
            </w:r>
          </w:p>
        </w:tc>
      </w:tr>
      <w:tr>
        <w:trPr>
          <w:trHeight w:val="331" w:hRule="atLeast"/>
        </w:trPr>
        <w:tc>
          <w:tcPr>
            <w:tcW w:w="91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R1</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R2</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S1</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S2</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R1</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R2</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S1</w:t>
            </w:r>
          </w:p>
        </w:tc>
        <w:tc>
          <w:tcPr>
            <w:tcW w:w="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S2</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R1</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R2</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R1</w:t>
            </w:r>
          </w:p>
        </w:tc>
        <w:tc>
          <w:tcPr>
            <w:tcW w:w="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S2</w:t>
            </w:r>
          </w:p>
        </w:tc>
      </w:tr>
      <w:tr>
        <w:trPr>
          <w:trHeight w:val="300" w:hRule="atLeast"/>
        </w:trPr>
        <w:tc>
          <w:tcPr>
            <w:tcW w:w="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1</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0.15</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0.23</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0.23</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0.17</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0.80</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0.72</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0.72</w:t>
            </w:r>
          </w:p>
        </w:tc>
        <w:tc>
          <w:tcPr>
            <w:tcW w:w="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0.78</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0.72</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0.65</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0.65</w:t>
            </w:r>
          </w:p>
        </w:tc>
        <w:tc>
          <w:tcPr>
            <w:tcW w:w="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0.71</w:t>
            </w:r>
          </w:p>
        </w:tc>
      </w:tr>
      <w:tr>
        <w:trPr>
          <w:trHeight w:val="300" w:hRule="atLeast"/>
        </w:trPr>
        <w:tc>
          <w:tcPr>
            <w:tcW w:w="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2</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0.05</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0.13</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0.2</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0.17</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0.89</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0.82</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0.75</w:t>
            </w:r>
          </w:p>
        </w:tc>
        <w:tc>
          <w:tcPr>
            <w:tcW w:w="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0.78</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0.81</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0.74</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0.68</w:t>
            </w:r>
          </w:p>
        </w:tc>
        <w:tc>
          <w:tcPr>
            <w:tcW w:w="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0.71</w:t>
            </w:r>
          </w:p>
        </w:tc>
      </w:tr>
      <w:tr>
        <w:trPr>
          <w:trHeight w:val="300" w:hRule="atLeast"/>
        </w:trPr>
        <w:tc>
          <w:tcPr>
            <w:tcW w:w="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3</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0.09</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0.1</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0.16</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0.12</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0.86</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0.85</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0.79</w:t>
            </w:r>
          </w:p>
        </w:tc>
        <w:tc>
          <w:tcPr>
            <w:tcW w:w="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0.83</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0.77</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0.77</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0.71</w:t>
            </w:r>
          </w:p>
        </w:tc>
        <w:tc>
          <w:tcPr>
            <w:tcW w:w="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0.75</w:t>
            </w:r>
          </w:p>
        </w:tc>
      </w:tr>
      <w:tr>
        <w:trPr>
          <w:trHeight w:val="300" w:hRule="atLeast"/>
        </w:trPr>
        <w:tc>
          <w:tcPr>
            <w:tcW w:w="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4</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0.02</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0.06</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0.11</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0.19</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0.92</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0.88</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0.84</w:t>
            </w:r>
          </w:p>
        </w:tc>
        <w:tc>
          <w:tcPr>
            <w:tcW w:w="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0.76</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0.83</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0.80</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0.76</w:t>
            </w:r>
          </w:p>
        </w:tc>
        <w:tc>
          <w:tcPr>
            <w:tcW w:w="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0.69</w:t>
            </w:r>
          </w:p>
        </w:tc>
      </w:tr>
      <w:tr>
        <w:trPr>
          <w:trHeight w:val="300" w:hRule="atLeast"/>
        </w:trPr>
        <w:tc>
          <w:tcPr>
            <w:tcW w:w="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5</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0.18</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0.19</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0.22</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0.03</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0.77</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0.76</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0.73</w:t>
            </w:r>
          </w:p>
        </w:tc>
        <w:tc>
          <w:tcPr>
            <w:tcW w:w="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0.91</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0.70</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0.69</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0.66</w:t>
            </w:r>
          </w:p>
        </w:tc>
        <w:tc>
          <w:tcPr>
            <w:tcW w:w="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0.82</w:t>
            </w:r>
          </w:p>
        </w:tc>
      </w:tr>
      <w:tr>
        <w:trPr>
          <w:trHeight w:val="300" w:hRule="atLeast"/>
        </w:trPr>
        <w:tc>
          <w:tcPr>
            <w:tcW w:w="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6</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0.15</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0.33</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0.03</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0.80</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0.63</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0.91</w:t>
            </w:r>
          </w:p>
        </w:tc>
        <w:tc>
          <w:tcPr>
            <w:tcW w:w="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0.94</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0.72</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0.57</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0.82</w:t>
            </w:r>
          </w:p>
        </w:tc>
        <w:tc>
          <w:tcPr>
            <w:tcW w:w="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0.85</w:t>
            </w:r>
          </w:p>
        </w:tc>
      </w:tr>
      <w:tr>
        <w:trPr>
          <w:trHeight w:val="300" w:hRule="atLeast"/>
        </w:trPr>
        <w:tc>
          <w:tcPr>
            <w:tcW w:w="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7</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0.1</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0.05</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0.25</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0.85</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0.89</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0.71</w:t>
            </w:r>
          </w:p>
        </w:tc>
        <w:tc>
          <w:tcPr>
            <w:tcW w:w="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0.94</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0.77</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0.81</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0.64</w:t>
            </w:r>
          </w:p>
        </w:tc>
        <w:tc>
          <w:tcPr>
            <w:tcW w:w="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0.85</w:t>
            </w:r>
          </w:p>
        </w:tc>
      </w:tr>
      <w:tr>
        <w:trPr>
          <w:trHeight w:val="300" w:hRule="atLeast"/>
        </w:trPr>
        <w:tc>
          <w:tcPr>
            <w:tcW w:w="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8</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0.65</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0.7</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0.88</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0.65</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0.33</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0.28</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0.11</w:t>
            </w:r>
          </w:p>
        </w:tc>
        <w:tc>
          <w:tcPr>
            <w:tcW w:w="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0.33</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0.30</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0.26</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0.10</w:t>
            </w:r>
          </w:p>
        </w:tc>
        <w:tc>
          <w:tcPr>
            <w:tcW w:w="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0.30</w:t>
            </w:r>
          </w:p>
        </w:tc>
      </w:tr>
      <w:tr>
        <w:trPr>
          <w:trHeight w:val="300" w:hRule="atLeast"/>
        </w:trPr>
        <w:tc>
          <w:tcPr>
            <w:tcW w:w="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9</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0.64</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0.69</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0.76</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1</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0.34</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0.29</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0.23</w:t>
            </w:r>
          </w:p>
        </w:tc>
        <w:tc>
          <w:tcPr>
            <w:tcW w:w="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0.00</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0.31</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0.26</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0.20</w:t>
            </w:r>
          </w:p>
        </w:tc>
        <w:tc>
          <w:tcPr>
            <w:tcW w:w="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0.00</w:t>
            </w:r>
          </w:p>
        </w:tc>
      </w:tr>
      <w:tr>
        <w:trPr>
          <w:trHeight w:val="300" w:hRule="atLeast"/>
        </w:trPr>
        <w:tc>
          <w:tcPr>
            <w:tcW w:w="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10</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0.76</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0.71</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0.99</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0.98</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0.23</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0.27</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0.01</w:t>
            </w:r>
          </w:p>
        </w:tc>
        <w:tc>
          <w:tcPr>
            <w:tcW w:w="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0.02</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0.20</w:t>
            </w:r>
          </w:p>
        </w:tc>
        <w:tc>
          <w:tcPr>
            <w:tcW w:w="6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0.25</w:t>
            </w:r>
          </w:p>
        </w:tc>
        <w:tc>
          <w:tcPr>
            <w:tcW w:w="6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0.01</w:t>
            </w:r>
          </w:p>
        </w:tc>
        <w:tc>
          <w:tcPr>
            <w:tcW w:w="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overflowPunct w:val="true"/>
              <w:spacing w:lineRule="auto" w:line="240" w:before="0" w:after="0"/>
              <w:jc w:val="center"/>
              <w:textAlignment w:val="auto"/>
              <w:rPr>
                <w:rFonts w:ascii="Calibri" w:hAnsi="Calibri" w:cs="Times New Roman"/>
                <w:bCs w:val="false"/>
                <w:lang w:val="en-US" w:eastAsia="en-US"/>
              </w:rPr>
            </w:pPr>
            <w:r>
              <w:rPr>
                <w:rFonts w:cs="Times New Roman" w:ascii="Calibri" w:hAnsi="Calibri"/>
                <w:bCs w:val="false"/>
                <w:lang w:val="en-US" w:eastAsia="en-US"/>
              </w:rPr>
              <w:t>0.02</w:t>
            </w:r>
          </w:p>
        </w:tc>
      </w:tr>
    </w:tbl>
    <w:p>
      <w:pPr>
        <w:pStyle w:val="Normal"/>
        <w:rPr/>
      </w:pPr>
      <w:r>
        <w:rPr/>
      </w:r>
    </w:p>
    <w:p>
      <w:pPr>
        <w:pStyle w:val="Heading2"/>
        <w:numPr>
          <w:ilvl w:val="1"/>
          <w:numId w:val="80"/>
        </w:numPr>
        <w:rPr/>
      </w:pPr>
      <w:bookmarkStart w:id="3779" w:name="_Toc84598962"/>
      <w:bookmarkStart w:id="3780" w:name="_Ref79489285"/>
      <w:r>
        <w:rPr/>
        <w:t xml:space="preserve">Anexo </w:t>
      </w:r>
      <w:r>
        <w:rPr/>
        <w:fldChar w:fldCharType="begin"/>
      </w:r>
      <w:r>
        <w:instrText> SEQ Anexo \* ARABIC </w:instrText>
      </w:r>
      <w:r>
        <w:fldChar w:fldCharType="separate"/>
      </w:r>
      <w:r>
        <w:t>8</w:t>
      </w:r>
      <w:r>
        <w:fldChar w:fldCharType="end"/>
      </w:r>
      <w:bookmarkEnd w:id="3775"/>
      <w:bookmarkEnd w:id="3780"/>
      <w:r>
        <w:rPr/>
        <w:t xml:space="preserve">. Resumen de </w:t>
      </w:r>
      <w:r>
        <w:rPr>
          <w:lang w:val="en-US"/>
        </w:rPr>
        <w:t>bases de datos</w:t>
      </w:r>
      <w:bookmarkEnd w:id="3779"/>
      <w:r>
        <w:rPr/>
        <w:t xml:space="preserve"> empleadas en la experimentación</w:t>
      </w:r>
    </w:p>
    <w:p>
      <w:pPr>
        <w:pStyle w:val="Normal"/>
        <w:ind w:left="360" w:hanging="0"/>
        <w:rPr/>
      </w:pPr>
      <w:r>
        <w:rPr>
          <w:lang w:val="en-US"/>
        </w:rPr>
        <w:t xml:space="preserve">En la </w:t>
      </w:r>
      <w:r>
        <w:rPr>
          <w:lang w:val="en-US"/>
        </w:rPr>
        <w:fldChar w:fldCharType="begin"/>
      </w:r>
      <w:r>
        <w:instrText> REF _Ref68936431 \h </w:instrText>
      </w:r>
      <w:r>
        <w:fldChar w:fldCharType="separate"/>
      </w:r>
      <w:r>
        <w:t>Tabla 24</w:t>
      </w:r>
      <w:r>
        <w:fldChar w:fldCharType="end"/>
      </w:r>
      <w:r>
        <w:rPr>
          <w:lang w:val="en-US"/>
        </w:rPr>
        <w:t xml:space="preserve"> se muestra un resumen de estas bases de datos.</w:t>
      </w:r>
    </w:p>
    <w:p>
      <w:pPr>
        <w:pStyle w:val="Normal"/>
        <w:jc w:val="center"/>
        <w:rPr/>
      </w:pPr>
      <w:bookmarkStart w:id="3781" w:name="_Toc84598994"/>
      <w:bookmarkStart w:id="3782" w:name="_Ref68936431"/>
      <w:r>
        <w:rPr/>
        <w:t xml:space="preserve">Tabla </w:t>
      </w:r>
      <w:r>
        <w:rPr/>
        <w:fldChar w:fldCharType="begin"/>
      </w:r>
      <w:r>
        <w:instrText> SEQ Tabla \* ARABIC </w:instrText>
      </w:r>
      <w:r>
        <w:fldChar w:fldCharType="separate"/>
      </w:r>
      <w:r>
        <w:t>24</w:t>
      </w:r>
      <w:r>
        <w:fldChar w:fldCharType="end"/>
      </w:r>
      <w:bookmarkEnd w:id="3781"/>
      <w:bookmarkEnd w:id="3782"/>
      <w:r>
        <w:rPr/>
        <w:t>: Descripción de las bases de datos.</w:t>
      </w:r>
    </w:p>
    <w:tbl>
      <w:tblPr>
        <w:tblW w:w="4400" w:type="pct"/>
        <w:jc w:val="center"/>
        <w:tblInd w:w="0" w:type="dxa"/>
        <w:tblBorders>
          <w:top w:val="single" w:sz="8" w:space="0" w:color="000001"/>
          <w:left w:val="single" w:sz="8" w:space="0" w:color="E0E0E0"/>
          <w:bottom w:val="single" w:sz="8" w:space="0" w:color="000001"/>
          <w:right w:val="single" w:sz="8" w:space="0" w:color="E0E0E0"/>
          <w:insideH w:val="single" w:sz="8" w:space="0" w:color="000001"/>
          <w:insideV w:val="single" w:sz="8" w:space="0" w:color="E0E0E0"/>
        </w:tblBorders>
        <w:tblCellMar>
          <w:top w:w="0" w:type="dxa"/>
          <w:left w:w="-10" w:type="dxa"/>
          <w:bottom w:w="0" w:type="dxa"/>
          <w:right w:w="0" w:type="dxa"/>
        </w:tblCellMar>
        <w:tblLook w:val="0000" w:noVBand="0" w:noHBand="0" w:lastColumn="0" w:firstColumn="0" w:lastRow="0" w:firstRow="0"/>
      </w:tblPr>
      <w:tblGrid>
        <w:gridCol w:w="2679"/>
        <w:gridCol w:w="565"/>
        <w:gridCol w:w="1267"/>
        <w:gridCol w:w="852"/>
        <w:gridCol w:w="1268"/>
        <w:gridCol w:w="1269"/>
      </w:tblGrid>
      <w:tr>
        <w:trPr>
          <w:cantSplit w:val="true"/>
        </w:trPr>
        <w:tc>
          <w:tcPr>
            <w:tcW w:w="3244" w:type="dxa"/>
            <w:gridSpan w:val="2"/>
            <w:vMerge w:val="restart"/>
            <w:tcBorders>
              <w:top w:val="single" w:sz="8" w:space="0" w:color="000001"/>
              <w:left w:val="single" w:sz="8" w:space="0" w:color="E0E0E0"/>
              <w:bottom w:val="single" w:sz="8" w:space="0" w:color="000001"/>
              <w:right w:val="single" w:sz="8" w:space="0" w:color="E0E0E0"/>
              <w:insideH w:val="single" w:sz="8" w:space="0" w:color="000001"/>
              <w:insideV w:val="single" w:sz="8" w:space="0" w:color="E0E0E0"/>
            </w:tcBorders>
            <w:shd w:color="auto" w:fill="FFFFFF" w:val="clear"/>
            <w:tcMar>
              <w:left w:w="-10" w:type="dxa"/>
            </w:tcMar>
            <w:vAlign w:val="center"/>
          </w:tcPr>
          <w:p>
            <w:pPr>
              <w:pStyle w:val="Normal"/>
              <w:suppressAutoHyphens w:val="false"/>
              <w:overflowPunct w:val="true"/>
              <w:spacing w:lineRule="auto" w:line="240" w:before="0" w:after="0"/>
              <w:ind w:left="60" w:right="60" w:hanging="0"/>
              <w:jc w:val="center"/>
              <w:textAlignment w:val="auto"/>
              <w:rPr>
                <w:color w:val="264A60"/>
                <w:sz w:val="18"/>
                <w:szCs w:val="18"/>
                <w:lang w:val="en-US" w:eastAsia="en-US"/>
              </w:rPr>
            </w:pPr>
            <w:r>
              <w:rPr>
                <w:b/>
                <w:color w:val="264A60"/>
                <w:szCs w:val="18"/>
                <w:lang w:val="en-US" w:eastAsia="en-US"/>
              </w:rPr>
              <w:t>Descripción de las bases de datos</w:t>
            </w:r>
          </w:p>
        </w:tc>
        <w:tc>
          <w:tcPr>
            <w:tcW w:w="2119" w:type="dxa"/>
            <w:gridSpan w:val="2"/>
            <w:tcBorders>
              <w:top w:val="single" w:sz="8" w:space="0" w:color="000001"/>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tcPr>
          <w:p>
            <w:pPr>
              <w:pStyle w:val="Normal"/>
              <w:suppressAutoHyphens w:val="false"/>
              <w:overflowPunct w:val="true"/>
              <w:spacing w:lineRule="auto" w:line="240" w:before="0" w:after="0"/>
              <w:ind w:left="60" w:right="60" w:hanging="0"/>
              <w:jc w:val="center"/>
              <w:textAlignment w:val="auto"/>
              <w:rPr>
                <w:color w:val="264A60"/>
                <w:sz w:val="18"/>
                <w:szCs w:val="18"/>
                <w:lang w:eastAsia="en-US"/>
              </w:rPr>
            </w:pPr>
            <w:r>
              <w:rPr>
                <w:color w:val="264A60"/>
                <w:sz w:val="18"/>
                <w:szCs w:val="18"/>
                <w:lang w:eastAsia="en-US"/>
              </w:rPr>
              <w:t xml:space="preserve">Cantidad de </w:t>
            </w:r>
          </w:p>
        </w:tc>
        <w:tc>
          <w:tcPr>
            <w:tcW w:w="2537" w:type="dxa"/>
            <w:gridSpan w:val="2"/>
            <w:tcBorders>
              <w:top w:val="single" w:sz="8" w:space="0" w:color="000001"/>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tcPr>
          <w:p>
            <w:pPr>
              <w:pStyle w:val="Normal"/>
              <w:suppressAutoHyphens w:val="false"/>
              <w:overflowPunct w:val="true"/>
              <w:spacing w:lineRule="auto" w:line="240" w:before="0" w:after="0"/>
              <w:ind w:left="60" w:right="60" w:hanging="0"/>
              <w:jc w:val="center"/>
              <w:textAlignment w:val="auto"/>
              <w:rPr>
                <w:color w:val="010205"/>
                <w:sz w:val="18"/>
                <w:szCs w:val="18"/>
                <w:lang w:eastAsia="en-US"/>
              </w:rPr>
            </w:pPr>
            <w:r>
              <w:rPr>
                <w:color w:val="264A60"/>
                <w:sz w:val="18"/>
                <w:szCs w:val="18"/>
                <w:lang w:eastAsia="en-US"/>
              </w:rPr>
              <w:t>Cantidad de atributos de tipo</w:t>
            </w:r>
          </w:p>
        </w:tc>
      </w:tr>
      <w:tr>
        <w:trPr>
          <w:cantSplit w:val="true"/>
        </w:trPr>
        <w:tc>
          <w:tcPr>
            <w:tcW w:w="3244" w:type="dxa"/>
            <w:gridSpan w:val="2"/>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
              <w:suppressAutoHyphens w:val="false"/>
              <w:overflowPunct w:val="true"/>
              <w:spacing w:lineRule="auto" w:line="240" w:before="0" w:after="0"/>
              <w:ind w:left="60" w:right="60" w:hanging="0"/>
              <w:jc w:val="center"/>
              <w:textAlignment w:val="auto"/>
              <w:rPr>
                <w:b/>
                <w:b/>
                <w:color w:val="264A60"/>
                <w:szCs w:val="18"/>
                <w:lang w:val="en-US" w:eastAsia="en-US"/>
              </w:rPr>
            </w:pPr>
            <w:r>
              <w:rPr>
                <w:b/>
                <w:color w:val="264A60"/>
                <w:szCs w:val="18"/>
                <w:lang w:val="en-US" w:eastAsia="en-US"/>
              </w:rPr>
            </w:r>
          </w:p>
        </w:tc>
        <w:tc>
          <w:tcPr>
            <w:tcW w:w="1267" w:type="dxa"/>
            <w:tcBorders>
              <w:top w:val="single" w:sz="8" w:space="0" w:color="000001"/>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vAlign w:val="center"/>
          </w:tcPr>
          <w:p>
            <w:pPr>
              <w:pStyle w:val="Normal"/>
              <w:suppressAutoHyphens w:val="false"/>
              <w:overflowPunct w:val="true"/>
              <w:spacing w:lineRule="auto" w:line="240" w:before="0" w:after="0"/>
              <w:ind w:left="60" w:right="60" w:hanging="0"/>
              <w:jc w:val="center"/>
              <w:textAlignment w:val="auto"/>
              <w:rPr>
                <w:color w:val="264A60"/>
                <w:sz w:val="18"/>
                <w:szCs w:val="18"/>
                <w:lang w:eastAsia="en-US"/>
              </w:rPr>
            </w:pPr>
            <w:r>
              <w:rPr>
                <w:color w:val="264A60"/>
                <w:sz w:val="18"/>
                <w:szCs w:val="18"/>
                <w:lang w:eastAsia="en-US"/>
              </w:rPr>
              <w:t>instancias</w:t>
            </w:r>
          </w:p>
        </w:tc>
        <w:tc>
          <w:tcPr>
            <w:tcW w:w="852" w:type="dxa"/>
            <w:tcBorders>
              <w:top w:val="single" w:sz="8" w:space="0" w:color="000001"/>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vAlign w:val="center"/>
          </w:tcPr>
          <w:p>
            <w:pPr>
              <w:pStyle w:val="Normal"/>
              <w:suppressAutoHyphens w:val="false"/>
              <w:overflowPunct w:val="true"/>
              <w:spacing w:lineRule="auto" w:line="240" w:before="0" w:after="0"/>
              <w:ind w:left="60" w:right="60" w:hanging="0"/>
              <w:jc w:val="center"/>
              <w:textAlignment w:val="auto"/>
              <w:rPr>
                <w:color w:val="264A60"/>
                <w:sz w:val="18"/>
                <w:szCs w:val="18"/>
                <w:lang w:eastAsia="en-US"/>
              </w:rPr>
            </w:pPr>
            <w:r>
              <w:rPr>
                <w:color w:val="264A60"/>
                <w:sz w:val="18"/>
                <w:szCs w:val="18"/>
                <w:lang w:eastAsia="en-US"/>
              </w:rPr>
              <w:t>atributos</w:t>
            </w:r>
          </w:p>
        </w:tc>
        <w:tc>
          <w:tcPr>
            <w:tcW w:w="1268" w:type="dxa"/>
            <w:tcBorders>
              <w:top w:val="single" w:sz="8" w:space="0" w:color="000001"/>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vAlign w:val="center"/>
          </w:tcPr>
          <w:p>
            <w:pPr>
              <w:pStyle w:val="Normal"/>
              <w:suppressAutoHyphens w:val="false"/>
              <w:overflowPunct w:val="true"/>
              <w:spacing w:lineRule="auto" w:line="240" w:before="0" w:after="0"/>
              <w:ind w:left="60" w:right="60" w:hanging="0"/>
              <w:jc w:val="center"/>
              <w:textAlignment w:val="auto"/>
              <w:rPr>
                <w:color w:val="264A60"/>
                <w:sz w:val="18"/>
                <w:szCs w:val="18"/>
                <w:lang w:eastAsia="en-US"/>
              </w:rPr>
            </w:pPr>
            <w:r>
              <w:rPr>
                <w:color w:val="264A60"/>
                <w:sz w:val="18"/>
                <w:szCs w:val="18"/>
                <w:lang w:eastAsia="en-US"/>
              </w:rPr>
              <w:t xml:space="preserve">Numérico </w:t>
            </w:r>
          </w:p>
        </w:tc>
        <w:tc>
          <w:tcPr>
            <w:tcW w:w="1269" w:type="dxa"/>
            <w:tcBorders>
              <w:top w:val="single" w:sz="8" w:space="0" w:color="000001"/>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vAlign w:val="center"/>
          </w:tcPr>
          <w:p>
            <w:pPr>
              <w:pStyle w:val="Normal"/>
              <w:suppressAutoHyphens w:val="false"/>
              <w:overflowPunct w:val="true"/>
              <w:spacing w:lineRule="auto" w:line="240" w:before="0" w:after="0"/>
              <w:ind w:left="60" w:right="60" w:hanging="0"/>
              <w:jc w:val="center"/>
              <w:textAlignment w:val="auto"/>
              <w:rPr>
                <w:color w:val="264A60"/>
                <w:sz w:val="18"/>
                <w:szCs w:val="18"/>
                <w:lang w:eastAsia="en-US"/>
              </w:rPr>
            </w:pPr>
            <w:r>
              <w:rPr>
                <w:color w:val="264A60"/>
                <w:sz w:val="18"/>
                <w:szCs w:val="18"/>
                <w:lang w:eastAsia="en-US"/>
              </w:rPr>
              <w:t>Nominal</w:t>
            </w:r>
          </w:p>
        </w:tc>
      </w:tr>
      <w:tr>
        <w:trPr>
          <w:trHeight w:val="195" w:hRule="atLeast"/>
          <w:cantSplit w:val="true"/>
        </w:trPr>
        <w:tc>
          <w:tcPr>
            <w:tcW w:w="7900" w:type="dxa"/>
            <w:gridSpan w:val="6"/>
            <w:tcBorders>
              <w:top w:val="single" w:sz="8" w:space="0" w:color="152935"/>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jc w:val="center"/>
              <w:rPr>
                <w:color w:val="010205"/>
                <w:szCs w:val="18"/>
                <w:lang w:val="en-US" w:eastAsia="en-US"/>
              </w:rPr>
            </w:pPr>
            <w:r>
              <w:rPr>
                <w:b/>
                <w:color w:val="264A60"/>
                <w:szCs w:val="18"/>
                <w:lang w:val="en-US" w:eastAsia="en-US"/>
              </w:rPr>
              <w:t>Bases de datos sobre proyectos</w:t>
            </w:r>
          </w:p>
        </w:tc>
      </w:tr>
      <w:tr>
        <w:trPr>
          <w:trHeight w:val="195" w:hRule="atLeast"/>
          <w:cantSplit w:val="true"/>
        </w:trPr>
        <w:tc>
          <w:tcPr>
            <w:tcW w:w="267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t>BD_gp_eval_proy_hard</w:t>
            </w:r>
          </w:p>
        </w:tc>
        <w:tc>
          <w:tcPr>
            <w:tcW w:w="565"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010205"/>
                <w:szCs w:val="18"/>
                <w:lang w:val="en-US" w:eastAsia="en-US"/>
              </w:rPr>
            </w:pPr>
            <w:r>
              <w:rPr>
                <w:color w:val="010205"/>
                <w:szCs w:val="18"/>
                <w:lang w:val="en-US" w:eastAsia="en-US"/>
              </w:rPr>
            </w:r>
          </w:p>
        </w:tc>
        <w:tc>
          <w:tcPr>
            <w:tcW w:w="126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229</w:t>
            </w:r>
          </w:p>
        </w:tc>
        <w:tc>
          <w:tcPr>
            <w:tcW w:w="85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8</w:t>
            </w:r>
          </w:p>
        </w:tc>
        <w:tc>
          <w:tcPr>
            <w:tcW w:w="1268"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8</w:t>
            </w:r>
          </w:p>
        </w:tc>
        <w:tc>
          <w:tcPr>
            <w:tcW w:w="126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0</w:t>
            </w:r>
          </w:p>
        </w:tc>
      </w:tr>
      <w:tr>
        <w:trPr>
          <w:cantSplit w:val="true"/>
        </w:trPr>
        <w:tc>
          <w:tcPr>
            <w:tcW w:w="267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t>BD_gp_eval_proy_integral</w:t>
            </w:r>
          </w:p>
        </w:tc>
        <w:tc>
          <w:tcPr>
            <w:tcW w:w="565"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010205"/>
                <w:szCs w:val="18"/>
                <w:lang w:val="en-US" w:eastAsia="en-US"/>
              </w:rPr>
            </w:pPr>
            <w:r>
              <w:rPr>
                <w:color w:val="010205"/>
                <w:szCs w:val="18"/>
                <w:lang w:val="en-US" w:eastAsia="en-US"/>
              </w:rPr>
            </w:r>
          </w:p>
        </w:tc>
        <w:tc>
          <w:tcPr>
            <w:tcW w:w="126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8 430</w:t>
            </w:r>
          </w:p>
        </w:tc>
        <w:tc>
          <w:tcPr>
            <w:tcW w:w="85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19</w:t>
            </w:r>
          </w:p>
        </w:tc>
        <w:tc>
          <w:tcPr>
            <w:tcW w:w="1268"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7</w:t>
            </w:r>
          </w:p>
        </w:tc>
        <w:tc>
          <w:tcPr>
            <w:tcW w:w="126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12</w:t>
            </w:r>
          </w:p>
        </w:tc>
      </w:tr>
      <w:tr>
        <w:trPr>
          <w:cantSplit w:val="true"/>
        </w:trPr>
        <w:tc>
          <w:tcPr>
            <w:tcW w:w="267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t>BD_gp_indicadores</w:t>
            </w:r>
          </w:p>
        </w:tc>
        <w:tc>
          <w:tcPr>
            <w:tcW w:w="565"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lang w:val="en-US"/>
              </w:rPr>
            </w:pPr>
            <w:r>
              <w:rPr>
                <w:lang w:val="en-US"/>
              </w:rPr>
            </w:r>
          </w:p>
        </w:tc>
        <w:tc>
          <w:tcPr>
            <w:tcW w:w="126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174</w:t>
            </w:r>
          </w:p>
        </w:tc>
        <w:tc>
          <w:tcPr>
            <w:tcW w:w="85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14</w:t>
            </w:r>
          </w:p>
        </w:tc>
        <w:tc>
          <w:tcPr>
            <w:tcW w:w="1268"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2</w:t>
            </w:r>
          </w:p>
        </w:tc>
        <w:tc>
          <w:tcPr>
            <w:tcW w:w="126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12</w:t>
            </w:r>
          </w:p>
        </w:tc>
      </w:tr>
      <w:tr>
        <w:trPr>
          <w:cantSplit w:val="true"/>
        </w:trPr>
        <w:tc>
          <w:tcPr>
            <w:tcW w:w="267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t>BD_gp_competencias</w:t>
            </w:r>
          </w:p>
        </w:tc>
        <w:tc>
          <w:tcPr>
            <w:tcW w:w="565"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010205"/>
                <w:szCs w:val="18"/>
                <w:lang w:val="en-US" w:eastAsia="en-US"/>
              </w:rPr>
            </w:pPr>
            <w:r>
              <w:rPr>
                <w:color w:val="010205"/>
                <w:szCs w:val="18"/>
                <w:lang w:val="en-US" w:eastAsia="en-US"/>
              </w:rPr>
            </w:r>
          </w:p>
        </w:tc>
        <w:tc>
          <w:tcPr>
            <w:tcW w:w="126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20 574</w:t>
            </w:r>
          </w:p>
        </w:tc>
        <w:tc>
          <w:tcPr>
            <w:tcW w:w="85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12</w:t>
            </w:r>
          </w:p>
        </w:tc>
        <w:tc>
          <w:tcPr>
            <w:tcW w:w="1268"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2</w:t>
            </w:r>
          </w:p>
        </w:tc>
        <w:tc>
          <w:tcPr>
            <w:tcW w:w="126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11</w:t>
            </w:r>
          </w:p>
        </w:tc>
      </w:tr>
      <w:tr>
        <w:trPr>
          <w:cantSplit w:val="true"/>
        </w:trPr>
        <w:tc>
          <w:tcPr>
            <w:tcW w:w="267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t>BD_gp_rrhh</w:t>
            </w:r>
          </w:p>
        </w:tc>
        <w:tc>
          <w:tcPr>
            <w:tcW w:w="565"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010205"/>
                <w:szCs w:val="18"/>
                <w:lang w:val="en-US" w:eastAsia="en-US"/>
              </w:rPr>
            </w:pPr>
            <w:r>
              <w:rPr>
                <w:color w:val="010205"/>
                <w:szCs w:val="18"/>
                <w:lang w:val="en-US" w:eastAsia="en-US"/>
              </w:rPr>
            </w:r>
          </w:p>
        </w:tc>
        <w:tc>
          <w:tcPr>
            <w:tcW w:w="126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uto" w:line="240" w:before="0" w:after="0"/>
              <w:ind w:left="60" w:right="60" w:hanging="0"/>
              <w:jc w:val="center"/>
              <w:textAlignment w:val="auto"/>
              <w:rPr>
                <w:color w:val="010205"/>
                <w:sz w:val="18"/>
                <w:szCs w:val="18"/>
                <w:lang w:val="en-US" w:eastAsia="en-US"/>
              </w:rPr>
            </w:pPr>
            <w:r>
              <w:rPr>
                <w:color w:val="010205"/>
                <w:sz w:val="18"/>
                <w:szCs w:val="18"/>
                <w:lang w:val="en-US" w:eastAsia="en-US"/>
              </w:rPr>
              <w:t>3931</w:t>
            </w:r>
          </w:p>
        </w:tc>
        <w:tc>
          <w:tcPr>
            <w:tcW w:w="85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uto" w:line="240" w:before="0" w:after="0"/>
              <w:ind w:left="60" w:right="60" w:hanging="0"/>
              <w:jc w:val="center"/>
              <w:textAlignment w:val="auto"/>
              <w:rPr>
                <w:color w:val="010205"/>
                <w:sz w:val="18"/>
                <w:szCs w:val="18"/>
                <w:lang w:val="en-US" w:eastAsia="en-US"/>
              </w:rPr>
            </w:pPr>
            <w:r>
              <w:rPr>
                <w:color w:val="010205"/>
                <w:sz w:val="18"/>
                <w:szCs w:val="18"/>
                <w:lang w:val="en-US" w:eastAsia="en-US"/>
              </w:rPr>
              <w:t>9</w:t>
            </w:r>
          </w:p>
        </w:tc>
        <w:tc>
          <w:tcPr>
            <w:tcW w:w="1268"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uto" w:line="240" w:before="0" w:after="0"/>
              <w:ind w:left="60" w:right="60" w:hanging="0"/>
              <w:jc w:val="center"/>
              <w:textAlignment w:val="auto"/>
              <w:rPr>
                <w:color w:val="010205"/>
                <w:sz w:val="18"/>
                <w:szCs w:val="18"/>
                <w:lang w:val="en-US" w:eastAsia="en-US"/>
              </w:rPr>
            </w:pPr>
            <w:r>
              <w:rPr>
                <w:color w:val="010205"/>
                <w:sz w:val="18"/>
                <w:szCs w:val="18"/>
                <w:lang w:val="en-US" w:eastAsia="en-US"/>
              </w:rPr>
              <w:t>0</w:t>
            </w:r>
          </w:p>
        </w:tc>
        <w:tc>
          <w:tcPr>
            <w:tcW w:w="126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10205"/>
                <w:sz w:val="18"/>
                <w:szCs w:val="18"/>
                <w:lang w:val="en-US" w:eastAsia="en-US"/>
              </w:rPr>
            </w:pPr>
            <w:r>
              <w:rPr>
                <w:color w:val="010205"/>
                <w:sz w:val="18"/>
                <w:szCs w:val="18"/>
                <w:lang w:val="en-US" w:eastAsia="en-US"/>
              </w:rPr>
              <w:t>9</w:t>
            </w:r>
          </w:p>
        </w:tc>
      </w:tr>
      <w:tr>
        <w:trPr>
          <w:cantSplit w:val="true"/>
        </w:trPr>
        <w:tc>
          <w:tcPr>
            <w:tcW w:w="267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t>BD_gp_requerimientos</w:t>
            </w:r>
          </w:p>
        </w:tc>
        <w:tc>
          <w:tcPr>
            <w:tcW w:w="565"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010205"/>
                <w:szCs w:val="18"/>
                <w:lang w:val="en-US" w:eastAsia="en-US"/>
              </w:rPr>
            </w:pPr>
            <w:r>
              <w:rPr>
                <w:color w:val="010205"/>
                <w:szCs w:val="18"/>
                <w:lang w:val="en-US" w:eastAsia="en-US"/>
              </w:rPr>
            </w:r>
          </w:p>
        </w:tc>
        <w:tc>
          <w:tcPr>
            <w:tcW w:w="126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1 310</w:t>
            </w:r>
          </w:p>
        </w:tc>
        <w:tc>
          <w:tcPr>
            <w:tcW w:w="85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7</w:t>
            </w:r>
          </w:p>
        </w:tc>
        <w:tc>
          <w:tcPr>
            <w:tcW w:w="1268"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7</w:t>
            </w:r>
          </w:p>
        </w:tc>
        <w:tc>
          <w:tcPr>
            <w:tcW w:w="126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0</w:t>
            </w:r>
          </w:p>
        </w:tc>
      </w:tr>
      <w:tr>
        <w:trPr>
          <w:cantSplit w:val="true"/>
        </w:trPr>
        <w:tc>
          <w:tcPr>
            <w:tcW w:w="267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t>BD_gp_toma_decisiones</w:t>
            </w:r>
          </w:p>
        </w:tc>
        <w:tc>
          <w:tcPr>
            <w:tcW w:w="565"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010205"/>
                <w:szCs w:val="18"/>
                <w:lang w:val="en-US" w:eastAsia="en-US"/>
              </w:rPr>
            </w:pPr>
            <w:r>
              <w:rPr>
                <w:color w:val="010205"/>
                <w:szCs w:val="18"/>
                <w:lang w:val="en-US" w:eastAsia="en-US"/>
              </w:rPr>
            </w:r>
          </w:p>
        </w:tc>
        <w:tc>
          <w:tcPr>
            <w:tcW w:w="126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1 011</w:t>
            </w:r>
          </w:p>
        </w:tc>
        <w:tc>
          <w:tcPr>
            <w:tcW w:w="85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17</w:t>
            </w:r>
          </w:p>
        </w:tc>
        <w:tc>
          <w:tcPr>
            <w:tcW w:w="1268"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9</w:t>
            </w:r>
          </w:p>
        </w:tc>
        <w:tc>
          <w:tcPr>
            <w:tcW w:w="126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8</w:t>
            </w:r>
          </w:p>
        </w:tc>
      </w:tr>
      <w:tr>
        <w:trPr>
          <w:cantSplit w:val="true"/>
        </w:trPr>
        <w:tc>
          <w:tcPr>
            <w:tcW w:w="7900" w:type="dxa"/>
            <w:gridSpan w:val="6"/>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jc w:val="center"/>
              <w:rPr>
                <w:lang w:val="en-US"/>
              </w:rPr>
            </w:pPr>
            <w:r>
              <w:rPr>
                <w:b/>
                <w:color w:val="264A60"/>
                <w:szCs w:val="18"/>
                <w:lang w:val="en-US" w:eastAsia="en-US"/>
              </w:rPr>
              <w:t>Bases de datos sobre auditorías</w:t>
            </w:r>
          </w:p>
        </w:tc>
      </w:tr>
      <w:tr>
        <w:trPr>
          <w:trHeight w:val="333" w:hRule="atLeast"/>
          <w:cantSplit w:val="true"/>
        </w:trPr>
        <w:tc>
          <w:tcPr>
            <w:tcW w:w="267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t>BD_audit_sinOrganismos</w:t>
            </w:r>
          </w:p>
        </w:tc>
        <w:tc>
          <w:tcPr>
            <w:tcW w:w="565"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lang w:val="en-US"/>
              </w:rPr>
            </w:pPr>
            <w:r>
              <w:rPr>
                <w:lang w:val="en-US"/>
              </w:rPr>
            </w:r>
          </w:p>
        </w:tc>
        <w:tc>
          <w:tcPr>
            <w:tcW w:w="126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1 778</w:t>
            </w:r>
          </w:p>
        </w:tc>
        <w:tc>
          <w:tcPr>
            <w:tcW w:w="85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16</w:t>
            </w:r>
          </w:p>
        </w:tc>
        <w:tc>
          <w:tcPr>
            <w:tcW w:w="1268"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4</w:t>
            </w:r>
          </w:p>
        </w:tc>
        <w:tc>
          <w:tcPr>
            <w:tcW w:w="126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14</w:t>
            </w:r>
          </w:p>
        </w:tc>
      </w:tr>
      <w:tr>
        <w:trPr>
          <w:trHeight w:val="333" w:hRule="atLeast"/>
          <w:cantSplit w:val="true"/>
        </w:trPr>
        <w:tc>
          <w:tcPr>
            <w:tcW w:w="267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t>BD_audit_sinProvMinistInstit</w:t>
            </w:r>
          </w:p>
        </w:tc>
        <w:tc>
          <w:tcPr>
            <w:tcW w:w="565"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lang w:val="en-US"/>
              </w:rPr>
            </w:pPr>
            <w:r>
              <w:rPr>
                <w:lang w:val="en-US"/>
              </w:rPr>
            </w:r>
          </w:p>
        </w:tc>
        <w:tc>
          <w:tcPr>
            <w:tcW w:w="126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1 778</w:t>
            </w:r>
          </w:p>
        </w:tc>
        <w:tc>
          <w:tcPr>
            <w:tcW w:w="85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16</w:t>
            </w:r>
          </w:p>
        </w:tc>
        <w:tc>
          <w:tcPr>
            <w:tcW w:w="1268"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4</w:t>
            </w:r>
          </w:p>
        </w:tc>
        <w:tc>
          <w:tcPr>
            <w:tcW w:w="126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14</w:t>
            </w:r>
          </w:p>
        </w:tc>
      </w:tr>
      <w:tr>
        <w:trPr>
          <w:trHeight w:val="267" w:hRule="atLeast"/>
          <w:cantSplit w:val="true"/>
        </w:trPr>
        <w:tc>
          <w:tcPr>
            <w:tcW w:w="7900" w:type="dxa"/>
            <w:gridSpan w:val="6"/>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jc w:val="center"/>
              <w:rPr>
                <w:b/>
                <w:b/>
                <w:color w:val="264A60"/>
                <w:szCs w:val="18"/>
                <w:lang w:val="en-US" w:eastAsia="en-US"/>
              </w:rPr>
            </w:pPr>
            <w:r>
              <w:rPr>
                <w:b/>
                <w:color w:val="264A60"/>
                <w:szCs w:val="18"/>
                <w:lang w:val="en-US" w:eastAsia="en-US"/>
              </w:rPr>
              <w:t>Bases de datos médicas</w:t>
            </w:r>
          </w:p>
        </w:tc>
      </w:tr>
      <w:tr>
        <w:trPr>
          <w:trHeight w:val="271" w:hRule="atLeast"/>
          <w:cantSplit w:val="true"/>
        </w:trPr>
        <w:tc>
          <w:tcPr>
            <w:tcW w:w="267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t>BD_med_congenito</w:t>
            </w:r>
          </w:p>
        </w:tc>
        <w:tc>
          <w:tcPr>
            <w:tcW w:w="565"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Tabla"/>
              <w:rPr>
                <w:color w:val="264A60"/>
                <w:szCs w:val="18"/>
                <w:lang w:val="en-US" w:eastAsia="en-US"/>
              </w:rPr>
            </w:pPr>
            <w:r>
              <w:rPr>
                <w:color w:val="264A60"/>
                <w:szCs w:val="18"/>
                <w:lang w:val="en-US" w:eastAsia="en-US"/>
              </w:rPr>
            </w:r>
          </w:p>
        </w:tc>
        <w:tc>
          <w:tcPr>
            <w:tcW w:w="126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464</w:t>
            </w:r>
          </w:p>
        </w:tc>
        <w:tc>
          <w:tcPr>
            <w:tcW w:w="85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20</w:t>
            </w:r>
          </w:p>
        </w:tc>
        <w:tc>
          <w:tcPr>
            <w:tcW w:w="1268"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20</w:t>
            </w:r>
          </w:p>
        </w:tc>
        <w:tc>
          <w:tcPr>
            <w:tcW w:w="126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0</w:t>
            </w:r>
          </w:p>
        </w:tc>
      </w:tr>
      <w:tr>
        <w:trPr>
          <w:trHeight w:val="271" w:hRule="atLeast"/>
          <w:cantSplit w:val="true"/>
        </w:trPr>
        <w:tc>
          <w:tcPr>
            <w:tcW w:w="267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t>BD_med_valvular</w:t>
            </w:r>
          </w:p>
        </w:tc>
        <w:tc>
          <w:tcPr>
            <w:tcW w:w="565"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Tabla"/>
              <w:rPr>
                <w:color w:val="264A60"/>
                <w:szCs w:val="18"/>
                <w:lang w:val="en-US" w:eastAsia="en-US"/>
              </w:rPr>
            </w:pPr>
            <w:r>
              <w:rPr>
                <w:color w:val="264A60"/>
                <w:szCs w:val="18"/>
                <w:lang w:val="en-US" w:eastAsia="en-US"/>
              </w:rPr>
            </w:r>
          </w:p>
        </w:tc>
        <w:tc>
          <w:tcPr>
            <w:tcW w:w="126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304</w:t>
            </w:r>
          </w:p>
        </w:tc>
        <w:tc>
          <w:tcPr>
            <w:tcW w:w="85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17</w:t>
            </w:r>
          </w:p>
        </w:tc>
        <w:tc>
          <w:tcPr>
            <w:tcW w:w="1268"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17</w:t>
            </w:r>
          </w:p>
        </w:tc>
        <w:tc>
          <w:tcPr>
            <w:tcW w:w="126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0</w:t>
            </w:r>
          </w:p>
        </w:tc>
      </w:tr>
      <w:tr>
        <w:trPr>
          <w:trHeight w:val="247" w:hRule="atLeast"/>
          <w:cantSplit w:val="true"/>
        </w:trPr>
        <w:tc>
          <w:tcPr>
            <w:tcW w:w="2679" w:type="dxa"/>
            <w:tcBorders>
              <w:top w:val="single" w:sz="8" w:space="0" w:color="AEAEAE"/>
              <w:left w:val="single" w:sz="8" w:space="0" w:color="E0E0E0"/>
              <w:bottom w:val="single" w:sz="8" w:space="0" w:color="152935"/>
              <w:right w:val="single" w:sz="8" w:space="0" w:color="E0E0E0"/>
              <w:insideH w:val="single" w:sz="8" w:space="0" w:color="152935"/>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t>BD_med_covidCuba</w:t>
            </w:r>
          </w:p>
        </w:tc>
        <w:tc>
          <w:tcPr>
            <w:tcW w:w="565" w:type="dxa"/>
            <w:tcBorders>
              <w:top w:val="single" w:sz="8" w:space="0" w:color="AEAEAE"/>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vAlign w:val="center"/>
          </w:tcPr>
          <w:p>
            <w:pPr>
              <w:pStyle w:val="NormalTabla"/>
              <w:rPr>
                <w:color w:val="264A60"/>
                <w:szCs w:val="18"/>
                <w:lang w:val="en-US" w:eastAsia="en-US"/>
              </w:rPr>
            </w:pPr>
            <w:r>
              <w:rPr>
                <w:color w:val="264A60"/>
                <w:szCs w:val="18"/>
                <w:lang w:val="en-US" w:eastAsia="en-US"/>
              </w:rPr>
            </w:r>
          </w:p>
        </w:tc>
        <w:tc>
          <w:tcPr>
            <w:tcW w:w="1267" w:type="dxa"/>
            <w:tcBorders>
              <w:top w:val="single" w:sz="8" w:space="0" w:color="AEAEAE"/>
              <w:left w:val="single" w:sz="8" w:space="0" w:color="E0E0E0"/>
              <w:bottom w:val="single" w:sz="8" w:space="0" w:color="152935"/>
              <w:right w:val="single" w:sz="8" w:space="0" w:color="E0E0E0"/>
              <w:insideH w:val="single" w:sz="8" w:space="0" w:color="152935"/>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18 151</w:t>
            </w:r>
          </w:p>
        </w:tc>
        <w:tc>
          <w:tcPr>
            <w:tcW w:w="852" w:type="dxa"/>
            <w:tcBorders>
              <w:top w:val="single" w:sz="8" w:space="0" w:color="AEAEAE"/>
              <w:left w:val="single" w:sz="8" w:space="0" w:color="E0E0E0"/>
              <w:bottom w:val="single" w:sz="8" w:space="0" w:color="152935"/>
              <w:right w:val="single" w:sz="8" w:space="0" w:color="E0E0E0"/>
              <w:insideH w:val="single" w:sz="8" w:space="0" w:color="152935"/>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6</w:t>
            </w:r>
          </w:p>
        </w:tc>
        <w:tc>
          <w:tcPr>
            <w:tcW w:w="1268" w:type="dxa"/>
            <w:tcBorders>
              <w:top w:val="single" w:sz="8" w:space="0" w:color="AEAEAE"/>
              <w:left w:val="single" w:sz="8" w:space="0" w:color="E0E0E0"/>
              <w:bottom w:val="single" w:sz="8" w:space="0" w:color="152935"/>
              <w:right w:val="single" w:sz="8" w:space="0" w:color="E0E0E0"/>
              <w:insideH w:val="single" w:sz="8" w:space="0" w:color="152935"/>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6</w:t>
            </w:r>
          </w:p>
        </w:tc>
        <w:tc>
          <w:tcPr>
            <w:tcW w:w="1269" w:type="dxa"/>
            <w:tcBorders>
              <w:top w:val="single" w:sz="8" w:space="0" w:color="AEAEAE"/>
              <w:left w:val="single" w:sz="8" w:space="0" w:color="E0E0E0"/>
              <w:bottom w:val="single" w:sz="8" w:space="0" w:color="152935"/>
              <w:right w:val="single" w:sz="8" w:space="0" w:color="E0E0E0"/>
              <w:insideH w:val="single" w:sz="8" w:space="0" w:color="152935"/>
              <w:insideV w:val="single" w:sz="8" w:space="0" w:color="E0E0E0"/>
            </w:tcBorders>
            <w:shd w:color="auto" w:fill="auto" w:val="clear"/>
            <w:tcMar>
              <w:left w:w="-10" w:type="dxa"/>
            </w:tcMar>
          </w:tcPr>
          <w:p>
            <w:pPr>
              <w:pStyle w:val="Normal"/>
              <w:suppressAutoHyphens w:val="false"/>
              <w:overflowPunct w:val="true"/>
              <w:spacing w:lineRule="auto" w:line="240" w:before="0" w:after="0"/>
              <w:ind w:left="60" w:right="60" w:hanging="0"/>
              <w:jc w:val="center"/>
              <w:textAlignment w:val="auto"/>
              <w:rPr>
                <w:color w:val="000000" w:themeColor="text1"/>
                <w:sz w:val="18"/>
                <w:szCs w:val="18"/>
              </w:rPr>
            </w:pPr>
            <w:r>
              <w:rPr>
                <w:color w:val="000000" w:themeColor="text1"/>
                <w:sz w:val="18"/>
                <w:szCs w:val="18"/>
              </w:rPr>
              <w:t>0</w:t>
            </w:r>
          </w:p>
        </w:tc>
      </w:tr>
    </w:tbl>
    <w:p>
      <w:pPr>
        <w:pStyle w:val="Normal"/>
        <w:rPr/>
      </w:pPr>
      <w:r>
        <w:rPr/>
      </w:r>
    </w:p>
    <w:p>
      <w:pPr>
        <w:pStyle w:val="Heading2"/>
        <w:numPr>
          <w:ilvl w:val="1"/>
          <w:numId w:val="80"/>
        </w:numPr>
        <w:rPr/>
      </w:pPr>
      <w:bookmarkStart w:id="3783" w:name="_Toc84598963"/>
      <w:bookmarkStart w:id="3784" w:name="_Ref79477255"/>
      <w:r>
        <w:rPr/>
        <w:t xml:space="preserve">Anexo </w:t>
      </w:r>
      <w:r>
        <w:rPr/>
        <w:fldChar w:fldCharType="begin"/>
      </w:r>
      <w:r>
        <w:instrText> SEQ Anexo \* ARABIC </w:instrText>
      </w:r>
      <w:r>
        <w:fldChar w:fldCharType="separate"/>
      </w:r>
      <w:r>
        <w:t>9</w:t>
      </w:r>
      <w:r>
        <w:fldChar w:fldCharType="end"/>
      </w:r>
      <w:bookmarkEnd w:id="3734"/>
      <w:bookmarkEnd w:id="3783"/>
      <w:bookmarkEnd w:id="3784"/>
      <w:r>
        <w:rPr/>
        <w:t>. Lenguajes Naturales Controlados</w:t>
      </w:r>
    </w:p>
    <w:p>
      <w:pPr>
        <w:pStyle w:val="Heading3"/>
        <w:numPr>
          <w:ilvl w:val="2"/>
          <w:numId w:val="80"/>
        </w:numPr>
        <w:rPr/>
      </w:pPr>
      <w:bookmarkStart w:id="3785" w:name="_Ref81225127"/>
      <w:bookmarkEnd w:id="3785"/>
      <w:r>
        <w:rPr/>
        <w:t>LNC para resúmenes en español</w:t>
      </w:r>
    </w:p>
    <w:p>
      <w:pPr>
        <w:pStyle w:val="Normal"/>
        <w:suppressAutoHyphens w:val="false"/>
        <w:overflowPunct w:val="true"/>
        <w:spacing w:lineRule="auto" w:line="360" w:before="0" w:after="0"/>
        <w:ind w:left="2552" w:hanging="2552"/>
        <w:jc w:val="left"/>
        <w:rPr>
          <w:iCs/>
        </w:rPr>
      </w:pPr>
      <w:r>
        <w:rPr>
          <w:iCs/>
        </w:rPr>
        <w:t>&lt;Resumen lingüístico&gt;::= &lt;D&gt; &lt;conector descriptor de datos &gt; &lt;Q&gt; &lt;conector cuantificador&gt; &lt;y’&gt; &lt;conector filtros&gt; &lt;R&gt; &lt;conector sumarizador&gt; &lt;S&gt; |</w:t>
      </w:r>
    </w:p>
    <w:p>
      <w:pPr>
        <w:pStyle w:val="Normal"/>
        <w:suppressAutoHyphens w:val="false"/>
        <w:overflowPunct w:val="true"/>
        <w:spacing w:lineRule="auto" w:line="360" w:before="0" w:after="0"/>
        <w:ind w:left="2552" w:hanging="2552"/>
        <w:jc w:val="left"/>
        <w:rPr>
          <w:iCs/>
        </w:rPr>
      </w:pPr>
      <w:r>
        <w:rPr>
          <w:iCs/>
        </w:rPr>
        <w:tab/>
        <w:t xml:space="preserve">&lt;Q&gt; &lt;conector de género&gt; &lt;y’&gt; &lt;conector filtros&gt; &lt;R&gt; &lt;conector sumarizador&gt; &lt;S&gt; | </w:t>
      </w:r>
    </w:p>
    <w:p>
      <w:pPr>
        <w:pStyle w:val="Normal"/>
        <w:suppressAutoHyphens w:val="false"/>
        <w:overflowPunct w:val="true"/>
        <w:spacing w:lineRule="auto" w:line="360" w:before="0" w:after="0"/>
        <w:ind w:left="2552" w:hanging="0"/>
        <w:jc w:val="left"/>
        <w:rPr>
          <w:iCs/>
        </w:rPr>
      </w:pPr>
      <w:r>
        <w:rPr>
          <w:iCs/>
        </w:rPr>
        <w:t>&lt;Q&gt; &lt;conector de género&gt; &lt;y’&gt; &lt;conector sumarizador&gt; &lt;S&gt;</w:t>
      </w:r>
    </w:p>
    <w:p>
      <w:pPr>
        <w:pStyle w:val="Normal"/>
        <w:suppressAutoHyphens w:val="false"/>
        <w:overflowPunct w:val="true"/>
        <w:spacing w:lineRule="auto" w:line="360" w:before="0" w:after="0"/>
        <w:ind w:left="851" w:hanging="851"/>
        <w:jc w:val="left"/>
        <w:rPr>
          <w:iCs/>
        </w:rPr>
      </w:pPr>
      <w:r>
        <w:rPr>
          <w:iCs/>
        </w:rPr>
        <w:t>&lt;D&gt;::= “casi la totalidad” | “la mayoría” | “muchos”| “aproximadamente la mitad” | “algunos” | “pocos” | “muy pocos”</w:t>
      </w:r>
    </w:p>
    <w:p>
      <w:pPr>
        <w:pStyle w:val="Normal"/>
        <w:suppressAutoHyphens w:val="false"/>
        <w:overflowPunct w:val="true"/>
        <w:spacing w:lineRule="auto" w:line="360" w:before="0" w:after="0"/>
        <w:jc w:val="left"/>
        <w:rPr>
          <w:iCs/>
        </w:rPr>
      </w:pPr>
      <w:r>
        <w:rPr>
          <w:iCs/>
        </w:rPr>
        <w:t xml:space="preserve">&lt;conector de género&gt;::= “de los” | “de las” </w:t>
      </w:r>
    </w:p>
    <w:p>
      <w:pPr>
        <w:pStyle w:val="Normal"/>
        <w:suppressAutoHyphens w:val="false"/>
        <w:overflowPunct w:val="true"/>
        <w:spacing w:lineRule="auto" w:line="360" w:before="0" w:after="0"/>
        <w:jc w:val="left"/>
        <w:rPr>
          <w:iCs/>
        </w:rPr>
      </w:pPr>
      <w:r>
        <w:rPr>
          <w:iCs/>
        </w:rPr>
        <w:t xml:space="preserve">&lt;conector descriptor de datos&gt;::= “registros en la base de datos, reportan que” </w:t>
      </w:r>
    </w:p>
    <w:p>
      <w:pPr>
        <w:pStyle w:val="Normal"/>
        <w:suppressAutoHyphens w:val="false"/>
        <w:overflowPunct w:val="true"/>
        <w:spacing w:lineRule="auto" w:line="360" w:before="0" w:after="0"/>
        <w:jc w:val="left"/>
        <w:rPr>
          <w:iCs/>
        </w:rPr>
      </w:pPr>
      <w:r>
        <w:rPr>
          <w:iCs/>
        </w:rPr>
        <w:t>&lt;conector cuantificador&gt;::= “de las veces, “</w:t>
      </w:r>
    </w:p>
    <w:p>
      <w:pPr>
        <w:pStyle w:val="Normal"/>
        <w:suppressAutoHyphens w:val="false"/>
        <w:overflowPunct w:val="true"/>
        <w:spacing w:lineRule="auto" w:line="360" w:before="0" w:after="0"/>
        <w:jc w:val="left"/>
        <w:rPr>
          <w:iCs/>
        </w:rPr>
      </w:pPr>
      <w:r>
        <w:rPr>
          <w:iCs/>
        </w:rPr>
        <w:t>&lt;conector filtros&gt;::= “que cumplen” | “que tienen” | “que son”</w:t>
      </w:r>
    </w:p>
    <w:p>
      <w:pPr>
        <w:pStyle w:val="Normal"/>
        <w:suppressAutoHyphens w:val="false"/>
        <w:overflowPunct w:val="true"/>
        <w:spacing w:lineRule="auto" w:line="360" w:before="0" w:after="0"/>
        <w:jc w:val="left"/>
        <w:rPr>
          <w:iCs/>
        </w:rPr>
      </w:pPr>
      <w:r>
        <w:rPr>
          <w:iCs/>
        </w:rPr>
        <w:t>&lt;conector sumarizador&gt;::= “tienen” | “se cumple que”</w:t>
      </w:r>
    </w:p>
    <w:p>
      <w:pPr>
        <w:pStyle w:val="Normal"/>
        <w:suppressAutoHyphens w:val="false"/>
        <w:overflowPunct w:val="true"/>
        <w:spacing w:lineRule="auto" w:line="360" w:before="0" w:after="0"/>
        <w:jc w:val="left"/>
        <w:rPr>
          <w:iCs/>
        </w:rPr>
      </w:pPr>
      <w:r>
        <w:rPr>
          <w:iCs/>
        </w:rPr>
        <w:t>&lt;y’&gt;::= &lt;sujeto&gt;</w:t>
      </w:r>
    </w:p>
    <w:p>
      <w:pPr>
        <w:pStyle w:val="Normal"/>
        <w:suppressAutoHyphens w:val="false"/>
        <w:overflowPunct w:val="true"/>
        <w:spacing w:lineRule="auto" w:line="360" w:before="0" w:after="0"/>
        <w:jc w:val="left"/>
        <w:rPr>
          <w:iCs/>
        </w:rPr>
      </w:pPr>
      <w:r>
        <w:rPr>
          <w:iCs/>
        </w:rPr>
        <w:t>&lt;sujeto&gt;::= &lt;frase simple&gt;</w:t>
      </w:r>
    </w:p>
    <w:p>
      <w:pPr>
        <w:pStyle w:val="Normal"/>
        <w:suppressAutoHyphens w:val="false"/>
        <w:overflowPunct w:val="true"/>
        <w:spacing w:lineRule="auto" w:line="360" w:before="0" w:after="0"/>
        <w:ind w:left="709" w:hanging="709"/>
        <w:jc w:val="left"/>
        <w:rPr>
          <w:iCs/>
        </w:rPr>
      </w:pPr>
      <w:bookmarkStart w:id="3786" w:name="_Hlk78449122"/>
      <w:bookmarkEnd w:id="3786"/>
      <w:r>
        <w:rPr>
          <w:iCs/>
        </w:rPr>
        <w:t>&lt;Q&gt;::= &lt;cuantificador lingüístico&gt; | &lt;cuantificador numérico&gt;| &lt;cuantificador mixto&gt;| &lt;cuantificador por ciento&gt;</w:t>
      </w:r>
    </w:p>
    <w:p>
      <w:pPr>
        <w:pStyle w:val="Normal"/>
        <w:suppressAutoHyphens w:val="false"/>
        <w:overflowPunct w:val="true"/>
        <w:spacing w:lineRule="auto" w:line="360" w:before="0" w:after="0"/>
        <w:ind w:left="2835" w:hanging="2835"/>
        <w:jc w:val="left"/>
        <w:rPr>
          <w:i/>
          <w:i/>
        </w:rPr>
      </w:pPr>
      <w:r>
        <w:rPr>
          <w:iCs/>
        </w:rPr>
        <w:t xml:space="preserve">&lt;cuantificador lingüístico&gt;::= </w:t>
      </w:r>
      <w:bookmarkStart w:id="3787" w:name="_Hlk78447619"/>
      <w:bookmarkEnd w:id="3787"/>
      <w:r>
        <w:rPr>
          <w:iCs/>
        </w:rPr>
        <w:t>“casi la totalidad” | “la mayoría” | “muchos” | “aproximadamente la mitad” | “algunos” | “pocos” | “muy pocos”</w:t>
      </w:r>
    </w:p>
    <w:p>
      <w:pPr>
        <w:pStyle w:val="Normal"/>
        <w:suppressAutoHyphens w:val="false"/>
        <w:overflowPunct w:val="true"/>
        <w:spacing w:lineRule="auto" w:line="360" w:before="0" w:after="0"/>
        <w:ind w:left="2835" w:hanging="2835"/>
        <w:jc w:val="left"/>
        <w:rPr>
          <w:iCs/>
        </w:rPr>
      </w:pPr>
      <w:r>
        <w:rPr>
          <w:iCs/>
        </w:rPr>
        <w:t xml:space="preserve">&lt;cuantificador numérico&gt;::= “más del 95%” | “alrededor del 85%” | “alrededor del 75%” | “aproximadamente el 50%” | “cercano al 33%” | “menos del 17%” | “menos del 5%” </w:t>
      </w:r>
    </w:p>
    <w:p>
      <w:pPr>
        <w:pStyle w:val="Normal"/>
        <w:suppressAutoHyphens w:val="false"/>
        <w:overflowPunct w:val="true"/>
        <w:spacing w:lineRule="auto" w:line="360" w:before="0" w:after="0"/>
        <w:ind w:left="2552" w:hanging="2552"/>
        <w:jc w:val="left"/>
        <w:rPr>
          <w:iCs/>
        </w:rPr>
      </w:pPr>
      <w:r>
        <w:rPr>
          <w:iCs/>
        </w:rPr>
        <w:t xml:space="preserve">&lt;cuantificador mixto&gt;::= “muy pocos (menos del 5%)” | “pocos (alrededor del 15%)” | “algunos (alrededor del 33%)” | “aproximadamente la mitad” | </w:t>
      </w:r>
    </w:p>
    <w:p>
      <w:pPr>
        <w:pStyle w:val="Normal"/>
        <w:suppressAutoHyphens w:val="false"/>
        <w:overflowPunct w:val="true"/>
        <w:spacing w:lineRule="auto" w:line="360" w:before="0" w:after="0"/>
        <w:ind w:left="2835" w:hanging="2835"/>
        <w:jc w:val="left"/>
        <w:rPr>
          <w:iCs/>
        </w:rPr>
      </w:pPr>
      <w:r>
        <w:rPr>
          <w:iCs/>
        </w:rPr>
        <w:t xml:space="preserve">                        “</w:t>
      </w:r>
      <w:r>
        <w:rPr>
          <w:iCs/>
        </w:rPr>
        <w:t>muchos (cerca del 65%)” | “la mayoría (alrededor del 83%)” | “casi la totalidad”</w:t>
      </w:r>
    </w:p>
    <w:p>
      <w:pPr>
        <w:pStyle w:val="Normal"/>
        <w:suppressAutoHyphens w:val="false"/>
        <w:overflowPunct w:val="true"/>
        <w:spacing w:lineRule="auto" w:line="360" w:before="0" w:after="0"/>
        <w:ind w:left="2552" w:hanging="2552"/>
        <w:jc w:val="left"/>
        <w:rPr>
          <w:iCs/>
        </w:rPr>
      </w:pPr>
      <w:bookmarkStart w:id="3788" w:name="_Hlk78449187"/>
      <w:r>
        <w:rPr>
          <w:iCs/>
        </w:rPr>
        <w:t>&lt;cuantificador porciento&gt;::= &lt;conector porciento&gt; &lt;valor numérico en porciento&gt;</w:t>
      </w:r>
      <w:bookmarkEnd w:id="3788"/>
      <w:r>
        <w:rPr>
          <w:iCs/>
        </w:rPr>
        <w:t xml:space="preserve"> </w:t>
      </w:r>
    </w:p>
    <w:p>
      <w:pPr>
        <w:pStyle w:val="Normal"/>
        <w:suppressAutoHyphens w:val="false"/>
        <w:overflowPunct w:val="true"/>
        <w:spacing w:lineRule="auto" w:line="360" w:before="0" w:after="0"/>
        <w:jc w:val="left"/>
        <w:rPr>
          <w:iCs/>
        </w:rPr>
      </w:pPr>
      <w:r>
        <w:rPr>
          <w:iCs/>
        </w:rPr>
        <w:t>&lt; conector porciento&gt;::= “en el”</w:t>
      </w:r>
    </w:p>
    <w:p>
      <w:pPr>
        <w:pStyle w:val="Normal"/>
        <w:suppressAutoHyphens w:val="false"/>
        <w:overflowPunct w:val="true"/>
        <w:spacing w:lineRule="auto" w:line="360" w:before="0" w:after="0"/>
        <w:jc w:val="left"/>
        <w:rPr>
          <w:iCs/>
        </w:rPr>
      </w:pPr>
      <w:r>
        <w:rPr>
          <w:iCs/>
        </w:rPr>
        <w:t>&lt;S&gt;::= &lt;frase&gt;</w:t>
      </w:r>
    </w:p>
    <w:p>
      <w:pPr>
        <w:pStyle w:val="Normal"/>
        <w:suppressAutoHyphens w:val="false"/>
        <w:overflowPunct w:val="true"/>
        <w:spacing w:lineRule="auto" w:line="360" w:before="0" w:after="0"/>
        <w:jc w:val="left"/>
        <w:rPr>
          <w:iCs/>
        </w:rPr>
      </w:pPr>
      <w:r>
        <w:rPr>
          <w:iCs/>
        </w:rPr>
        <w:t>&lt;R&gt;::= &lt;frase&gt;</w:t>
      </w:r>
    </w:p>
    <w:p>
      <w:pPr>
        <w:pStyle w:val="Normal"/>
        <w:suppressAutoHyphens w:val="false"/>
        <w:overflowPunct w:val="true"/>
        <w:spacing w:lineRule="auto" w:line="360" w:before="0" w:after="0"/>
        <w:jc w:val="left"/>
        <w:rPr>
          <w:iCs/>
        </w:rPr>
      </w:pPr>
      <w:r>
        <w:rPr>
          <w:iCs/>
        </w:rPr>
        <w:t>&lt;frase&gt;::= &lt;frase&gt; &lt;operador lógico&gt; &lt; frase simple&gt; | &lt;frase simple&gt;</w:t>
      </w:r>
    </w:p>
    <w:p>
      <w:pPr>
        <w:pStyle w:val="Normal"/>
        <w:suppressAutoHyphens w:val="false"/>
        <w:overflowPunct w:val="true"/>
        <w:spacing w:lineRule="auto" w:line="360" w:before="0" w:after="0"/>
        <w:ind w:left="2552" w:hanging="2552"/>
        <w:jc w:val="left"/>
        <w:rPr>
          <w:i/>
          <w:i/>
        </w:rPr>
      </w:pPr>
      <w:r>
        <w:rPr>
          <w:iCs/>
        </w:rPr>
        <w:t>&lt;operador lógico&gt;::= &lt;conjunción&gt; | &lt;disyunción&gt;</w:t>
      </w:r>
    </w:p>
    <w:p>
      <w:pPr>
        <w:pStyle w:val="Normal"/>
        <w:spacing w:before="120" w:after="85"/>
        <w:rPr/>
      </w:pPr>
      <w:r>
        <w:rPr>
          <w:rFonts w:cs="Times New Roman"/>
          <w:iCs/>
        </w:rPr>
        <w:t>Ejemplo de resúmenes y su representación en la gramática (</w:t>
      </w:r>
      <w:r>
        <w:rPr>
          <w:rFonts w:cs="Times New Roman"/>
          <w:iCs/>
        </w:rPr>
        <w:fldChar w:fldCharType="begin"/>
      </w:r>
      <w:r>
        <w:instrText> REF _Ref77846875 \h </w:instrText>
      </w:r>
      <w:r>
        <w:fldChar w:fldCharType="separate"/>
      </w:r>
      <w:r>
        <w:t>Tabla 25</w:t>
      </w:r>
      <w:r>
        <w:fldChar w:fldCharType="end"/>
      </w:r>
      <w:r>
        <w:rPr>
          <w:rFonts w:cs="Times New Roman"/>
          <w:iCs/>
        </w:rPr>
        <w:t>):</w:t>
      </w:r>
    </w:p>
    <w:p>
      <w:pPr>
        <w:pStyle w:val="Normal"/>
        <w:numPr>
          <w:ilvl w:val="0"/>
          <w:numId w:val="72"/>
        </w:numPr>
        <w:spacing w:before="120" w:after="85"/>
        <w:rPr>
          <w:rFonts w:cs="Times New Roman"/>
          <w:iCs/>
          <w:lang w:val="x-none"/>
        </w:rPr>
      </w:pPr>
      <w:r>
        <w:rPr>
          <w:rFonts w:cs="Times New Roman"/>
          <w:iCs/>
        </w:rPr>
        <w:t>“</w:t>
      </w:r>
      <w:r>
        <w:rPr>
          <w:rFonts w:cs="Times New Roman"/>
          <w:iCs/>
        </w:rPr>
        <w:t>Muchos registros en la base de datos, reportan que en el 100.0% de las veces, las embarazadas cardiópatas que tienen ausencia de soplo holosistólico tienen ausencia de cianosis.”</w:t>
      </w:r>
    </w:p>
    <w:p>
      <w:pPr>
        <w:pStyle w:val="Normal"/>
        <w:numPr>
          <w:ilvl w:val="0"/>
          <w:numId w:val="72"/>
        </w:numPr>
        <w:spacing w:before="120" w:after="85"/>
        <w:rPr>
          <w:rFonts w:cs="Times New Roman"/>
          <w:iCs/>
          <w:lang w:val="x-none"/>
        </w:rPr>
      </w:pPr>
      <w:r>
        <w:rPr>
          <w:rFonts w:cs="Times New Roman"/>
          <w:iCs/>
        </w:rPr>
        <w:t>“</w:t>
      </w:r>
      <w:r>
        <w:rPr>
          <w:rFonts w:cs="Times New Roman"/>
          <w:iCs/>
          <w:lang w:val="x-none"/>
        </w:rPr>
        <w:t>La mayor</w:t>
      </w:r>
      <w:r>
        <w:rPr>
          <w:rFonts w:cs="Times New Roman"/>
          <w:iCs/>
        </w:rPr>
        <w:t>ía</w:t>
      </w:r>
      <w:r>
        <w:rPr>
          <w:rFonts w:cs="Times New Roman"/>
          <w:iCs/>
          <w:lang w:val="x-none"/>
        </w:rPr>
        <w:t xml:space="preserve"> de los registros en la base de datos, reportan que en el 90.404% de las veces, los proyectos que tienen muy alta calidad del dato tienen muy baja cantidad de competencias con baja evaluaci</w:t>
      </w:r>
      <w:r>
        <w:rPr>
          <w:rFonts w:cs="Times New Roman"/>
          <w:iCs/>
        </w:rPr>
        <w:t>ón</w:t>
      </w:r>
      <w:r>
        <w:rPr>
          <w:rFonts w:cs="Times New Roman"/>
          <w:iCs/>
          <w:lang w:val="x-none"/>
        </w:rPr>
        <w:t>.</w:t>
      </w:r>
      <w:r>
        <w:rPr>
          <w:rFonts w:cs="Times New Roman"/>
          <w:iCs/>
        </w:rPr>
        <w:t>”</w:t>
      </w:r>
    </w:p>
    <w:p>
      <w:pPr>
        <w:pStyle w:val="Normal"/>
        <w:keepNext/>
        <w:overflowPunct w:val="true"/>
        <w:spacing w:before="0" w:after="120"/>
        <w:ind w:left="170" w:hanging="170"/>
        <w:jc w:val="center"/>
        <w:textAlignment w:val="auto"/>
        <w:rPr/>
      </w:pPr>
      <w:bookmarkStart w:id="3789" w:name="_Ref77846871"/>
      <w:bookmarkStart w:id="3790" w:name="_Toc84598995"/>
      <w:bookmarkStart w:id="3791" w:name="_Ref77846875"/>
      <w:r>
        <w:rPr>
          <w:rFonts w:cs="Verdana"/>
          <w:sz w:val="20"/>
        </w:rPr>
        <w:t xml:space="preserve">Tabla </w:t>
      </w:r>
      <w:r>
        <w:rPr>
          <w:rFonts w:cs="Verdana"/>
          <w:sz w:val="20"/>
        </w:rPr>
        <w:fldChar w:fldCharType="begin"/>
      </w:r>
      <w:r>
        <w:instrText> SEQ Tabla \* ARABIC </w:instrText>
      </w:r>
      <w:r>
        <w:fldChar w:fldCharType="separate"/>
      </w:r>
      <w:r>
        <w:t>25</w:t>
      </w:r>
      <w:r>
        <w:fldChar w:fldCharType="end"/>
      </w:r>
      <w:bookmarkEnd w:id="3789"/>
      <w:bookmarkEnd w:id="3790"/>
      <w:bookmarkEnd w:id="3791"/>
      <w:r>
        <w:rPr>
          <w:rFonts w:cs="Verdana"/>
          <w:sz w:val="20"/>
        </w:rPr>
        <w:t>: Ejemplo de aplicación del lenguaje controlado en resúmenes lingüísticos.</w:t>
      </w:r>
    </w:p>
    <w:tbl>
      <w:tblPr>
        <w:tblStyle w:val="Tablaconcuadrcula"/>
        <w:tblW w:w="8075" w:type="dxa"/>
        <w:jc w:val="left"/>
        <w:tblInd w:w="0" w:type="dxa"/>
        <w:tblCellMar>
          <w:top w:w="0" w:type="dxa"/>
          <w:left w:w="123" w:type="dxa"/>
          <w:bottom w:w="0" w:type="dxa"/>
          <w:right w:w="108" w:type="dxa"/>
        </w:tblCellMar>
        <w:tblLook w:val="04a0" w:noVBand="1" w:noHBand="0" w:lastColumn="0" w:firstColumn="1" w:lastRow="0" w:firstRow="1"/>
      </w:tblPr>
      <w:tblGrid>
        <w:gridCol w:w="2990"/>
        <w:gridCol w:w="2534"/>
        <w:gridCol w:w="2551"/>
      </w:tblGrid>
      <w:tr>
        <w:trPr/>
        <w:tc>
          <w:tcPr>
            <w:tcW w:w="2990" w:type="dxa"/>
            <w:tcBorders>
              <w:top w:val="single" w:sz="12" w:space="0" w:color="00000A"/>
              <w:left w:val="nil"/>
              <w:right w:val="nil"/>
              <w:insideV w:val="nil"/>
            </w:tcBorders>
            <w:shd w:color="auto" w:fill="auto" w:val="clear"/>
            <w:vAlign w:val="center"/>
          </w:tcPr>
          <w:p>
            <w:pPr>
              <w:pStyle w:val="Normal"/>
              <w:spacing w:lineRule="auto" w:line="240" w:before="60" w:after="60"/>
              <w:rPr>
                <w:sz w:val="20"/>
                <w:szCs w:val="20"/>
              </w:rPr>
            </w:pPr>
            <w:r>
              <w:rPr>
                <w:sz w:val="20"/>
                <w:szCs w:val="20"/>
              </w:rPr>
              <w:t>Partes del LNC</w:t>
            </w:r>
          </w:p>
        </w:tc>
        <w:tc>
          <w:tcPr>
            <w:tcW w:w="2534" w:type="dxa"/>
            <w:tcBorders>
              <w:top w:val="single" w:sz="12" w:space="0" w:color="00000A"/>
              <w:left w:val="nil"/>
              <w:right w:val="nil"/>
              <w:insideV w:val="nil"/>
            </w:tcBorders>
            <w:shd w:color="auto" w:fill="auto" w:val="clear"/>
            <w:vAlign w:val="center"/>
          </w:tcPr>
          <w:p>
            <w:pPr>
              <w:pStyle w:val="Normal"/>
              <w:spacing w:lineRule="auto" w:line="240" w:before="60" w:after="60"/>
              <w:jc w:val="center"/>
              <w:rPr>
                <w:sz w:val="20"/>
                <w:szCs w:val="20"/>
              </w:rPr>
            </w:pPr>
            <w:r>
              <w:rPr>
                <w:sz w:val="20"/>
                <w:szCs w:val="20"/>
              </w:rPr>
              <w:t>Resumen 1: sobre</w:t>
            </w:r>
          </w:p>
          <w:p>
            <w:pPr>
              <w:pStyle w:val="Normal"/>
              <w:spacing w:lineRule="auto" w:line="240" w:before="60" w:after="60"/>
              <w:jc w:val="center"/>
              <w:rPr>
                <w:sz w:val="20"/>
                <w:szCs w:val="20"/>
              </w:rPr>
            </w:pPr>
            <w:r>
              <w:rPr>
                <w:sz w:val="20"/>
                <w:szCs w:val="20"/>
              </w:rPr>
              <w:t>embarazadas cardiópatas</w:t>
            </w:r>
          </w:p>
        </w:tc>
        <w:tc>
          <w:tcPr>
            <w:tcW w:w="2551" w:type="dxa"/>
            <w:tcBorders>
              <w:top w:val="single" w:sz="12" w:space="0" w:color="00000A"/>
              <w:left w:val="nil"/>
              <w:right w:val="nil"/>
              <w:insideV w:val="nil"/>
            </w:tcBorders>
            <w:shd w:color="auto" w:fill="auto" w:val="clear"/>
            <w:vAlign w:val="center"/>
          </w:tcPr>
          <w:p>
            <w:pPr>
              <w:pStyle w:val="Normal"/>
              <w:spacing w:lineRule="auto" w:line="240" w:before="60" w:after="60"/>
              <w:jc w:val="center"/>
              <w:rPr>
                <w:sz w:val="20"/>
                <w:szCs w:val="20"/>
              </w:rPr>
            </w:pPr>
            <w:r>
              <w:rPr>
                <w:sz w:val="20"/>
                <w:szCs w:val="20"/>
              </w:rPr>
              <w:t>Resumen 2: sobre</w:t>
            </w:r>
          </w:p>
          <w:p>
            <w:pPr>
              <w:pStyle w:val="Normal"/>
              <w:spacing w:lineRule="auto" w:line="240" w:before="60" w:after="60"/>
              <w:jc w:val="center"/>
              <w:rPr>
                <w:sz w:val="20"/>
                <w:szCs w:val="20"/>
              </w:rPr>
            </w:pPr>
            <w:r>
              <w:rPr>
                <w:sz w:val="20"/>
                <w:szCs w:val="20"/>
              </w:rPr>
              <w:t>evaluación de proyectos</w:t>
            </w:r>
          </w:p>
        </w:tc>
      </w:tr>
      <w:tr>
        <w:trPr/>
        <w:tc>
          <w:tcPr>
            <w:tcW w:w="2990" w:type="dxa"/>
            <w:tcBorders>
              <w:top w:val="nil"/>
              <w:left w:val="nil"/>
              <w:bottom w:val="nil"/>
              <w:right w:val="nil"/>
              <w:insideH w:val="nil"/>
              <w:insideV w:val="nil"/>
            </w:tcBorders>
            <w:shd w:color="auto" w:fill="auto" w:val="clear"/>
            <w:vAlign w:val="center"/>
          </w:tcPr>
          <w:p>
            <w:pPr>
              <w:pStyle w:val="Normal"/>
              <w:spacing w:lineRule="auto" w:line="240" w:before="60" w:after="60"/>
              <w:rPr>
                <w:sz w:val="20"/>
                <w:szCs w:val="20"/>
              </w:rPr>
            </w:pPr>
            <w:r>
              <w:rPr>
                <w:sz w:val="20"/>
                <w:szCs w:val="20"/>
              </w:rPr>
              <w:t>&lt;</w:t>
            </w:r>
            <w:r>
              <w:rPr>
                <w:i/>
                <w:sz w:val="20"/>
                <w:szCs w:val="20"/>
              </w:rPr>
              <w:t>D</w:t>
            </w:r>
            <w:r>
              <w:rPr>
                <w:sz w:val="20"/>
                <w:szCs w:val="20"/>
              </w:rPr>
              <w:t>&gt;</w:t>
            </w:r>
          </w:p>
        </w:tc>
        <w:tc>
          <w:tcPr>
            <w:tcW w:w="2534" w:type="dxa"/>
            <w:tcBorders>
              <w:top w:val="nil"/>
              <w:left w:val="nil"/>
              <w:bottom w:val="nil"/>
              <w:right w:val="nil"/>
              <w:insideH w:val="nil"/>
              <w:insideV w:val="nil"/>
            </w:tcBorders>
            <w:shd w:color="auto" w:fill="auto" w:val="clear"/>
            <w:vAlign w:val="center"/>
          </w:tcPr>
          <w:p>
            <w:pPr>
              <w:pStyle w:val="Normal"/>
              <w:spacing w:lineRule="auto" w:line="240" w:before="60" w:after="60"/>
              <w:jc w:val="center"/>
              <w:rPr>
                <w:sz w:val="20"/>
                <w:szCs w:val="20"/>
              </w:rPr>
            </w:pPr>
            <w:r>
              <w:rPr>
                <w:sz w:val="20"/>
                <w:szCs w:val="20"/>
              </w:rPr>
              <w:t>muchos</w:t>
            </w:r>
          </w:p>
        </w:tc>
        <w:tc>
          <w:tcPr>
            <w:tcW w:w="2551" w:type="dxa"/>
            <w:tcBorders>
              <w:top w:val="nil"/>
              <w:left w:val="nil"/>
              <w:bottom w:val="nil"/>
              <w:right w:val="nil"/>
              <w:insideH w:val="nil"/>
              <w:insideV w:val="nil"/>
            </w:tcBorders>
            <w:shd w:color="auto" w:fill="auto" w:val="clear"/>
            <w:vAlign w:val="center"/>
          </w:tcPr>
          <w:p>
            <w:pPr>
              <w:pStyle w:val="Normal"/>
              <w:spacing w:lineRule="auto" w:line="240" w:before="60" w:after="60"/>
              <w:jc w:val="center"/>
              <w:rPr>
                <w:sz w:val="20"/>
                <w:szCs w:val="20"/>
              </w:rPr>
            </w:pPr>
            <w:r>
              <w:rPr>
                <w:sz w:val="20"/>
                <w:szCs w:val="20"/>
              </w:rPr>
              <w:t>la mayoría</w:t>
            </w:r>
          </w:p>
        </w:tc>
      </w:tr>
      <w:tr>
        <w:trPr/>
        <w:tc>
          <w:tcPr>
            <w:tcW w:w="2990" w:type="dxa"/>
            <w:tcBorders>
              <w:top w:val="nil"/>
              <w:left w:val="nil"/>
              <w:bottom w:val="nil"/>
              <w:right w:val="nil"/>
              <w:insideH w:val="nil"/>
              <w:insideV w:val="nil"/>
            </w:tcBorders>
            <w:shd w:color="auto" w:fill="auto" w:val="clear"/>
            <w:vAlign w:val="center"/>
          </w:tcPr>
          <w:p>
            <w:pPr>
              <w:pStyle w:val="Normal"/>
              <w:spacing w:lineRule="auto" w:line="240" w:before="60" w:after="60"/>
              <w:rPr>
                <w:sz w:val="20"/>
                <w:szCs w:val="20"/>
              </w:rPr>
            </w:pPr>
            <w:r>
              <w:rPr>
                <w:sz w:val="20"/>
                <w:szCs w:val="20"/>
              </w:rPr>
              <w:t>&lt;conector de género&gt;</w:t>
            </w:r>
          </w:p>
        </w:tc>
        <w:tc>
          <w:tcPr>
            <w:tcW w:w="2534" w:type="dxa"/>
            <w:tcBorders>
              <w:top w:val="nil"/>
              <w:left w:val="nil"/>
              <w:bottom w:val="nil"/>
              <w:right w:val="nil"/>
              <w:insideH w:val="nil"/>
              <w:insideV w:val="nil"/>
            </w:tcBorders>
            <w:shd w:color="auto" w:fill="auto" w:val="clear"/>
            <w:vAlign w:val="center"/>
          </w:tcPr>
          <w:p>
            <w:pPr>
              <w:pStyle w:val="Normal"/>
              <w:spacing w:lineRule="auto" w:line="240" w:before="60" w:after="60"/>
              <w:jc w:val="center"/>
              <w:rPr>
                <w:sz w:val="20"/>
                <w:szCs w:val="20"/>
              </w:rPr>
            </w:pPr>
            <w:r>
              <w:rPr>
                <w:sz w:val="20"/>
                <w:szCs w:val="20"/>
              </w:rPr>
              <w:t>de los</w:t>
            </w:r>
          </w:p>
        </w:tc>
        <w:tc>
          <w:tcPr>
            <w:tcW w:w="2551" w:type="dxa"/>
            <w:tcBorders>
              <w:top w:val="nil"/>
              <w:left w:val="nil"/>
              <w:bottom w:val="nil"/>
              <w:right w:val="nil"/>
              <w:insideH w:val="nil"/>
              <w:insideV w:val="nil"/>
            </w:tcBorders>
            <w:shd w:color="auto" w:fill="auto" w:val="clear"/>
            <w:vAlign w:val="center"/>
          </w:tcPr>
          <w:p>
            <w:pPr>
              <w:pStyle w:val="Normal"/>
              <w:spacing w:lineRule="auto" w:line="240" w:before="60" w:after="60"/>
              <w:jc w:val="center"/>
              <w:rPr>
                <w:sz w:val="20"/>
                <w:szCs w:val="20"/>
              </w:rPr>
            </w:pPr>
            <w:r>
              <w:rPr>
                <w:sz w:val="20"/>
                <w:szCs w:val="20"/>
              </w:rPr>
              <w:t>de los</w:t>
            </w:r>
          </w:p>
        </w:tc>
      </w:tr>
      <w:tr>
        <w:trPr/>
        <w:tc>
          <w:tcPr>
            <w:tcW w:w="2990" w:type="dxa"/>
            <w:tcBorders>
              <w:top w:val="nil"/>
              <w:left w:val="nil"/>
              <w:bottom w:val="nil"/>
              <w:right w:val="nil"/>
              <w:insideH w:val="nil"/>
              <w:insideV w:val="nil"/>
            </w:tcBorders>
            <w:shd w:color="auto" w:fill="auto" w:val="clear"/>
            <w:vAlign w:val="center"/>
          </w:tcPr>
          <w:p>
            <w:pPr>
              <w:pStyle w:val="Normal"/>
              <w:spacing w:lineRule="auto" w:line="240" w:before="60" w:after="60"/>
              <w:rPr>
                <w:sz w:val="20"/>
                <w:szCs w:val="20"/>
              </w:rPr>
            </w:pPr>
            <w:r>
              <w:rPr>
                <w:sz w:val="20"/>
                <w:szCs w:val="20"/>
              </w:rPr>
              <w:t>&lt;conector descriptor de datos&gt;</w:t>
            </w:r>
          </w:p>
        </w:tc>
        <w:tc>
          <w:tcPr>
            <w:tcW w:w="5085" w:type="dxa"/>
            <w:gridSpan w:val="2"/>
            <w:tcBorders>
              <w:top w:val="nil"/>
              <w:left w:val="nil"/>
              <w:bottom w:val="nil"/>
              <w:right w:val="nil"/>
              <w:insideH w:val="nil"/>
              <w:insideV w:val="nil"/>
            </w:tcBorders>
            <w:shd w:color="auto" w:fill="auto" w:val="clear"/>
            <w:vAlign w:val="center"/>
          </w:tcPr>
          <w:p>
            <w:pPr>
              <w:pStyle w:val="Normal"/>
              <w:spacing w:lineRule="auto" w:line="240" w:before="60" w:after="60"/>
              <w:jc w:val="center"/>
              <w:rPr>
                <w:sz w:val="20"/>
                <w:szCs w:val="20"/>
              </w:rPr>
            </w:pPr>
            <w:r>
              <w:rPr>
                <w:sz w:val="20"/>
                <w:szCs w:val="20"/>
              </w:rPr>
              <w:t>registros en la base de datos, reportan que en el</w:t>
            </w:r>
          </w:p>
        </w:tc>
      </w:tr>
      <w:tr>
        <w:trPr/>
        <w:tc>
          <w:tcPr>
            <w:tcW w:w="2990" w:type="dxa"/>
            <w:tcBorders>
              <w:top w:val="nil"/>
              <w:left w:val="nil"/>
              <w:bottom w:val="nil"/>
              <w:right w:val="nil"/>
              <w:insideH w:val="nil"/>
              <w:insideV w:val="nil"/>
            </w:tcBorders>
            <w:shd w:color="auto" w:fill="auto" w:val="clear"/>
            <w:vAlign w:val="center"/>
          </w:tcPr>
          <w:p>
            <w:pPr>
              <w:pStyle w:val="Normal"/>
              <w:spacing w:lineRule="auto" w:line="240" w:before="60" w:after="60"/>
              <w:rPr>
                <w:sz w:val="20"/>
                <w:szCs w:val="20"/>
              </w:rPr>
            </w:pPr>
            <w:r>
              <w:rPr>
                <w:sz w:val="20"/>
                <w:szCs w:val="20"/>
              </w:rPr>
              <w:t>&lt;</w:t>
            </w:r>
            <w:r>
              <w:rPr>
                <w:i/>
                <w:sz w:val="20"/>
                <w:szCs w:val="20"/>
              </w:rPr>
              <w:t>Q</w:t>
            </w:r>
            <w:r>
              <w:rPr>
                <w:sz w:val="20"/>
                <w:szCs w:val="20"/>
              </w:rPr>
              <w:t>&gt;</w:t>
            </w:r>
          </w:p>
        </w:tc>
        <w:tc>
          <w:tcPr>
            <w:tcW w:w="2534" w:type="dxa"/>
            <w:tcBorders>
              <w:top w:val="nil"/>
              <w:left w:val="nil"/>
              <w:bottom w:val="nil"/>
              <w:right w:val="nil"/>
              <w:insideH w:val="nil"/>
              <w:insideV w:val="nil"/>
            </w:tcBorders>
            <w:shd w:color="auto" w:fill="auto" w:val="clear"/>
            <w:vAlign w:val="center"/>
          </w:tcPr>
          <w:p>
            <w:pPr>
              <w:pStyle w:val="Normal"/>
              <w:spacing w:lineRule="auto" w:line="240" w:before="60" w:after="60"/>
              <w:jc w:val="center"/>
              <w:rPr>
                <w:sz w:val="20"/>
                <w:szCs w:val="20"/>
              </w:rPr>
            </w:pPr>
            <w:r>
              <w:rPr>
                <w:sz w:val="20"/>
                <w:szCs w:val="20"/>
              </w:rPr>
              <w:t>100.0%</w:t>
            </w:r>
          </w:p>
        </w:tc>
        <w:tc>
          <w:tcPr>
            <w:tcW w:w="2551" w:type="dxa"/>
            <w:tcBorders>
              <w:top w:val="nil"/>
              <w:left w:val="nil"/>
              <w:bottom w:val="nil"/>
              <w:right w:val="nil"/>
              <w:insideH w:val="nil"/>
              <w:insideV w:val="nil"/>
            </w:tcBorders>
            <w:shd w:color="auto" w:fill="auto" w:val="clear"/>
            <w:vAlign w:val="center"/>
          </w:tcPr>
          <w:p>
            <w:pPr>
              <w:pStyle w:val="Normal"/>
              <w:spacing w:lineRule="auto" w:line="240" w:before="60" w:after="60"/>
              <w:jc w:val="center"/>
              <w:rPr>
                <w:sz w:val="20"/>
                <w:szCs w:val="20"/>
              </w:rPr>
            </w:pPr>
            <w:r>
              <w:rPr>
                <w:sz w:val="20"/>
                <w:szCs w:val="20"/>
              </w:rPr>
              <w:t>90.404%</w:t>
            </w:r>
          </w:p>
        </w:tc>
      </w:tr>
      <w:tr>
        <w:trPr/>
        <w:tc>
          <w:tcPr>
            <w:tcW w:w="2990" w:type="dxa"/>
            <w:tcBorders>
              <w:top w:val="nil"/>
              <w:left w:val="nil"/>
              <w:bottom w:val="nil"/>
              <w:right w:val="nil"/>
              <w:insideH w:val="nil"/>
              <w:insideV w:val="nil"/>
            </w:tcBorders>
            <w:shd w:color="auto" w:fill="auto" w:val="clear"/>
            <w:vAlign w:val="center"/>
          </w:tcPr>
          <w:p>
            <w:pPr>
              <w:pStyle w:val="Normal"/>
              <w:spacing w:lineRule="auto" w:line="240" w:before="60" w:after="60"/>
              <w:rPr>
                <w:sz w:val="20"/>
                <w:szCs w:val="20"/>
              </w:rPr>
            </w:pPr>
            <w:r>
              <w:rPr>
                <w:sz w:val="20"/>
                <w:szCs w:val="20"/>
              </w:rPr>
              <w:t>&lt;conector cuantificador&gt;</w:t>
            </w:r>
          </w:p>
        </w:tc>
        <w:tc>
          <w:tcPr>
            <w:tcW w:w="2534" w:type="dxa"/>
            <w:tcBorders>
              <w:top w:val="nil"/>
              <w:left w:val="nil"/>
              <w:bottom w:val="nil"/>
              <w:right w:val="nil"/>
              <w:insideH w:val="nil"/>
              <w:insideV w:val="nil"/>
            </w:tcBorders>
            <w:shd w:color="auto" w:fill="auto" w:val="clear"/>
            <w:vAlign w:val="center"/>
          </w:tcPr>
          <w:p>
            <w:pPr>
              <w:pStyle w:val="Normal"/>
              <w:spacing w:lineRule="auto" w:line="240" w:before="60" w:after="60"/>
              <w:jc w:val="center"/>
              <w:rPr>
                <w:sz w:val="20"/>
                <w:szCs w:val="20"/>
              </w:rPr>
            </w:pPr>
            <w:r>
              <w:rPr>
                <w:sz w:val="20"/>
                <w:szCs w:val="20"/>
              </w:rPr>
              <w:t>de las veces,</w:t>
            </w:r>
          </w:p>
        </w:tc>
        <w:tc>
          <w:tcPr>
            <w:tcW w:w="2551" w:type="dxa"/>
            <w:tcBorders>
              <w:top w:val="nil"/>
              <w:left w:val="nil"/>
              <w:bottom w:val="nil"/>
              <w:right w:val="nil"/>
              <w:insideH w:val="nil"/>
              <w:insideV w:val="nil"/>
            </w:tcBorders>
            <w:shd w:color="auto" w:fill="auto" w:val="clear"/>
            <w:vAlign w:val="center"/>
          </w:tcPr>
          <w:p>
            <w:pPr>
              <w:pStyle w:val="Normal"/>
              <w:spacing w:lineRule="auto" w:line="240" w:before="60" w:after="60"/>
              <w:jc w:val="center"/>
              <w:rPr>
                <w:sz w:val="20"/>
                <w:szCs w:val="20"/>
              </w:rPr>
            </w:pPr>
            <w:r>
              <w:rPr>
                <w:sz w:val="20"/>
                <w:szCs w:val="20"/>
              </w:rPr>
              <w:t>de las veces,</w:t>
            </w:r>
          </w:p>
        </w:tc>
      </w:tr>
      <w:tr>
        <w:trPr/>
        <w:tc>
          <w:tcPr>
            <w:tcW w:w="2990" w:type="dxa"/>
            <w:tcBorders>
              <w:top w:val="nil"/>
              <w:left w:val="nil"/>
              <w:bottom w:val="nil"/>
              <w:right w:val="nil"/>
              <w:insideH w:val="nil"/>
              <w:insideV w:val="nil"/>
            </w:tcBorders>
            <w:shd w:color="auto" w:fill="auto" w:val="clear"/>
            <w:vAlign w:val="center"/>
          </w:tcPr>
          <w:p>
            <w:pPr>
              <w:pStyle w:val="Normal"/>
              <w:spacing w:lineRule="auto" w:line="240" w:before="60" w:after="60"/>
              <w:rPr>
                <w:sz w:val="20"/>
                <w:szCs w:val="20"/>
              </w:rPr>
            </w:pPr>
            <w:r>
              <w:rPr>
                <w:sz w:val="20"/>
                <w:szCs w:val="20"/>
              </w:rPr>
              <w:t>&lt;</w:t>
            </w:r>
            <w:r>
              <w:rPr>
                <w:i/>
                <w:sz w:val="20"/>
                <w:szCs w:val="20"/>
              </w:rPr>
              <w:t>y’</w:t>
            </w:r>
            <w:r>
              <w:rPr>
                <w:sz w:val="20"/>
                <w:szCs w:val="20"/>
              </w:rPr>
              <w:t>&gt;</w:t>
            </w:r>
          </w:p>
        </w:tc>
        <w:tc>
          <w:tcPr>
            <w:tcW w:w="2534" w:type="dxa"/>
            <w:tcBorders>
              <w:top w:val="nil"/>
              <w:left w:val="nil"/>
              <w:bottom w:val="nil"/>
              <w:right w:val="nil"/>
              <w:insideH w:val="nil"/>
              <w:insideV w:val="nil"/>
            </w:tcBorders>
            <w:shd w:color="auto" w:fill="auto" w:val="clear"/>
            <w:vAlign w:val="center"/>
          </w:tcPr>
          <w:p>
            <w:pPr>
              <w:pStyle w:val="Normal"/>
              <w:spacing w:lineRule="auto" w:line="240" w:before="60" w:after="60"/>
              <w:jc w:val="center"/>
              <w:rPr>
                <w:sz w:val="20"/>
                <w:szCs w:val="20"/>
              </w:rPr>
            </w:pPr>
            <w:r>
              <w:rPr>
                <w:sz w:val="20"/>
                <w:szCs w:val="20"/>
              </w:rPr>
              <w:t>las embarazadas cardiópatas</w:t>
            </w:r>
          </w:p>
        </w:tc>
        <w:tc>
          <w:tcPr>
            <w:tcW w:w="2551" w:type="dxa"/>
            <w:tcBorders>
              <w:top w:val="nil"/>
              <w:left w:val="nil"/>
              <w:bottom w:val="nil"/>
              <w:right w:val="nil"/>
              <w:insideH w:val="nil"/>
              <w:insideV w:val="nil"/>
            </w:tcBorders>
            <w:shd w:color="auto" w:fill="auto" w:val="clear"/>
            <w:vAlign w:val="center"/>
          </w:tcPr>
          <w:p>
            <w:pPr>
              <w:pStyle w:val="Normal"/>
              <w:spacing w:lineRule="auto" w:line="240" w:before="60" w:after="60"/>
              <w:jc w:val="center"/>
              <w:rPr>
                <w:sz w:val="20"/>
                <w:szCs w:val="20"/>
              </w:rPr>
            </w:pPr>
            <w:r>
              <w:rPr>
                <w:sz w:val="20"/>
                <w:szCs w:val="20"/>
              </w:rPr>
              <w:t>los proyectos</w:t>
            </w:r>
          </w:p>
        </w:tc>
      </w:tr>
      <w:tr>
        <w:trPr/>
        <w:tc>
          <w:tcPr>
            <w:tcW w:w="2990" w:type="dxa"/>
            <w:tcBorders>
              <w:top w:val="nil"/>
              <w:left w:val="nil"/>
              <w:bottom w:val="nil"/>
              <w:right w:val="nil"/>
              <w:insideH w:val="nil"/>
              <w:insideV w:val="nil"/>
            </w:tcBorders>
            <w:shd w:color="auto" w:fill="auto" w:val="clear"/>
            <w:vAlign w:val="center"/>
          </w:tcPr>
          <w:p>
            <w:pPr>
              <w:pStyle w:val="Normal"/>
              <w:spacing w:lineRule="auto" w:line="240" w:before="60" w:after="60"/>
              <w:rPr>
                <w:sz w:val="20"/>
                <w:szCs w:val="20"/>
              </w:rPr>
            </w:pPr>
            <w:r>
              <w:rPr>
                <w:sz w:val="20"/>
                <w:szCs w:val="20"/>
              </w:rPr>
              <w:t>&lt;conector filtros&gt;</w:t>
            </w:r>
          </w:p>
        </w:tc>
        <w:tc>
          <w:tcPr>
            <w:tcW w:w="2534" w:type="dxa"/>
            <w:tcBorders>
              <w:top w:val="nil"/>
              <w:left w:val="nil"/>
              <w:bottom w:val="nil"/>
              <w:right w:val="nil"/>
              <w:insideH w:val="nil"/>
              <w:insideV w:val="nil"/>
            </w:tcBorders>
            <w:shd w:color="auto" w:fill="auto" w:val="clear"/>
            <w:vAlign w:val="center"/>
          </w:tcPr>
          <w:p>
            <w:pPr>
              <w:pStyle w:val="Normal"/>
              <w:spacing w:lineRule="auto" w:line="240" w:before="60" w:after="60"/>
              <w:jc w:val="center"/>
              <w:rPr>
                <w:sz w:val="20"/>
                <w:szCs w:val="20"/>
              </w:rPr>
            </w:pPr>
            <w:r>
              <w:rPr>
                <w:sz w:val="20"/>
                <w:szCs w:val="20"/>
              </w:rPr>
              <w:t>que tienen</w:t>
            </w:r>
          </w:p>
        </w:tc>
        <w:tc>
          <w:tcPr>
            <w:tcW w:w="2551" w:type="dxa"/>
            <w:tcBorders>
              <w:top w:val="nil"/>
              <w:left w:val="nil"/>
              <w:bottom w:val="nil"/>
              <w:right w:val="nil"/>
              <w:insideH w:val="nil"/>
              <w:insideV w:val="nil"/>
            </w:tcBorders>
            <w:shd w:color="auto" w:fill="auto" w:val="clear"/>
            <w:vAlign w:val="center"/>
          </w:tcPr>
          <w:p>
            <w:pPr>
              <w:pStyle w:val="Normal"/>
              <w:spacing w:lineRule="auto" w:line="240" w:before="60" w:after="60"/>
              <w:jc w:val="center"/>
              <w:rPr>
                <w:sz w:val="20"/>
                <w:szCs w:val="20"/>
              </w:rPr>
            </w:pPr>
            <w:r>
              <w:rPr>
                <w:sz w:val="20"/>
                <w:szCs w:val="20"/>
              </w:rPr>
              <w:t>que tienen</w:t>
            </w:r>
          </w:p>
        </w:tc>
      </w:tr>
      <w:tr>
        <w:trPr/>
        <w:tc>
          <w:tcPr>
            <w:tcW w:w="2990" w:type="dxa"/>
            <w:tcBorders>
              <w:top w:val="nil"/>
              <w:left w:val="nil"/>
              <w:bottom w:val="nil"/>
              <w:right w:val="nil"/>
              <w:insideH w:val="nil"/>
              <w:insideV w:val="nil"/>
            </w:tcBorders>
            <w:shd w:color="auto" w:fill="auto" w:val="clear"/>
            <w:vAlign w:val="center"/>
          </w:tcPr>
          <w:p>
            <w:pPr>
              <w:pStyle w:val="Normal"/>
              <w:spacing w:lineRule="auto" w:line="240" w:before="60" w:after="60"/>
              <w:rPr>
                <w:sz w:val="20"/>
                <w:szCs w:val="20"/>
              </w:rPr>
            </w:pPr>
            <w:r>
              <w:rPr>
                <w:sz w:val="20"/>
                <w:szCs w:val="20"/>
              </w:rPr>
              <w:t>&lt;</w:t>
            </w:r>
            <w:r>
              <w:rPr>
                <w:i/>
                <w:sz w:val="20"/>
                <w:szCs w:val="20"/>
              </w:rPr>
              <w:t>R</w:t>
            </w:r>
            <w:r>
              <w:rPr>
                <w:sz w:val="20"/>
                <w:szCs w:val="20"/>
              </w:rPr>
              <w:t>&gt;</w:t>
            </w:r>
          </w:p>
        </w:tc>
        <w:tc>
          <w:tcPr>
            <w:tcW w:w="2534" w:type="dxa"/>
            <w:tcBorders>
              <w:top w:val="nil"/>
              <w:left w:val="nil"/>
              <w:bottom w:val="nil"/>
              <w:right w:val="nil"/>
              <w:insideH w:val="nil"/>
              <w:insideV w:val="nil"/>
            </w:tcBorders>
            <w:shd w:color="auto" w:fill="auto" w:val="clear"/>
            <w:vAlign w:val="center"/>
          </w:tcPr>
          <w:p>
            <w:pPr>
              <w:pStyle w:val="Normal"/>
              <w:spacing w:lineRule="auto" w:line="240" w:before="60" w:after="60"/>
              <w:jc w:val="center"/>
              <w:rPr>
                <w:sz w:val="20"/>
                <w:szCs w:val="20"/>
              </w:rPr>
            </w:pPr>
            <w:r>
              <w:rPr>
                <w:sz w:val="20"/>
                <w:szCs w:val="20"/>
              </w:rPr>
              <w:t>ausencia de soplo holosistólico</w:t>
            </w:r>
          </w:p>
        </w:tc>
        <w:tc>
          <w:tcPr>
            <w:tcW w:w="2551" w:type="dxa"/>
            <w:tcBorders>
              <w:top w:val="nil"/>
              <w:left w:val="nil"/>
              <w:bottom w:val="nil"/>
              <w:right w:val="nil"/>
              <w:insideH w:val="nil"/>
              <w:insideV w:val="nil"/>
            </w:tcBorders>
            <w:shd w:color="auto" w:fill="auto" w:val="clear"/>
            <w:vAlign w:val="center"/>
          </w:tcPr>
          <w:p>
            <w:pPr>
              <w:pStyle w:val="Normal"/>
              <w:spacing w:lineRule="auto" w:line="240" w:before="60" w:after="60"/>
              <w:jc w:val="center"/>
              <w:rPr>
                <w:sz w:val="20"/>
                <w:szCs w:val="20"/>
              </w:rPr>
            </w:pPr>
            <w:r>
              <w:rPr>
                <w:sz w:val="20"/>
                <w:szCs w:val="20"/>
              </w:rPr>
              <w:t>muy alta calidad del dato</w:t>
            </w:r>
          </w:p>
        </w:tc>
      </w:tr>
      <w:tr>
        <w:trPr/>
        <w:tc>
          <w:tcPr>
            <w:tcW w:w="2990" w:type="dxa"/>
            <w:tcBorders>
              <w:top w:val="nil"/>
              <w:left w:val="nil"/>
              <w:bottom w:val="nil"/>
              <w:right w:val="nil"/>
              <w:insideH w:val="nil"/>
              <w:insideV w:val="nil"/>
            </w:tcBorders>
            <w:shd w:color="auto" w:fill="auto" w:val="clear"/>
            <w:vAlign w:val="center"/>
          </w:tcPr>
          <w:p>
            <w:pPr>
              <w:pStyle w:val="Normal"/>
              <w:spacing w:lineRule="auto" w:line="240" w:before="60" w:after="60"/>
              <w:rPr>
                <w:sz w:val="20"/>
                <w:szCs w:val="20"/>
              </w:rPr>
            </w:pPr>
            <w:r>
              <w:rPr>
                <w:sz w:val="20"/>
                <w:szCs w:val="20"/>
              </w:rPr>
              <w:t>&lt;conector sumarizador&gt;</w:t>
            </w:r>
          </w:p>
        </w:tc>
        <w:tc>
          <w:tcPr>
            <w:tcW w:w="2534" w:type="dxa"/>
            <w:tcBorders>
              <w:top w:val="nil"/>
              <w:left w:val="nil"/>
              <w:bottom w:val="nil"/>
              <w:right w:val="nil"/>
              <w:insideH w:val="nil"/>
              <w:insideV w:val="nil"/>
            </w:tcBorders>
            <w:shd w:color="auto" w:fill="auto" w:val="clear"/>
            <w:vAlign w:val="center"/>
          </w:tcPr>
          <w:p>
            <w:pPr>
              <w:pStyle w:val="Normal"/>
              <w:spacing w:lineRule="auto" w:line="240" w:before="60" w:after="60"/>
              <w:jc w:val="center"/>
              <w:rPr>
                <w:sz w:val="20"/>
                <w:szCs w:val="20"/>
              </w:rPr>
            </w:pPr>
            <w:r>
              <w:rPr>
                <w:sz w:val="20"/>
                <w:szCs w:val="20"/>
              </w:rPr>
              <w:t>tienen</w:t>
            </w:r>
          </w:p>
        </w:tc>
        <w:tc>
          <w:tcPr>
            <w:tcW w:w="2551" w:type="dxa"/>
            <w:tcBorders>
              <w:top w:val="nil"/>
              <w:left w:val="nil"/>
              <w:bottom w:val="nil"/>
              <w:right w:val="nil"/>
              <w:insideH w:val="nil"/>
              <w:insideV w:val="nil"/>
            </w:tcBorders>
            <w:shd w:color="auto" w:fill="auto" w:val="clear"/>
            <w:vAlign w:val="center"/>
          </w:tcPr>
          <w:p>
            <w:pPr>
              <w:pStyle w:val="Normal"/>
              <w:spacing w:lineRule="auto" w:line="240" w:before="60" w:after="60"/>
              <w:jc w:val="center"/>
              <w:rPr>
                <w:sz w:val="20"/>
                <w:szCs w:val="20"/>
              </w:rPr>
            </w:pPr>
            <w:r>
              <w:rPr>
                <w:sz w:val="20"/>
                <w:szCs w:val="20"/>
              </w:rPr>
              <w:t>tienen</w:t>
            </w:r>
          </w:p>
        </w:tc>
      </w:tr>
      <w:tr>
        <w:trPr/>
        <w:tc>
          <w:tcPr>
            <w:tcW w:w="2990" w:type="dxa"/>
            <w:tcBorders>
              <w:top w:val="nil"/>
              <w:left w:val="nil"/>
              <w:bottom w:val="single" w:sz="12" w:space="0" w:color="00000A"/>
              <w:right w:val="nil"/>
              <w:insideH w:val="single" w:sz="12" w:space="0" w:color="00000A"/>
              <w:insideV w:val="nil"/>
            </w:tcBorders>
            <w:shd w:color="auto" w:fill="auto" w:val="clear"/>
            <w:vAlign w:val="center"/>
          </w:tcPr>
          <w:p>
            <w:pPr>
              <w:pStyle w:val="Normal"/>
              <w:spacing w:lineRule="auto" w:line="240" w:before="60" w:after="60"/>
              <w:rPr>
                <w:sz w:val="20"/>
                <w:szCs w:val="20"/>
              </w:rPr>
            </w:pPr>
            <w:r>
              <w:rPr>
                <w:sz w:val="20"/>
                <w:szCs w:val="20"/>
              </w:rPr>
              <w:t>&lt;</w:t>
            </w:r>
            <w:r>
              <w:rPr>
                <w:i/>
                <w:sz w:val="20"/>
                <w:szCs w:val="20"/>
              </w:rPr>
              <w:t>S</w:t>
            </w:r>
            <w:r>
              <w:rPr>
                <w:sz w:val="20"/>
                <w:szCs w:val="20"/>
              </w:rPr>
              <w:t>&gt;</w:t>
            </w:r>
          </w:p>
        </w:tc>
        <w:tc>
          <w:tcPr>
            <w:tcW w:w="2534" w:type="dxa"/>
            <w:tcBorders>
              <w:top w:val="nil"/>
              <w:left w:val="nil"/>
              <w:bottom w:val="single" w:sz="12" w:space="0" w:color="00000A"/>
              <w:right w:val="nil"/>
              <w:insideH w:val="single" w:sz="12" w:space="0" w:color="00000A"/>
              <w:insideV w:val="nil"/>
            </w:tcBorders>
            <w:shd w:color="auto" w:fill="auto" w:val="clear"/>
            <w:vAlign w:val="center"/>
          </w:tcPr>
          <w:p>
            <w:pPr>
              <w:pStyle w:val="Normal"/>
              <w:spacing w:lineRule="auto" w:line="240" w:before="60" w:after="60"/>
              <w:jc w:val="center"/>
              <w:rPr>
                <w:sz w:val="20"/>
                <w:szCs w:val="20"/>
              </w:rPr>
            </w:pPr>
            <w:r>
              <w:rPr>
                <w:sz w:val="20"/>
                <w:szCs w:val="20"/>
              </w:rPr>
              <w:t>ausencia de cianosis</w:t>
            </w:r>
          </w:p>
        </w:tc>
        <w:tc>
          <w:tcPr>
            <w:tcW w:w="2551" w:type="dxa"/>
            <w:tcBorders>
              <w:top w:val="nil"/>
              <w:left w:val="nil"/>
              <w:bottom w:val="single" w:sz="12" w:space="0" w:color="00000A"/>
              <w:right w:val="nil"/>
              <w:insideH w:val="single" w:sz="12" w:space="0" w:color="00000A"/>
              <w:insideV w:val="nil"/>
            </w:tcBorders>
            <w:shd w:color="auto" w:fill="auto" w:val="clear"/>
            <w:vAlign w:val="center"/>
          </w:tcPr>
          <w:p>
            <w:pPr>
              <w:pStyle w:val="Normal"/>
              <w:spacing w:lineRule="auto" w:line="240" w:before="60" w:after="60"/>
              <w:jc w:val="center"/>
              <w:rPr>
                <w:sz w:val="20"/>
                <w:szCs w:val="20"/>
              </w:rPr>
            </w:pPr>
            <w:r>
              <w:rPr>
                <w:sz w:val="20"/>
                <w:szCs w:val="20"/>
              </w:rPr>
              <w:t>muy baja cantidad de competencias con baja evaluación</w:t>
            </w:r>
          </w:p>
        </w:tc>
      </w:tr>
    </w:tbl>
    <w:p>
      <w:pPr>
        <w:pStyle w:val="Normal"/>
        <w:suppressAutoHyphens w:val="false"/>
        <w:overflowPunct w:val="true"/>
        <w:spacing w:lineRule="auto" w:line="360" w:before="0" w:after="0"/>
        <w:ind w:left="2552" w:hanging="2552"/>
        <w:jc w:val="left"/>
        <w:rPr/>
      </w:pPr>
      <w:r>
        <w:rPr/>
      </w:r>
    </w:p>
    <w:p>
      <w:pPr>
        <w:pStyle w:val="Heading3"/>
        <w:numPr>
          <w:ilvl w:val="2"/>
          <w:numId w:val="80"/>
        </w:numPr>
        <w:rPr/>
      </w:pPr>
      <w:r>
        <w:rPr/>
        <w:t>LNC para resúmenes en inglés</w:t>
      </w:r>
    </w:p>
    <w:p>
      <w:pPr>
        <w:pStyle w:val="Normal"/>
        <w:suppressAutoHyphens w:val="false"/>
        <w:overflowPunct w:val="true"/>
        <w:spacing w:lineRule="auto" w:line="360" w:before="0" w:after="0"/>
        <w:ind w:left="2552" w:hanging="2552"/>
        <w:jc w:val="left"/>
        <w:rPr>
          <w:iCs/>
        </w:rPr>
      </w:pPr>
      <w:r>
        <w:rPr>
          <w:iCs/>
        </w:rPr>
        <w:t>&lt;Resumen lingüístico&gt;::= &lt;D&gt; &lt;conector descriptor de datos &gt; &lt;Q&gt; &lt;conector cuantificador&gt; &lt;y’&gt; &lt;conector filtros&gt; &lt;R&gt; &lt;conector sumarizador&gt; &lt;S&gt; |</w:t>
      </w:r>
    </w:p>
    <w:p>
      <w:pPr>
        <w:pStyle w:val="Normal"/>
        <w:suppressAutoHyphens w:val="false"/>
        <w:overflowPunct w:val="true"/>
        <w:spacing w:lineRule="auto" w:line="360" w:before="0" w:after="0"/>
        <w:ind w:left="2552" w:hanging="2552"/>
        <w:jc w:val="left"/>
        <w:rPr>
          <w:iCs/>
        </w:rPr>
      </w:pPr>
      <w:r>
        <w:rPr>
          <w:iCs/>
        </w:rPr>
        <w:tab/>
        <w:t xml:space="preserve">&lt;Q&gt; &lt;y’&gt; &lt;conector filtros&gt; &lt;R&gt; &lt;conector sumarizador&gt; &lt;S&gt; | </w:t>
      </w:r>
    </w:p>
    <w:p>
      <w:pPr>
        <w:pStyle w:val="Normal"/>
        <w:suppressAutoHyphens w:val="false"/>
        <w:overflowPunct w:val="true"/>
        <w:spacing w:lineRule="auto" w:line="360" w:before="0" w:after="0"/>
        <w:ind w:left="2552" w:hanging="0"/>
        <w:jc w:val="left"/>
        <w:rPr>
          <w:iCs/>
        </w:rPr>
      </w:pPr>
      <w:r>
        <w:rPr>
          <w:iCs/>
        </w:rPr>
        <w:t>&lt;Q&gt; &lt;y’&gt; &lt;conector sumarizador&gt; &lt;S&gt;</w:t>
      </w:r>
    </w:p>
    <w:p>
      <w:pPr>
        <w:pStyle w:val="Normal"/>
        <w:suppressAutoHyphens w:val="false"/>
        <w:overflowPunct w:val="true"/>
        <w:spacing w:lineRule="auto" w:line="360" w:before="0" w:after="0"/>
        <w:ind w:left="851" w:hanging="851"/>
        <w:jc w:val="left"/>
        <w:rPr>
          <w:iCs/>
          <w:lang w:val="en-US"/>
        </w:rPr>
      </w:pPr>
      <w:r>
        <w:rPr>
          <w:iCs/>
          <w:lang w:val="en-US"/>
        </w:rPr>
        <w:t>&lt;D&gt;::= “almost all” | “most” | “many” | “around a half of” | “some” | “few” | “very few”</w:t>
      </w:r>
    </w:p>
    <w:p>
      <w:pPr>
        <w:pStyle w:val="Normal"/>
        <w:suppressAutoHyphens w:val="false"/>
        <w:overflowPunct w:val="true"/>
        <w:spacing w:lineRule="auto" w:line="360" w:before="0" w:after="0"/>
        <w:jc w:val="left"/>
        <w:rPr>
          <w:iCs/>
        </w:rPr>
      </w:pPr>
      <w:r>
        <w:rPr>
          <w:iCs/>
        </w:rPr>
        <w:t xml:space="preserve">&lt;conector descriptor de datos&gt;::= “records show, that” </w:t>
      </w:r>
    </w:p>
    <w:p>
      <w:pPr>
        <w:pStyle w:val="Normal"/>
        <w:suppressAutoHyphens w:val="false"/>
        <w:overflowPunct w:val="true"/>
        <w:spacing w:lineRule="auto" w:line="360" w:before="0" w:after="0"/>
        <w:jc w:val="left"/>
        <w:rPr>
          <w:iCs/>
        </w:rPr>
      </w:pPr>
      <w:r>
        <w:rPr>
          <w:iCs/>
        </w:rPr>
        <w:t>&lt;conector cuantificador&gt;::= “of times,”</w:t>
      </w:r>
    </w:p>
    <w:p>
      <w:pPr>
        <w:pStyle w:val="Normal"/>
        <w:suppressAutoHyphens w:val="false"/>
        <w:overflowPunct w:val="true"/>
        <w:spacing w:lineRule="auto" w:line="360" w:before="0" w:after="0"/>
        <w:jc w:val="left"/>
        <w:rPr>
          <w:iCs/>
        </w:rPr>
      </w:pPr>
      <w:r>
        <w:rPr>
          <w:iCs/>
        </w:rPr>
        <w:t>&lt;conector filtros&gt;::= “with”</w:t>
      </w:r>
    </w:p>
    <w:p>
      <w:pPr>
        <w:pStyle w:val="Normal"/>
        <w:suppressAutoHyphens w:val="false"/>
        <w:overflowPunct w:val="true"/>
        <w:spacing w:lineRule="auto" w:line="360" w:before="0" w:after="0"/>
        <w:jc w:val="left"/>
        <w:rPr>
          <w:iCs/>
        </w:rPr>
      </w:pPr>
      <w:r>
        <w:rPr>
          <w:iCs/>
        </w:rPr>
        <w:t>&lt;conector sumarizador&gt;::= “have”</w:t>
      </w:r>
    </w:p>
    <w:p>
      <w:pPr>
        <w:pStyle w:val="Normal"/>
        <w:suppressAutoHyphens w:val="false"/>
        <w:overflowPunct w:val="true"/>
        <w:spacing w:lineRule="auto" w:line="360" w:before="0" w:after="0"/>
        <w:jc w:val="left"/>
        <w:rPr>
          <w:iCs/>
        </w:rPr>
      </w:pPr>
      <w:r>
        <w:rPr>
          <w:iCs/>
        </w:rPr>
        <w:t xml:space="preserve">&lt;y’&gt;::= </w:t>
      </w:r>
      <w:bookmarkStart w:id="3792" w:name="_Hlk81232017"/>
      <w:bookmarkEnd w:id="3792"/>
      <w:r>
        <w:rPr>
          <w:iCs/>
        </w:rPr>
        <w:t>&lt;sujeto&gt;</w:t>
      </w:r>
    </w:p>
    <w:p>
      <w:pPr>
        <w:pStyle w:val="Normal"/>
        <w:suppressAutoHyphens w:val="false"/>
        <w:overflowPunct w:val="true"/>
        <w:spacing w:lineRule="auto" w:line="360" w:before="0" w:after="0"/>
        <w:jc w:val="left"/>
        <w:rPr>
          <w:iCs/>
        </w:rPr>
      </w:pPr>
      <w:r>
        <w:rPr>
          <w:iCs/>
        </w:rPr>
        <w:t>&lt;sujeto&gt;::= &lt;frase simple&gt;</w:t>
      </w:r>
    </w:p>
    <w:p>
      <w:pPr>
        <w:pStyle w:val="Normal"/>
        <w:suppressAutoHyphens w:val="false"/>
        <w:overflowPunct w:val="true"/>
        <w:spacing w:lineRule="auto" w:line="360" w:before="0" w:after="0"/>
        <w:ind w:left="709" w:hanging="709"/>
        <w:jc w:val="left"/>
        <w:rPr>
          <w:iCs/>
        </w:rPr>
      </w:pPr>
      <w:r>
        <w:rPr>
          <w:iCs/>
        </w:rPr>
        <w:t>&lt;Q&gt;::= &lt;cuantificador lingüístico&gt; | &lt;cuantificador numérico&gt; | &lt;cuantificador mixto&gt; | &lt;cuantificador por ciento&gt;</w:t>
      </w:r>
    </w:p>
    <w:p>
      <w:pPr>
        <w:pStyle w:val="Normal"/>
        <w:suppressAutoHyphens w:val="false"/>
        <w:overflowPunct w:val="true"/>
        <w:spacing w:lineRule="auto" w:line="360" w:before="0" w:after="0"/>
        <w:ind w:left="2835" w:hanging="2835"/>
        <w:jc w:val="left"/>
        <w:rPr>
          <w:iCs/>
          <w:lang w:val="en-US"/>
        </w:rPr>
      </w:pPr>
      <w:r>
        <w:rPr>
          <w:iCs/>
          <w:lang w:val="en-US"/>
        </w:rPr>
        <w:t xml:space="preserve">&lt;cuantificador lingüístico&gt;::= “almost all” | “most” | “many”| “around a half of” | “some” | </w:t>
      </w:r>
    </w:p>
    <w:p>
      <w:pPr>
        <w:pStyle w:val="Normal"/>
        <w:suppressAutoHyphens w:val="false"/>
        <w:overflowPunct w:val="true"/>
        <w:spacing w:lineRule="auto" w:line="360" w:before="0" w:after="0"/>
        <w:ind w:left="2835" w:hanging="0"/>
        <w:jc w:val="left"/>
        <w:rPr>
          <w:iCs/>
          <w:lang w:val="en-US"/>
        </w:rPr>
      </w:pPr>
      <w:r>
        <w:rPr>
          <w:iCs/>
          <w:lang w:val="en-US"/>
        </w:rPr>
        <w:t>“</w:t>
      </w:r>
      <w:r>
        <w:rPr>
          <w:iCs/>
          <w:lang w:val="en-US"/>
        </w:rPr>
        <w:t>few” | “very few”</w:t>
      </w:r>
    </w:p>
    <w:p>
      <w:pPr>
        <w:pStyle w:val="Normal"/>
        <w:suppressAutoHyphens w:val="false"/>
        <w:overflowPunct w:val="true"/>
        <w:spacing w:lineRule="auto" w:line="360" w:before="0" w:after="0"/>
        <w:ind w:left="2835" w:hanging="2835"/>
        <w:jc w:val="left"/>
        <w:rPr>
          <w:iCs/>
          <w:lang w:val="en-US"/>
        </w:rPr>
      </w:pPr>
      <w:r>
        <w:rPr>
          <w:iCs/>
          <w:lang w:val="en-US"/>
        </w:rPr>
        <w:t>&lt;cuantificador numérico&gt;::= “more than 95% of” | “around of 85% of” | “around of 75% of” | “approximately el 50%” | “close to 33%” | “less than 17%” | “less than 5%”</w:t>
      </w:r>
    </w:p>
    <w:p>
      <w:pPr>
        <w:pStyle w:val="Normal"/>
        <w:suppressAutoHyphens w:val="false"/>
        <w:overflowPunct w:val="true"/>
        <w:spacing w:lineRule="auto" w:line="360" w:before="0" w:after="0"/>
        <w:ind w:left="2552" w:hanging="2552"/>
        <w:jc w:val="left"/>
        <w:rPr>
          <w:iCs/>
          <w:lang w:val="en-US"/>
        </w:rPr>
      </w:pPr>
      <w:r>
        <w:rPr>
          <w:iCs/>
          <w:lang w:val="en-US"/>
        </w:rPr>
        <w:t>&lt;cuantificador mixto&gt;::= “very few (less than 5%)” | “few (around of 15%)” | “some of (close to 33%)” | “around a half of” | “many (close to 65%)” | “most of (around of 83%)” | “almost all of”</w:t>
      </w:r>
    </w:p>
    <w:p>
      <w:pPr>
        <w:pStyle w:val="Normal"/>
        <w:suppressAutoHyphens w:val="false"/>
        <w:overflowPunct w:val="true"/>
        <w:spacing w:lineRule="auto" w:line="360" w:before="0" w:after="0"/>
        <w:ind w:left="2552" w:hanging="2552"/>
        <w:jc w:val="left"/>
        <w:rPr>
          <w:iCs/>
        </w:rPr>
      </w:pPr>
      <w:r>
        <w:rPr>
          <w:iCs/>
        </w:rPr>
        <w:t xml:space="preserve">&lt;cuantificador porciento&gt;::= </w:t>
      </w:r>
      <w:bookmarkStart w:id="3793" w:name="_Hlk81231311"/>
      <w:r>
        <w:rPr>
          <w:iCs/>
        </w:rPr>
        <w:t xml:space="preserve">&lt;conector porciento&gt; </w:t>
      </w:r>
      <w:bookmarkEnd w:id="3793"/>
      <w:r>
        <w:rPr>
          <w:iCs/>
        </w:rPr>
        <w:t xml:space="preserve">&lt;valor numérico en porciento&gt; </w:t>
      </w:r>
    </w:p>
    <w:p>
      <w:pPr>
        <w:pStyle w:val="Normal"/>
        <w:suppressAutoHyphens w:val="false"/>
        <w:overflowPunct w:val="true"/>
        <w:spacing w:lineRule="auto" w:line="360" w:before="0" w:after="0"/>
        <w:jc w:val="left"/>
        <w:rPr>
          <w:iCs/>
        </w:rPr>
      </w:pPr>
      <w:r>
        <w:rPr>
          <w:iCs/>
        </w:rPr>
        <w:t>&lt; conector porciento&gt;::= “in”</w:t>
      </w:r>
    </w:p>
    <w:p>
      <w:pPr>
        <w:pStyle w:val="Normal"/>
        <w:suppressAutoHyphens w:val="false"/>
        <w:overflowPunct w:val="true"/>
        <w:spacing w:lineRule="auto" w:line="360" w:before="0" w:after="0"/>
        <w:jc w:val="left"/>
        <w:rPr>
          <w:iCs/>
        </w:rPr>
      </w:pPr>
      <w:r>
        <w:rPr>
          <w:iCs/>
        </w:rPr>
        <w:t>&lt;S&gt;::= &lt;frase&gt;</w:t>
      </w:r>
    </w:p>
    <w:p>
      <w:pPr>
        <w:pStyle w:val="Normal"/>
        <w:suppressAutoHyphens w:val="false"/>
        <w:overflowPunct w:val="true"/>
        <w:spacing w:lineRule="auto" w:line="360" w:before="0" w:after="0"/>
        <w:jc w:val="left"/>
        <w:rPr>
          <w:iCs/>
        </w:rPr>
      </w:pPr>
      <w:r>
        <w:rPr>
          <w:iCs/>
        </w:rPr>
        <w:t>&lt;R&gt;::= &lt;frase&gt;</w:t>
      </w:r>
    </w:p>
    <w:p>
      <w:pPr>
        <w:pStyle w:val="Normal"/>
        <w:suppressAutoHyphens w:val="false"/>
        <w:overflowPunct w:val="true"/>
        <w:spacing w:lineRule="auto" w:line="360" w:before="0" w:after="0"/>
        <w:jc w:val="left"/>
        <w:rPr>
          <w:iCs/>
        </w:rPr>
      </w:pPr>
      <w:r>
        <w:rPr>
          <w:iCs/>
        </w:rPr>
        <w:t>&lt;frase&gt;::= &lt;frase&gt; &lt;operador lógico&gt; &lt;frase simple&gt; | &lt;frase simple&gt;</w:t>
      </w:r>
    </w:p>
    <w:p>
      <w:pPr>
        <w:pStyle w:val="Normal"/>
        <w:suppressAutoHyphens w:val="false"/>
        <w:overflowPunct w:val="true"/>
        <w:spacing w:lineRule="auto" w:line="360" w:before="0" w:after="0"/>
        <w:jc w:val="left"/>
        <w:rPr>
          <w:iCs/>
          <w:lang w:val="en-US"/>
        </w:rPr>
      </w:pPr>
      <w:r>
        <w:rPr>
          <w:iCs/>
          <w:lang w:val="en-US"/>
        </w:rPr>
        <w:t>&lt;operador lógico&gt;::= &lt;conjunción&gt; | &lt;disyunción&gt;</w:t>
      </w:r>
    </w:p>
    <w:p>
      <w:pPr>
        <w:pStyle w:val="Normal"/>
        <w:rPr>
          <w:iCs/>
          <w:lang w:val="en-US"/>
        </w:rPr>
      </w:pPr>
      <w:r>
        <w:rPr>
          <w:iCs/>
          <w:lang w:val="en-US"/>
        </w:rPr>
        <w:t>Ejemplo: “</w:t>
      </w:r>
      <w:r>
        <w:rPr>
          <w:i/>
          <w:lang w:val="en-US"/>
        </w:rPr>
        <w:t>Very few records show, that 94.0% of times projects with regular data quality, have bad productivity”</w:t>
      </w:r>
      <w:r>
        <w:rPr>
          <w:iCs/>
          <w:lang w:val="en-US"/>
        </w:rPr>
        <w:t>.</w:t>
      </w:r>
    </w:p>
    <w:p>
      <w:pPr>
        <w:pStyle w:val="Normal"/>
        <w:rPr>
          <w:iCs/>
          <w:lang w:val="en-US"/>
        </w:rPr>
      </w:pPr>
      <w:r>
        <w:rPr>
          <w:iCs/>
          <w:lang w:val="en-US"/>
        </w:rPr>
        <w:t>Donde:</w:t>
      </w:r>
    </w:p>
    <w:tbl>
      <w:tblPr>
        <w:tblStyle w:val="Tablaconcuadrcula"/>
        <w:tblW w:w="8971" w:type="dxa"/>
        <w:jc w:val="left"/>
        <w:tblInd w:w="0" w:type="dxa"/>
        <w:tblCellMar>
          <w:top w:w="0" w:type="dxa"/>
          <w:left w:w="123" w:type="dxa"/>
          <w:bottom w:w="0" w:type="dxa"/>
          <w:right w:w="108" w:type="dxa"/>
        </w:tblCellMar>
        <w:tblLook w:val="04a0" w:noVBand="1" w:noHBand="0" w:lastColumn="0" w:firstColumn="1" w:lastRow="0" w:firstRow="1"/>
      </w:tblPr>
      <w:tblGrid>
        <w:gridCol w:w="840"/>
        <w:gridCol w:w="1280"/>
        <w:gridCol w:w="1277"/>
        <w:gridCol w:w="2694"/>
        <w:gridCol w:w="2879"/>
      </w:tblGrid>
      <w:tr>
        <w:trPr/>
        <w:tc>
          <w:tcPr>
            <w:tcW w:w="840" w:type="dxa"/>
            <w:tcBorders>
              <w:top w:val="nil"/>
              <w:left w:val="nil"/>
              <w:bottom w:val="nil"/>
              <w:right w:val="nil"/>
              <w:insideH w:val="nil"/>
              <w:insideV w:val="nil"/>
            </w:tcBorders>
            <w:shd w:color="auto" w:fill="auto" w:val="clear"/>
          </w:tcPr>
          <w:p>
            <w:pPr>
              <w:pStyle w:val="Normal"/>
              <w:spacing w:before="80" w:after="60"/>
              <w:jc w:val="right"/>
              <w:rPr>
                <w:i/>
                <w:i/>
                <w:iCs/>
                <w:lang w:val="en-US"/>
              </w:rPr>
            </w:pPr>
            <w:r>
              <w:rPr>
                <w:i/>
              </w:rPr>
              <w:t xml:space="preserve">&lt;D&gt;: </w:t>
            </w:r>
          </w:p>
        </w:tc>
        <w:tc>
          <w:tcPr>
            <w:tcW w:w="1280" w:type="dxa"/>
            <w:tcBorders>
              <w:top w:val="nil"/>
              <w:left w:val="nil"/>
              <w:bottom w:val="nil"/>
              <w:right w:val="nil"/>
              <w:insideH w:val="nil"/>
              <w:insideV w:val="nil"/>
            </w:tcBorders>
            <w:shd w:color="auto" w:fill="auto" w:val="clear"/>
          </w:tcPr>
          <w:p>
            <w:pPr>
              <w:pStyle w:val="Normal"/>
              <w:widowControl/>
              <w:suppressAutoHyphens w:val="true"/>
              <w:bidi w:val="0"/>
              <w:spacing w:lineRule="auto" w:line="312" w:before="80" w:after="60"/>
              <w:jc w:val="both"/>
              <w:textAlignment w:val="baseline"/>
              <w:rPr>
                <w:lang w:val="en-US"/>
              </w:rPr>
            </w:pPr>
            <w:r>
              <w:rPr>
                <w:lang w:val="en-US"/>
              </w:rPr>
              <w:t>Very few</w:t>
            </w:r>
          </w:p>
        </w:tc>
        <w:tc>
          <w:tcPr>
            <w:tcW w:w="3971" w:type="dxa"/>
            <w:gridSpan w:val="2"/>
            <w:tcBorders>
              <w:top w:val="nil"/>
              <w:left w:val="nil"/>
              <w:bottom w:val="nil"/>
              <w:right w:val="nil"/>
              <w:insideH w:val="nil"/>
              <w:insideV w:val="nil"/>
            </w:tcBorders>
            <w:shd w:color="auto" w:fill="auto" w:val="clear"/>
          </w:tcPr>
          <w:p>
            <w:pPr>
              <w:pStyle w:val="Normal"/>
              <w:spacing w:before="80" w:after="60"/>
              <w:jc w:val="right"/>
              <w:rPr>
                <w:i/>
                <w:i/>
                <w:iCs/>
                <w:lang w:val="en-US"/>
              </w:rPr>
            </w:pPr>
            <w:r>
              <w:rPr>
                <w:i/>
              </w:rPr>
              <w:t>&lt;conector descriptor de datos &gt;:</w:t>
            </w:r>
          </w:p>
        </w:tc>
        <w:tc>
          <w:tcPr>
            <w:tcW w:w="2879" w:type="dxa"/>
            <w:tcBorders>
              <w:top w:val="nil"/>
              <w:left w:val="nil"/>
              <w:bottom w:val="nil"/>
              <w:right w:val="nil"/>
              <w:insideH w:val="nil"/>
              <w:insideV w:val="nil"/>
            </w:tcBorders>
            <w:shd w:color="auto" w:fill="auto" w:val="clear"/>
          </w:tcPr>
          <w:p>
            <w:pPr>
              <w:pStyle w:val="Normal"/>
              <w:widowControl/>
              <w:suppressAutoHyphens w:val="true"/>
              <w:bidi w:val="0"/>
              <w:spacing w:lineRule="auto" w:line="312" w:before="80" w:after="60"/>
              <w:jc w:val="both"/>
              <w:textAlignment w:val="baseline"/>
              <w:rPr>
                <w:lang w:val="en-US"/>
              </w:rPr>
            </w:pPr>
            <w:r>
              <w:rPr>
                <w:lang w:val="en-US"/>
              </w:rPr>
              <w:t>records show, that</w:t>
            </w:r>
          </w:p>
        </w:tc>
      </w:tr>
      <w:tr>
        <w:trPr/>
        <w:tc>
          <w:tcPr>
            <w:tcW w:w="840" w:type="dxa"/>
            <w:tcBorders>
              <w:top w:val="nil"/>
              <w:left w:val="nil"/>
              <w:bottom w:val="nil"/>
              <w:right w:val="nil"/>
              <w:insideH w:val="nil"/>
              <w:insideV w:val="nil"/>
            </w:tcBorders>
            <w:shd w:color="auto" w:fill="auto" w:val="clear"/>
          </w:tcPr>
          <w:p>
            <w:pPr>
              <w:pStyle w:val="Normal"/>
              <w:spacing w:before="80" w:after="60"/>
              <w:jc w:val="right"/>
              <w:rPr>
                <w:i/>
                <w:i/>
              </w:rPr>
            </w:pPr>
            <w:r>
              <w:rPr>
                <w:i/>
              </w:rPr>
              <w:t>&lt;Q&gt;:</w:t>
            </w:r>
          </w:p>
        </w:tc>
        <w:tc>
          <w:tcPr>
            <w:tcW w:w="1280" w:type="dxa"/>
            <w:tcBorders>
              <w:top w:val="nil"/>
              <w:left w:val="nil"/>
              <w:bottom w:val="nil"/>
              <w:right w:val="nil"/>
              <w:insideH w:val="nil"/>
              <w:insideV w:val="nil"/>
            </w:tcBorders>
            <w:shd w:color="auto" w:fill="auto" w:val="clear"/>
          </w:tcPr>
          <w:p>
            <w:pPr>
              <w:pStyle w:val="Normal"/>
              <w:widowControl/>
              <w:suppressAutoHyphens w:val="true"/>
              <w:bidi w:val="0"/>
              <w:spacing w:lineRule="auto" w:line="312" w:before="80" w:after="60"/>
              <w:jc w:val="both"/>
              <w:textAlignment w:val="baseline"/>
              <w:rPr>
                <w:lang w:val="en-US"/>
              </w:rPr>
            </w:pPr>
            <w:r>
              <w:rPr>
                <w:lang w:val="en-US"/>
              </w:rPr>
              <w:t>94.0%</w:t>
            </w:r>
          </w:p>
        </w:tc>
        <w:tc>
          <w:tcPr>
            <w:tcW w:w="3971" w:type="dxa"/>
            <w:gridSpan w:val="2"/>
            <w:tcBorders>
              <w:top w:val="nil"/>
              <w:left w:val="nil"/>
              <w:bottom w:val="nil"/>
              <w:right w:val="nil"/>
              <w:insideH w:val="nil"/>
              <w:insideV w:val="nil"/>
            </w:tcBorders>
            <w:shd w:color="auto" w:fill="auto" w:val="clear"/>
          </w:tcPr>
          <w:p>
            <w:pPr>
              <w:pStyle w:val="Normal"/>
              <w:spacing w:before="80" w:after="60"/>
              <w:jc w:val="right"/>
              <w:rPr>
                <w:i/>
                <w:i/>
              </w:rPr>
            </w:pPr>
            <w:r>
              <w:rPr>
                <w:i/>
              </w:rPr>
              <w:t xml:space="preserve">&lt;conector cuantificador&gt;: </w:t>
            </w:r>
          </w:p>
        </w:tc>
        <w:tc>
          <w:tcPr>
            <w:tcW w:w="2879" w:type="dxa"/>
            <w:tcBorders>
              <w:top w:val="nil"/>
              <w:left w:val="nil"/>
              <w:bottom w:val="nil"/>
              <w:right w:val="nil"/>
              <w:insideH w:val="nil"/>
              <w:insideV w:val="nil"/>
            </w:tcBorders>
            <w:shd w:color="auto" w:fill="auto" w:val="clear"/>
          </w:tcPr>
          <w:p>
            <w:pPr>
              <w:pStyle w:val="Normal"/>
              <w:widowControl/>
              <w:suppressAutoHyphens w:val="true"/>
              <w:bidi w:val="0"/>
              <w:spacing w:lineRule="auto" w:line="312" w:before="80" w:after="60"/>
              <w:jc w:val="both"/>
              <w:textAlignment w:val="baseline"/>
              <w:rPr>
                <w:lang w:val="en-US"/>
              </w:rPr>
            </w:pPr>
            <w:r>
              <w:rPr>
                <w:lang w:val="en-US"/>
              </w:rPr>
              <w:t>of times,</w:t>
            </w:r>
          </w:p>
        </w:tc>
      </w:tr>
      <w:tr>
        <w:trPr/>
        <w:tc>
          <w:tcPr>
            <w:tcW w:w="840" w:type="dxa"/>
            <w:tcBorders>
              <w:top w:val="nil"/>
              <w:left w:val="nil"/>
              <w:bottom w:val="nil"/>
              <w:right w:val="nil"/>
              <w:insideH w:val="nil"/>
              <w:insideV w:val="nil"/>
            </w:tcBorders>
            <w:shd w:color="auto" w:fill="auto" w:val="clear"/>
          </w:tcPr>
          <w:p>
            <w:pPr>
              <w:pStyle w:val="Normal"/>
              <w:spacing w:before="80" w:after="60"/>
              <w:jc w:val="right"/>
              <w:rPr>
                <w:i/>
                <w:i/>
              </w:rPr>
            </w:pPr>
            <w:r>
              <w:rPr>
                <w:i/>
              </w:rPr>
              <w:t xml:space="preserve">&lt;y’&gt;: </w:t>
            </w:r>
          </w:p>
        </w:tc>
        <w:tc>
          <w:tcPr>
            <w:tcW w:w="2557" w:type="dxa"/>
            <w:gridSpan w:val="2"/>
            <w:tcBorders>
              <w:top w:val="nil"/>
              <w:left w:val="nil"/>
              <w:bottom w:val="nil"/>
              <w:right w:val="nil"/>
              <w:insideH w:val="nil"/>
              <w:insideV w:val="nil"/>
            </w:tcBorders>
            <w:shd w:color="auto" w:fill="auto" w:val="clear"/>
          </w:tcPr>
          <w:p>
            <w:pPr>
              <w:pStyle w:val="Normal"/>
              <w:widowControl/>
              <w:suppressAutoHyphens w:val="true"/>
              <w:bidi w:val="0"/>
              <w:spacing w:lineRule="auto" w:line="312" w:before="80" w:after="60"/>
              <w:jc w:val="both"/>
              <w:textAlignment w:val="baseline"/>
              <w:rPr>
                <w:lang w:val="en-US"/>
              </w:rPr>
            </w:pPr>
            <w:r>
              <w:rPr>
                <w:lang w:val="en-US"/>
              </w:rPr>
              <w:t>projects</w:t>
            </w:r>
          </w:p>
        </w:tc>
        <w:tc>
          <w:tcPr>
            <w:tcW w:w="2694" w:type="dxa"/>
            <w:tcBorders>
              <w:top w:val="nil"/>
              <w:left w:val="nil"/>
              <w:bottom w:val="nil"/>
              <w:right w:val="nil"/>
              <w:insideH w:val="nil"/>
              <w:insideV w:val="nil"/>
            </w:tcBorders>
            <w:shd w:color="auto" w:fill="auto" w:val="clear"/>
          </w:tcPr>
          <w:p>
            <w:pPr>
              <w:pStyle w:val="Normal"/>
              <w:spacing w:before="80" w:after="60"/>
              <w:jc w:val="right"/>
              <w:rPr>
                <w:i/>
                <w:i/>
                <w:iCs/>
                <w:lang w:val="en-US"/>
              </w:rPr>
            </w:pPr>
            <w:r>
              <w:rPr>
                <w:i/>
              </w:rPr>
              <w:t xml:space="preserve">&lt;conector filtros&gt;: </w:t>
            </w:r>
          </w:p>
        </w:tc>
        <w:tc>
          <w:tcPr>
            <w:tcW w:w="2879" w:type="dxa"/>
            <w:tcBorders>
              <w:top w:val="nil"/>
              <w:left w:val="nil"/>
              <w:bottom w:val="nil"/>
              <w:right w:val="nil"/>
              <w:insideH w:val="nil"/>
              <w:insideV w:val="nil"/>
            </w:tcBorders>
            <w:shd w:color="auto" w:fill="auto" w:val="clear"/>
          </w:tcPr>
          <w:p>
            <w:pPr>
              <w:pStyle w:val="Normal"/>
              <w:widowControl/>
              <w:suppressAutoHyphens w:val="true"/>
              <w:bidi w:val="0"/>
              <w:spacing w:lineRule="auto" w:line="312" w:before="80" w:after="60"/>
              <w:jc w:val="both"/>
              <w:textAlignment w:val="baseline"/>
              <w:rPr>
                <w:lang w:val="en-US"/>
              </w:rPr>
            </w:pPr>
            <w:r>
              <w:rPr>
                <w:lang w:val="en-US"/>
              </w:rPr>
              <w:t>with</w:t>
            </w:r>
          </w:p>
        </w:tc>
      </w:tr>
      <w:tr>
        <w:trPr/>
        <w:tc>
          <w:tcPr>
            <w:tcW w:w="840" w:type="dxa"/>
            <w:tcBorders>
              <w:top w:val="nil"/>
              <w:left w:val="nil"/>
              <w:bottom w:val="nil"/>
              <w:right w:val="nil"/>
              <w:insideH w:val="nil"/>
              <w:insideV w:val="nil"/>
            </w:tcBorders>
            <w:shd w:color="auto" w:fill="auto" w:val="clear"/>
          </w:tcPr>
          <w:p>
            <w:pPr>
              <w:pStyle w:val="Normal"/>
              <w:spacing w:before="80" w:after="60"/>
              <w:jc w:val="right"/>
              <w:rPr>
                <w:i/>
                <w:i/>
              </w:rPr>
            </w:pPr>
            <w:r>
              <w:rPr>
                <w:i/>
              </w:rPr>
              <w:t xml:space="preserve">&lt;R&gt;: </w:t>
            </w:r>
          </w:p>
        </w:tc>
        <w:tc>
          <w:tcPr>
            <w:tcW w:w="2557" w:type="dxa"/>
            <w:gridSpan w:val="2"/>
            <w:tcBorders>
              <w:top w:val="nil"/>
              <w:left w:val="nil"/>
              <w:bottom w:val="nil"/>
              <w:right w:val="nil"/>
              <w:insideH w:val="nil"/>
              <w:insideV w:val="nil"/>
            </w:tcBorders>
            <w:shd w:color="auto" w:fill="auto" w:val="clear"/>
          </w:tcPr>
          <w:p>
            <w:pPr>
              <w:pStyle w:val="Normal"/>
              <w:widowControl/>
              <w:suppressAutoHyphens w:val="true"/>
              <w:bidi w:val="0"/>
              <w:spacing w:lineRule="auto" w:line="312" w:before="80" w:after="60"/>
              <w:jc w:val="both"/>
              <w:textAlignment w:val="baseline"/>
              <w:rPr>
                <w:lang w:val="en-US"/>
              </w:rPr>
            </w:pPr>
            <w:r>
              <w:rPr>
                <w:lang w:val="en-US"/>
              </w:rPr>
              <w:t>regular data quality</w:t>
            </w:r>
          </w:p>
        </w:tc>
        <w:tc>
          <w:tcPr>
            <w:tcW w:w="2694" w:type="dxa"/>
            <w:tcBorders>
              <w:top w:val="nil"/>
              <w:left w:val="nil"/>
              <w:bottom w:val="nil"/>
              <w:right w:val="nil"/>
              <w:insideH w:val="nil"/>
              <w:insideV w:val="nil"/>
            </w:tcBorders>
            <w:shd w:color="auto" w:fill="auto" w:val="clear"/>
          </w:tcPr>
          <w:p>
            <w:pPr>
              <w:pStyle w:val="Normal"/>
              <w:spacing w:before="80" w:after="60"/>
              <w:jc w:val="right"/>
              <w:rPr>
                <w:i/>
                <w:i/>
                <w:iCs/>
                <w:lang w:val="en-US"/>
              </w:rPr>
            </w:pPr>
            <w:r>
              <w:rPr>
                <w:i/>
              </w:rPr>
              <w:t xml:space="preserve">&lt;conector sumarizador&gt;: </w:t>
            </w:r>
          </w:p>
        </w:tc>
        <w:tc>
          <w:tcPr>
            <w:tcW w:w="2879" w:type="dxa"/>
            <w:tcBorders>
              <w:top w:val="nil"/>
              <w:left w:val="nil"/>
              <w:bottom w:val="nil"/>
              <w:right w:val="nil"/>
              <w:insideH w:val="nil"/>
              <w:insideV w:val="nil"/>
            </w:tcBorders>
            <w:shd w:color="auto" w:fill="auto" w:val="clear"/>
          </w:tcPr>
          <w:p>
            <w:pPr>
              <w:pStyle w:val="Normal"/>
              <w:widowControl/>
              <w:suppressAutoHyphens w:val="true"/>
              <w:bidi w:val="0"/>
              <w:spacing w:lineRule="auto" w:line="312" w:before="80" w:after="60"/>
              <w:jc w:val="both"/>
              <w:textAlignment w:val="baseline"/>
              <w:rPr>
                <w:lang w:val="en-US"/>
              </w:rPr>
            </w:pPr>
            <w:r>
              <w:rPr>
                <w:lang w:val="en-US"/>
              </w:rPr>
              <w:t>have</w:t>
            </w:r>
          </w:p>
        </w:tc>
      </w:tr>
      <w:tr>
        <w:trPr/>
        <w:tc>
          <w:tcPr>
            <w:tcW w:w="840" w:type="dxa"/>
            <w:tcBorders>
              <w:top w:val="nil"/>
              <w:left w:val="nil"/>
              <w:bottom w:val="nil"/>
              <w:right w:val="nil"/>
              <w:insideH w:val="nil"/>
              <w:insideV w:val="nil"/>
            </w:tcBorders>
            <w:shd w:color="auto" w:fill="auto" w:val="clear"/>
          </w:tcPr>
          <w:p>
            <w:pPr>
              <w:pStyle w:val="Normal"/>
              <w:spacing w:before="80" w:after="60"/>
              <w:jc w:val="right"/>
              <w:rPr>
                <w:i/>
                <w:i/>
              </w:rPr>
            </w:pPr>
            <w:r>
              <w:rPr>
                <w:i/>
              </w:rPr>
              <w:t>&lt;S&gt;:</w:t>
            </w:r>
          </w:p>
        </w:tc>
        <w:tc>
          <w:tcPr>
            <w:tcW w:w="8130" w:type="dxa"/>
            <w:gridSpan w:val="4"/>
            <w:tcBorders>
              <w:top w:val="nil"/>
              <w:left w:val="nil"/>
              <w:bottom w:val="nil"/>
              <w:right w:val="nil"/>
              <w:insideH w:val="nil"/>
              <w:insideV w:val="nil"/>
            </w:tcBorders>
            <w:shd w:color="auto" w:fill="auto" w:val="clear"/>
          </w:tcPr>
          <w:p>
            <w:pPr>
              <w:pStyle w:val="Normal"/>
              <w:widowControl/>
              <w:suppressAutoHyphens w:val="true"/>
              <w:bidi w:val="0"/>
              <w:spacing w:lineRule="auto" w:line="312" w:before="80" w:after="60"/>
              <w:jc w:val="both"/>
              <w:textAlignment w:val="baseline"/>
              <w:rPr>
                <w:i/>
                <w:i/>
                <w:iCs/>
                <w:lang w:val="en-US"/>
              </w:rPr>
            </w:pPr>
            <w:r>
              <w:rPr>
                <w:lang w:val="en-US"/>
              </w:rPr>
              <w:t>bad productivity</w:t>
            </w:r>
          </w:p>
        </w:tc>
      </w:tr>
    </w:tbl>
    <w:p>
      <w:pPr>
        <w:pStyle w:val="Normal"/>
        <w:suppressAutoHyphens w:val="false"/>
        <w:overflowPunct w:val="true"/>
        <w:spacing w:lineRule="auto" w:line="360" w:before="0" w:after="0"/>
        <w:jc w:val="left"/>
        <w:rPr>
          <w:lang w:val="en-US"/>
        </w:rPr>
      </w:pPr>
      <w:r>
        <w:rPr>
          <w:lang w:val="en-US"/>
        </w:rPr>
      </w:r>
    </w:p>
    <w:p>
      <w:pPr>
        <w:pStyle w:val="Heading3"/>
        <w:numPr>
          <w:ilvl w:val="2"/>
          <w:numId w:val="80"/>
        </w:numPr>
        <w:rPr/>
      </w:pPr>
      <w:r>
        <w:rPr/>
        <w:t>LNC para resúmenes en japonés</w:t>
      </w:r>
    </w:p>
    <w:p>
      <w:pPr>
        <w:pStyle w:val="Normal"/>
        <w:spacing w:lineRule="auto" w:line="240" w:before="0" w:after="0"/>
        <w:ind w:left="2127" w:hanging="2127"/>
        <w:rPr>
          <w:iCs/>
          <w:lang w:eastAsia="ja-JP"/>
        </w:rPr>
      </w:pPr>
      <w:r>
        <w:rPr>
          <w:iCs/>
        </w:rPr>
        <w:t xml:space="preserve">&lt;Resumen lingüístico&gt;::= </w:t>
      </w:r>
      <w:r>
        <w:rPr>
          <w:iCs/>
          <w:lang w:eastAsia="ja-JP"/>
        </w:rPr>
        <w:t xml:space="preserve">&lt;conector descriptor de datos&gt; &lt;D&gt; &lt;conector cuantificador D&gt; &lt;Q&gt; &lt;conector cuantificador Q&gt; &lt;R&gt; </w:t>
      </w:r>
      <w:r>
        <w:rPr>
          <w:iCs/>
          <w:lang w:eastAsia="ja-JP"/>
        </w:rPr>
        <w:t xml:space="preserve">の </w:t>
      </w:r>
      <w:r>
        <w:rPr>
          <w:iCs/>
          <w:lang w:eastAsia="ja-JP"/>
        </w:rPr>
        <w:t xml:space="preserve">&lt;y’&gt; </w:t>
      </w:r>
      <w:r>
        <w:rPr>
          <w:iCs/>
          <w:lang w:eastAsia="ja-JP"/>
        </w:rPr>
        <w:t xml:space="preserve">は </w:t>
      </w:r>
      <w:r>
        <w:rPr>
          <w:iCs/>
          <w:lang w:eastAsia="ja-JP"/>
        </w:rPr>
        <w:t xml:space="preserve">&lt;S&gt; </w:t>
      </w:r>
      <w:r>
        <w:rPr>
          <w:iCs/>
          <w:lang w:eastAsia="ja-JP"/>
        </w:rPr>
        <w:t>と報告しています。</w:t>
      </w:r>
      <w:r>
        <w:rPr>
          <w:iCs/>
          <w:lang w:eastAsia="ja-JP"/>
        </w:rPr>
        <w:t>|</w:t>
      </w:r>
    </w:p>
    <w:p>
      <w:pPr>
        <w:pStyle w:val="Normal"/>
        <w:spacing w:lineRule="auto" w:line="240" w:before="0" w:after="0"/>
        <w:ind w:left="2127" w:firstLine="142"/>
        <w:rPr>
          <w:iCs/>
          <w:lang w:eastAsia="ja-JP"/>
        </w:rPr>
      </w:pPr>
      <w:r>
        <w:rPr>
          <w:iCs/>
          <w:lang w:eastAsia="ja-JP"/>
        </w:rPr>
        <w:t xml:space="preserve">&lt;S&gt; </w:t>
      </w:r>
      <w:r>
        <w:rPr>
          <w:iCs/>
          <w:lang w:eastAsia="ja-JP"/>
        </w:rPr>
        <w:t xml:space="preserve">の </w:t>
      </w:r>
      <w:r>
        <w:rPr>
          <w:iCs/>
          <w:lang w:eastAsia="ja-JP"/>
        </w:rPr>
        <w:t xml:space="preserve">&lt;y’&gt; </w:t>
      </w:r>
      <w:r>
        <w:rPr>
          <w:iCs/>
          <w:lang w:eastAsia="ja-JP"/>
        </w:rPr>
        <w:t xml:space="preserve">の </w:t>
      </w:r>
      <w:r>
        <w:rPr>
          <w:iCs/>
          <w:lang w:eastAsia="ja-JP"/>
        </w:rPr>
        <w:t xml:space="preserve">&lt;Q&gt; </w:t>
      </w:r>
      <w:r>
        <w:rPr>
          <w:iCs/>
          <w:lang w:eastAsia="ja-JP"/>
        </w:rPr>
        <w:t>は、</w:t>
      </w:r>
      <w:r>
        <w:rPr>
          <w:iCs/>
          <w:lang w:eastAsia="ja-JP"/>
        </w:rPr>
        <w:t>&lt;R&gt;</w:t>
      </w:r>
      <w:r>
        <w:rPr>
          <w:iCs/>
          <w:lang w:eastAsia="ja-JP"/>
        </w:rPr>
        <w:t>です。</w:t>
      </w:r>
      <w:r>
        <w:rPr>
          <w:iCs/>
          <w:lang w:eastAsia="ja-JP"/>
        </w:rPr>
        <w:t xml:space="preserve">| </w:t>
      </w:r>
    </w:p>
    <w:p>
      <w:pPr>
        <w:pStyle w:val="Normal"/>
        <w:spacing w:lineRule="auto" w:line="240" w:before="0" w:after="0"/>
        <w:ind w:left="2127" w:firstLine="142"/>
        <w:rPr>
          <w:iCs/>
          <w:lang w:eastAsia="ja-JP"/>
        </w:rPr>
      </w:pPr>
      <w:r>
        <w:rPr>
          <w:iCs/>
          <w:lang w:eastAsia="ja-JP"/>
        </w:rPr>
        <w:t xml:space="preserve">&lt;Q&gt; </w:t>
      </w:r>
      <w:r>
        <w:rPr>
          <w:iCs/>
          <w:lang w:eastAsia="ja-JP"/>
        </w:rPr>
        <w:t xml:space="preserve">の </w:t>
      </w:r>
      <w:r>
        <w:rPr>
          <w:iCs/>
          <w:lang w:eastAsia="ja-JP"/>
        </w:rPr>
        <w:t xml:space="preserve">&lt;y’&gt; </w:t>
      </w:r>
      <w:r>
        <w:rPr>
          <w:iCs/>
          <w:lang w:eastAsia="ja-JP"/>
        </w:rPr>
        <w:t xml:space="preserve">は </w:t>
      </w:r>
      <w:r>
        <w:rPr>
          <w:iCs/>
          <w:lang w:eastAsia="ja-JP"/>
        </w:rPr>
        <w:t xml:space="preserve">&lt;S&gt; </w:t>
      </w:r>
      <w:r>
        <w:rPr>
          <w:iCs/>
          <w:lang w:eastAsia="ja-JP"/>
        </w:rPr>
        <w:t>です。</w:t>
      </w:r>
    </w:p>
    <w:p>
      <w:pPr>
        <w:pStyle w:val="Normal"/>
        <w:spacing w:lineRule="auto" w:line="240" w:before="0" w:after="0"/>
        <w:ind w:left="851" w:hanging="851"/>
        <w:rPr>
          <w:iCs/>
          <w:lang w:eastAsia="ja-JP"/>
        </w:rPr>
      </w:pPr>
      <w:r>
        <w:rPr>
          <w:rFonts w:eastAsia="MS Gothic"/>
          <w:iCs/>
          <w:lang w:eastAsia="ja-JP"/>
        </w:rPr>
        <w:t>&lt;D&gt;</w:t>
      </w:r>
      <w:r>
        <w:rPr>
          <w:rStyle w:val="FootnoteAnchor"/>
          <w:rFonts w:eastAsia="MS Gothic"/>
          <w:iCs/>
          <w:lang w:eastAsia="ja-JP"/>
        </w:rPr>
        <w:footnoteReference w:id="14"/>
      </w:r>
      <w:r>
        <w:rPr>
          <w:rFonts w:eastAsia="MS Gothic"/>
          <w:iCs/>
          <w:lang w:eastAsia="ja-JP"/>
        </w:rPr>
        <w:t xml:space="preserve">::= </w:t>
      </w:r>
      <w:r>
        <w:rPr>
          <w:iCs/>
          <w:lang w:eastAsia="ja-JP"/>
        </w:rPr>
        <w:t>“</w:t>
      </w:r>
      <w:r>
        <w:rPr>
          <w:iCs/>
          <w:lang w:eastAsia="ja-JP"/>
        </w:rPr>
        <w:t xml:space="preserve">ほとんど” </w:t>
      </w:r>
      <w:r>
        <w:rPr>
          <w:iCs/>
          <w:lang w:eastAsia="ja-JP"/>
        </w:rPr>
        <w:t>| “</w:t>
      </w:r>
      <w:r>
        <w:rPr>
          <w:iCs/>
          <w:lang w:eastAsia="ja-JP"/>
        </w:rPr>
        <w:t xml:space="preserve">たくさん” </w:t>
      </w:r>
      <w:r>
        <w:rPr>
          <w:iCs/>
          <w:lang w:eastAsia="ja-JP"/>
        </w:rPr>
        <w:t>| “</w:t>
      </w:r>
      <w:r>
        <w:rPr>
          <w:iCs/>
          <w:lang w:eastAsia="ja-JP"/>
        </w:rPr>
        <w:t xml:space="preserve">約半分” </w:t>
      </w:r>
      <w:r>
        <w:rPr>
          <w:iCs/>
          <w:lang w:eastAsia="ja-JP"/>
        </w:rPr>
        <w:t>| “</w:t>
      </w:r>
      <w:r>
        <w:rPr>
          <w:iCs/>
          <w:lang w:eastAsia="ja-JP"/>
        </w:rPr>
        <w:t xml:space="preserve">いくつか” </w:t>
      </w:r>
      <w:r>
        <w:rPr>
          <w:iCs/>
          <w:lang w:eastAsia="ja-JP"/>
        </w:rPr>
        <w:t>| “</w:t>
      </w:r>
      <w:r>
        <w:rPr>
          <w:iCs/>
          <w:lang w:eastAsia="ja-JP"/>
        </w:rPr>
        <w:t xml:space="preserve">少数” </w:t>
      </w:r>
      <w:r>
        <w:rPr>
          <w:iCs/>
          <w:lang w:eastAsia="ja-JP"/>
        </w:rPr>
        <w:t xml:space="preserve">| </w:t>
      </w:r>
    </w:p>
    <w:p>
      <w:pPr>
        <w:pStyle w:val="Normal"/>
        <w:spacing w:lineRule="auto" w:line="240" w:before="0" w:after="0"/>
        <w:ind w:left="851" w:hanging="0"/>
        <w:rPr>
          <w:rFonts w:eastAsia="MS Gothic"/>
          <w:iCs/>
          <w:lang w:eastAsia="ja-JP"/>
        </w:rPr>
      </w:pPr>
      <w:r>
        <w:rPr>
          <w:iCs/>
          <w:lang w:eastAsia="ja-JP"/>
        </w:rPr>
        <w:t>“</w:t>
      </w:r>
      <w:r>
        <w:rPr>
          <w:iCs/>
          <w:lang w:eastAsia="ja-JP"/>
        </w:rPr>
        <w:t>非常に少数”</w:t>
      </w:r>
    </w:p>
    <w:p>
      <w:pPr>
        <w:pStyle w:val="Normal"/>
        <w:suppressAutoHyphens w:val="false"/>
        <w:overflowPunct w:val="true"/>
        <w:spacing w:lineRule="auto" w:line="360" w:before="0" w:after="0"/>
        <w:ind w:left="709" w:hanging="709"/>
        <w:jc w:val="left"/>
        <w:rPr>
          <w:iCs/>
        </w:rPr>
      </w:pPr>
      <w:r>
        <w:rPr>
          <w:iCs/>
        </w:rPr>
        <w:t>&lt;Q&gt;::= &lt;cuantificador lingüístico&gt; | &lt;cuantificador por ciento&gt;</w:t>
      </w:r>
    </w:p>
    <w:p>
      <w:pPr>
        <w:pStyle w:val="Normal"/>
        <w:spacing w:lineRule="auto" w:line="240" w:before="0" w:after="0"/>
        <w:ind w:left="851" w:hanging="851"/>
        <w:rPr>
          <w:iCs/>
          <w:lang w:eastAsia="ja-JP"/>
        </w:rPr>
      </w:pPr>
      <w:r>
        <w:rPr>
          <w:iCs/>
        </w:rPr>
        <w:t>&lt;cuantificador lingüístico&gt;</w:t>
      </w:r>
      <w:r>
        <w:rPr>
          <w:rStyle w:val="FootnoteAnchor"/>
          <w:iCs/>
        </w:rPr>
        <w:footnoteReference w:id="15"/>
      </w:r>
      <w:r>
        <w:rPr>
          <w:rFonts w:eastAsia="Times New Roman"/>
          <w:iCs/>
          <w:lang w:eastAsia="ja-JP"/>
        </w:rPr>
        <w:t xml:space="preserve">::= </w:t>
      </w:r>
      <w:r>
        <w:rPr>
          <w:iCs/>
          <w:lang w:eastAsia="ja-JP"/>
        </w:rPr>
        <w:t>“</w:t>
      </w:r>
      <w:r>
        <w:rPr>
          <w:iCs/>
          <w:lang w:eastAsia="ja-JP"/>
        </w:rPr>
        <w:t xml:space="preserve">ほとんど” </w:t>
      </w:r>
      <w:r>
        <w:rPr>
          <w:iCs/>
          <w:lang w:eastAsia="ja-JP"/>
        </w:rPr>
        <w:t>| “</w:t>
      </w:r>
      <w:r>
        <w:rPr>
          <w:iCs/>
          <w:lang w:eastAsia="ja-JP"/>
        </w:rPr>
        <w:t xml:space="preserve">たくさん” </w:t>
      </w:r>
      <w:r>
        <w:rPr>
          <w:iCs/>
          <w:lang w:eastAsia="ja-JP"/>
        </w:rPr>
        <w:t>| “</w:t>
      </w:r>
      <w:r>
        <w:rPr>
          <w:iCs/>
          <w:lang w:eastAsia="ja-JP"/>
        </w:rPr>
        <w:t xml:space="preserve">約半分” </w:t>
      </w:r>
      <w:r>
        <w:rPr>
          <w:iCs/>
          <w:lang w:eastAsia="ja-JP"/>
        </w:rPr>
        <w:t xml:space="preserve">| </w:t>
      </w:r>
    </w:p>
    <w:p>
      <w:pPr>
        <w:pStyle w:val="Normal"/>
        <w:spacing w:lineRule="auto" w:line="240" w:before="0" w:after="0"/>
        <w:ind w:left="851" w:firstLine="2126"/>
        <w:rPr>
          <w:rFonts w:eastAsia="MS Gothic"/>
          <w:iCs/>
          <w:lang w:eastAsia="ja-JP"/>
        </w:rPr>
      </w:pPr>
      <w:r>
        <w:rPr>
          <w:iCs/>
          <w:lang w:eastAsia="ja-JP"/>
        </w:rPr>
        <w:t>“</w:t>
      </w:r>
      <w:r>
        <w:rPr>
          <w:iCs/>
          <w:lang w:eastAsia="ja-JP"/>
        </w:rPr>
        <w:t xml:space="preserve">いくつか” </w:t>
      </w:r>
      <w:r>
        <w:rPr>
          <w:iCs/>
          <w:lang w:eastAsia="ja-JP"/>
        </w:rPr>
        <w:t>| “</w:t>
      </w:r>
      <w:r>
        <w:rPr>
          <w:iCs/>
          <w:lang w:eastAsia="ja-JP"/>
        </w:rPr>
        <w:t xml:space="preserve">少数” </w:t>
      </w:r>
      <w:r>
        <w:rPr>
          <w:iCs/>
          <w:lang w:eastAsia="ja-JP"/>
        </w:rPr>
        <w:t>| “</w:t>
      </w:r>
      <w:r>
        <w:rPr>
          <w:iCs/>
          <w:lang w:eastAsia="ja-JP"/>
        </w:rPr>
        <w:t>非常に少数”</w:t>
      </w:r>
    </w:p>
    <w:p>
      <w:pPr>
        <w:pStyle w:val="Normal"/>
        <w:spacing w:lineRule="auto" w:line="240" w:before="0" w:after="60"/>
        <w:ind w:left="851" w:hanging="851"/>
        <w:rPr>
          <w:rFonts w:eastAsia="MS Gothic"/>
          <w:iCs/>
          <w:lang w:eastAsia="ja-JP"/>
        </w:rPr>
      </w:pPr>
      <w:r>
        <w:rPr>
          <w:iCs/>
        </w:rPr>
        <w:t>&lt;cuantificador porciento&gt;::= &lt;Valor numérico en porciento&gt;</w:t>
      </w:r>
      <w:r>
        <w:rPr>
          <w:rFonts w:eastAsia="MS Gothic"/>
          <w:iCs/>
          <w:lang w:eastAsia="ja-JP"/>
        </w:rPr>
        <w:t xml:space="preserve"> </w:t>
      </w:r>
    </w:p>
    <w:p>
      <w:pPr>
        <w:pStyle w:val="Normal"/>
        <w:spacing w:lineRule="auto" w:line="240" w:before="0" w:after="60"/>
        <w:ind w:left="851" w:hanging="851"/>
        <w:rPr>
          <w:rFonts w:eastAsia="MS Gothic"/>
          <w:iCs/>
        </w:rPr>
      </w:pPr>
      <w:r>
        <w:rPr>
          <w:rFonts w:eastAsia="MS Gothic"/>
          <w:iCs/>
          <w:lang w:eastAsia="ja-JP"/>
        </w:rPr>
        <w:t xml:space="preserve">&lt;conector descriptor de datos&gt;::= </w:t>
      </w:r>
      <w:bookmarkStart w:id="3794" w:name="__DdeLink__1263_990742468"/>
      <w:r>
        <w:rPr>
          <w:iCs/>
          <w:lang w:eastAsia="ja-JP"/>
        </w:rPr>
        <w:t>“</w:t>
      </w:r>
      <w:r>
        <w:rPr>
          <w:iCs/>
          <w:lang w:eastAsia="ja-JP"/>
        </w:rPr>
        <w:t>データベース内の</w:t>
      </w:r>
      <w:bookmarkEnd w:id="3794"/>
      <w:r>
        <w:rPr>
          <w:iCs/>
          <w:lang w:eastAsia="ja-JP"/>
        </w:rPr>
        <w:t>”</w:t>
      </w:r>
      <w:r>
        <w:rPr>
          <w:rFonts w:eastAsia="MS Gothic"/>
          <w:iCs/>
        </w:rPr>
        <w:t xml:space="preserve"> </w:t>
      </w:r>
      <w:r>
        <w:rPr>
          <w:rStyle w:val="FootnoteAnchor"/>
          <w:rFonts w:eastAsia="MS Gothic"/>
          <w:iCs/>
        </w:rPr>
        <w:footnoteReference w:id="16"/>
      </w:r>
    </w:p>
    <w:p>
      <w:pPr>
        <w:pStyle w:val="Normal"/>
        <w:spacing w:lineRule="auto" w:line="240" w:before="0" w:after="60"/>
        <w:ind w:left="2268" w:hanging="2268"/>
        <w:rPr>
          <w:rFonts w:eastAsia="MS Gothic"/>
          <w:iCs/>
        </w:rPr>
      </w:pPr>
      <w:r>
        <w:rPr>
          <w:rFonts w:eastAsia="MS Gothic"/>
          <w:bCs w:val="false"/>
          <w:iCs/>
          <w:lang w:eastAsia="ja-JP"/>
        </w:rPr>
        <w:t xml:space="preserve">&lt;conector cuantificador D&gt;::= </w:t>
      </w:r>
      <w:r>
        <w:rPr>
          <w:iCs/>
          <w:lang w:eastAsia="ja-JP"/>
        </w:rPr>
        <w:t>“</w:t>
      </w:r>
      <w:r>
        <w:rPr>
          <w:lang w:eastAsia="ja-JP"/>
        </w:rPr>
        <w:t>記録が、</w:t>
      </w:r>
      <w:r>
        <w:rPr>
          <w:iCs/>
          <w:lang w:eastAsia="ja-JP"/>
        </w:rPr>
        <w:t>”</w:t>
      </w:r>
      <w:r>
        <w:rPr>
          <w:rFonts w:eastAsia="MS Gothic"/>
          <w:bCs w:val="false"/>
          <w:iCs/>
          <w:lang w:eastAsia="ja-JP"/>
        </w:rPr>
        <w:t xml:space="preserve"> </w:t>
      </w:r>
      <w:r>
        <w:rPr>
          <w:rStyle w:val="FootnoteAnchor"/>
          <w:rFonts w:eastAsia="MS Gothic"/>
          <w:bCs w:val="false"/>
          <w:iCs/>
          <w:lang w:eastAsia="ja-JP"/>
        </w:rPr>
        <w:footnoteReference w:id="17"/>
      </w:r>
    </w:p>
    <w:p>
      <w:pPr>
        <w:pStyle w:val="Normal"/>
        <w:spacing w:lineRule="auto" w:line="240" w:before="0" w:after="60"/>
        <w:ind w:left="2268" w:hanging="2268"/>
        <w:rPr>
          <w:rFonts w:ascii="MS Gothic" w:hAnsi="MS Gothic" w:eastAsia="MS Gothic"/>
          <w:iCs/>
        </w:rPr>
      </w:pPr>
      <w:r>
        <w:rPr>
          <w:rFonts w:eastAsia="MS Gothic"/>
          <w:bCs w:val="false"/>
          <w:iCs/>
          <w:lang w:eastAsia="ja-JP"/>
        </w:rPr>
        <w:t xml:space="preserve">&lt;conector cuantificador Q&gt;::= </w:t>
      </w:r>
      <w:r>
        <w:rPr>
          <w:iCs/>
          <w:lang w:eastAsia="ja-JP"/>
        </w:rPr>
        <w:t>“</w:t>
      </w:r>
      <w:r>
        <w:rPr>
          <w:lang w:eastAsia="ja-JP"/>
        </w:rPr>
        <w:t xml:space="preserve">% </w:t>
      </w:r>
      <w:r>
        <w:rPr>
          <w:lang w:eastAsia="ja-JP"/>
        </w:rPr>
        <w:t>の確率で、</w:t>
      </w:r>
      <w:r>
        <w:rPr>
          <w:iCs/>
          <w:lang w:eastAsia="ja-JP"/>
        </w:rPr>
        <w:t>”</w:t>
      </w:r>
      <w:r>
        <w:rPr>
          <w:rFonts w:ascii="MS Gothic" w:hAnsi="MS Gothic" w:eastAsia="MS Gothic"/>
          <w:bCs w:val="false"/>
          <w:iCs/>
          <w:lang w:eastAsia="ja-JP"/>
        </w:rPr>
        <w:t xml:space="preserve"> </w:t>
      </w:r>
      <w:r>
        <w:rPr>
          <w:rStyle w:val="FootnoteAnchor"/>
          <w:rFonts w:ascii="MS Gothic" w:hAnsi="MS Gothic" w:eastAsia="MS Gothic"/>
          <w:bCs w:val="false"/>
          <w:iCs/>
          <w:lang w:eastAsia="ja-JP"/>
        </w:rPr>
        <w:footnoteReference w:id="18"/>
      </w:r>
    </w:p>
    <w:p>
      <w:pPr>
        <w:pStyle w:val="Normal"/>
        <w:suppressAutoHyphens w:val="false"/>
        <w:overflowPunct w:val="true"/>
        <w:spacing w:lineRule="auto" w:line="360" w:before="0" w:after="0"/>
        <w:jc w:val="left"/>
        <w:rPr>
          <w:iCs/>
        </w:rPr>
      </w:pPr>
      <w:r>
        <w:rPr>
          <w:iCs/>
        </w:rPr>
        <w:t>&lt;y’&gt;::= &lt;sujeto&gt;</w:t>
      </w:r>
    </w:p>
    <w:p>
      <w:pPr>
        <w:pStyle w:val="Normal"/>
        <w:suppressAutoHyphens w:val="false"/>
        <w:overflowPunct w:val="true"/>
        <w:spacing w:lineRule="auto" w:line="360" w:before="0" w:after="0"/>
        <w:jc w:val="left"/>
        <w:rPr>
          <w:iCs/>
        </w:rPr>
      </w:pPr>
      <w:r>
        <w:rPr>
          <w:iCs/>
        </w:rPr>
        <w:t>&lt;sujeto&gt;::= &lt;frase simple&gt;</w:t>
      </w:r>
    </w:p>
    <w:p>
      <w:pPr>
        <w:pStyle w:val="Normal"/>
        <w:ind w:left="2977" w:hanging="2977"/>
        <w:rPr>
          <w:rFonts w:eastAsia="MS Gothic"/>
          <w:lang w:eastAsia="es-ES"/>
        </w:rPr>
      </w:pPr>
      <w:r>
        <w:rPr>
          <w:rFonts w:eastAsia="MS Gothic"/>
          <w:lang w:eastAsia="es-ES"/>
        </w:rPr>
        <w:t>&lt;S&gt;::= &lt;frase&gt;</w:t>
      </w:r>
    </w:p>
    <w:p>
      <w:pPr>
        <w:pStyle w:val="Normal"/>
        <w:ind w:left="2977" w:hanging="2977"/>
        <w:rPr>
          <w:rFonts w:eastAsia="MS Gothic"/>
          <w:lang w:eastAsia="es-ES"/>
        </w:rPr>
      </w:pPr>
      <w:r>
        <w:rPr>
          <w:rFonts w:eastAsia="MS Gothic"/>
          <w:lang w:eastAsia="es-ES"/>
        </w:rPr>
        <w:t>&lt;R&gt;::= &lt;frase&gt;</w:t>
      </w:r>
    </w:p>
    <w:p>
      <w:pPr>
        <w:pStyle w:val="Normal"/>
        <w:ind w:left="1134" w:hanging="1134"/>
        <w:rPr>
          <w:rFonts w:eastAsia="MS Gothic"/>
          <w:lang w:eastAsia="es-ES"/>
        </w:rPr>
      </w:pPr>
      <w:r>
        <w:rPr>
          <w:rFonts w:eastAsia="MS Gothic"/>
          <w:lang w:eastAsia="es-ES"/>
        </w:rPr>
        <w:t>&lt;frase&gt;::= &lt;frase&gt; | &lt;partículas&gt; | &lt;</w:t>
      </w:r>
      <w:r>
        <w:rPr>
          <w:iCs/>
        </w:rPr>
        <w:t>frase simple</w:t>
      </w:r>
      <w:r>
        <w:rPr>
          <w:rFonts w:eastAsia="MS Gothic"/>
          <w:lang w:eastAsia="es-ES"/>
        </w:rPr>
        <w:t>&gt;</w:t>
      </w:r>
    </w:p>
    <w:p>
      <w:pPr>
        <w:pStyle w:val="Normal"/>
        <w:suppressAutoHyphens w:val="false"/>
        <w:overflowPunct w:val="true"/>
        <w:spacing w:lineRule="auto" w:line="360" w:before="0" w:after="0"/>
        <w:jc w:val="left"/>
        <w:rPr>
          <w:lang w:val="en-US"/>
        </w:rPr>
      </w:pPr>
      <w:r>
        <w:rPr>
          <w:rFonts w:eastAsia="MS Gothic"/>
          <w:lang w:eastAsia="ja-JP"/>
        </w:rPr>
        <w:t>&lt;</w:t>
      </w:r>
      <w:r>
        <w:rPr>
          <w:lang w:eastAsia="ja-JP"/>
        </w:rPr>
        <w:t>partículas&gt;::= “</w:t>
      </w:r>
      <w:r>
        <w:rPr>
          <w:lang w:eastAsia="ja-JP"/>
        </w:rPr>
        <w:t xml:space="preserve">は” </w:t>
      </w:r>
      <w:r>
        <w:rPr>
          <w:lang w:eastAsia="ja-JP"/>
        </w:rPr>
        <w:t>| “</w:t>
      </w:r>
      <w:r>
        <w:rPr>
          <w:lang w:eastAsia="ja-JP"/>
        </w:rPr>
        <w:t xml:space="preserve">が” </w:t>
      </w:r>
      <w:r>
        <w:rPr>
          <w:lang w:eastAsia="ja-JP"/>
        </w:rPr>
        <w:t>| “</w:t>
      </w:r>
      <w:r>
        <w:rPr>
          <w:lang w:eastAsia="ja-JP"/>
        </w:rPr>
        <w:t xml:space="preserve">と” </w:t>
      </w:r>
      <w:r>
        <w:rPr>
          <w:lang w:eastAsia="ja-JP"/>
        </w:rPr>
        <w:t>| “</w:t>
      </w:r>
      <w:r>
        <w:rPr>
          <w:lang w:eastAsia="ja-JP"/>
        </w:rPr>
        <w:t>の”</w:t>
      </w:r>
    </w:p>
    <w:p>
      <w:pPr>
        <w:pStyle w:val="Normal"/>
        <w:ind w:left="1134" w:hanging="1134"/>
        <w:rPr>
          <w:lang w:eastAsia="ja-JP"/>
        </w:rPr>
      </w:pPr>
      <w:r>
        <w:rPr>
          <w:b/>
          <w:bCs w:val="false"/>
          <w:lang w:eastAsia="ja-JP"/>
        </w:rPr>
        <w:t xml:space="preserve">Ejemplo 1: </w:t>
      </w:r>
      <w:r>
        <w:rPr>
          <w:lang w:eastAsia="ja-JP"/>
        </w:rPr>
        <w:t>データベース内の非常に数少ない記録が、</w:t>
      </w:r>
      <w:r>
        <w:rPr>
          <w:lang w:eastAsia="ja-JP"/>
        </w:rPr>
        <w:t>94.0</w:t>
      </w:r>
      <w:r>
        <w:rPr>
          <w:lang w:eastAsia="ja-JP"/>
        </w:rPr>
        <w:t>％の確率で、データ品質の悪いのプロジェクトは悪い評価と報告しています。</w:t>
      </w:r>
    </w:p>
    <w:p>
      <w:pPr>
        <w:pStyle w:val="Normal"/>
        <w:spacing w:lineRule="auto" w:line="240" w:before="0" w:after="0"/>
        <w:ind w:left="1134" w:hanging="1134"/>
        <w:rPr>
          <w:lang w:eastAsia="ja-JP"/>
        </w:rPr>
      </w:pPr>
      <w:r>
        <w:rPr>
          <w:iCs/>
        </w:rPr>
        <w:t>LNC:</w:t>
      </w:r>
      <w:r>
        <w:rPr>
          <w:i/>
        </w:rPr>
        <w:t xml:space="preserve"> </w:t>
        <w:tab/>
      </w:r>
      <w:r>
        <w:rPr>
          <w:rFonts w:cs="Times New Roman" w:ascii="Times New Roman" w:hAnsi="Times New Roman"/>
          <w:iCs/>
        </w:rPr>
        <w:t xml:space="preserve">&lt;conector descriptor de datos&gt; &lt;D&gt; &lt;conector cuantificador D&gt; &lt;Q&gt; &lt;conector cuantificador Q&gt; &lt;R&gt; </w:t>
      </w:r>
      <w:r>
        <w:rPr>
          <w:lang w:eastAsia="ja-JP"/>
        </w:rPr>
        <w:t>の</w:t>
      </w:r>
      <w:r>
        <w:rPr>
          <w:rFonts w:cs="Times New Roman" w:ascii="Times New Roman" w:hAnsi="Times New Roman"/>
          <w:iCs/>
        </w:rPr>
        <w:t xml:space="preserve">&lt;y’&gt; </w:t>
      </w:r>
      <w:r>
        <w:rPr>
          <w:rFonts w:ascii="Times New Roman" w:hAnsi="Times New Roman" w:cs="Times New Roman"/>
          <w:iCs/>
        </w:rPr>
        <w:t xml:space="preserve">は </w:t>
      </w:r>
      <w:r>
        <w:rPr>
          <w:rFonts w:cs="Times New Roman" w:ascii="Times New Roman" w:hAnsi="Times New Roman"/>
          <w:iCs/>
        </w:rPr>
        <w:t>&lt;S</w:t>
      </w:r>
      <w:r>
        <w:rPr>
          <w:iCs/>
        </w:rPr>
        <w:t xml:space="preserve">&gt; </w:t>
      </w:r>
      <w:r>
        <w:rPr>
          <w:rFonts w:ascii="Times New Roman" w:hAnsi="Times New Roman" w:cs="Times New Roman"/>
          <w:lang w:eastAsia="ja-JP"/>
        </w:rPr>
        <w:t>と報告しています。</w:t>
      </w:r>
    </w:p>
    <w:p>
      <w:pPr>
        <w:pStyle w:val="Normal"/>
        <w:ind w:left="1843" w:hanging="1843"/>
        <w:rPr>
          <w:i/>
          <w:i/>
          <w:iCs/>
          <w:lang w:eastAsia="ja-JP"/>
        </w:rPr>
      </w:pPr>
      <w:r>
        <w:rPr>
          <w:lang w:eastAsia="ja-JP"/>
        </w:rPr>
        <w:t>Traducción literal: “Muy pocos registros en la base de datos, reportan que en el 94.0% de las veces, los proyectos que tienen mala calidad del dato tienen mala evaluación”.</w:t>
      </w:r>
    </w:p>
    <w:p>
      <w:pPr>
        <w:pStyle w:val="Normal"/>
        <w:rPr>
          <w:iCs/>
        </w:rPr>
      </w:pPr>
      <w:r>
        <w:rPr>
          <w:iCs/>
        </w:rPr>
        <w:t>Donde:</w:t>
      </w:r>
    </w:p>
    <w:tbl>
      <w:tblPr>
        <w:tblStyle w:val="Tablaconcuadrcula"/>
        <w:tblW w:w="6232" w:type="dxa"/>
        <w:jc w:val="left"/>
        <w:tblInd w:w="0" w:type="dxa"/>
        <w:tblCellMar>
          <w:top w:w="0" w:type="dxa"/>
          <w:left w:w="123" w:type="dxa"/>
          <w:bottom w:w="0" w:type="dxa"/>
          <w:right w:w="108" w:type="dxa"/>
        </w:tblCellMar>
        <w:tblLook w:val="04a0" w:noVBand="1" w:noHBand="0" w:lastColumn="0" w:firstColumn="1" w:lastRow="0" w:firstRow="1"/>
      </w:tblPr>
      <w:tblGrid>
        <w:gridCol w:w="2689"/>
        <w:gridCol w:w="3542"/>
      </w:tblGrid>
      <w:tr>
        <w:trPr/>
        <w:tc>
          <w:tcPr>
            <w:tcW w:w="2689" w:type="dxa"/>
            <w:tcBorders>
              <w:top w:val="nil"/>
              <w:left w:val="nil"/>
              <w:bottom w:val="nil"/>
              <w:right w:val="nil"/>
              <w:insideH w:val="nil"/>
              <w:insideV w:val="nil"/>
            </w:tcBorders>
            <w:shd w:color="auto" w:fill="auto" w:val="clear"/>
            <w:vAlign w:val="center"/>
          </w:tcPr>
          <w:p>
            <w:pPr>
              <w:pStyle w:val="Normal"/>
              <w:spacing w:lineRule="auto" w:line="240" w:before="0" w:after="0"/>
              <w:rPr>
                <w:iCs/>
              </w:rPr>
            </w:pPr>
            <w:r>
              <w:rPr>
                <w:i/>
                <w:lang w:eastAsia="ja-JP"/>
              </w:rPr>
              <w:t xml:space="preserve">&lt;R&gt;: </w:t>
            </w:r>
            <w:r>
              <w:rPr>
                <w:lang w:eastAsia="ja-JP"/>
              </w:rPr>
              <w:t>データ品質</w:t>
            </w:r>
            <w:r>
              <w:rPr>
                <w:lang w:val="en-US" w:eastAsia="ja-JP"/>
              </w:rPr>
              <w:t>の</w:t>
            </w:r>
            <w:r>
              <w:rPr>
                <w:lang w:eastAsia="ja-JP"/>
              </w:rPr>
              <w:t>悪い</w:t>
            </w:r>
          </w:p>
        </w:tc>
        <w:tc>
          <w:tcPr>
            <w:tcW w:w="3542" w:type="dxa"/>
            <w:tcBorders>
              <w:top w:val="nil"/>
              <w:left w:val="nil"/>
              <w:bottom w:val="nil"/>
              <w:right w:val="nil"/>
              <w:insideH w:val="nil"/>
              <w:insideV w:val="nil"/>
            </w:tcBorders>
            <w:shd w:color="auto" w:fill="auto" w:val="clear"/>
            <w:vAlign w:val="center"/>
          </w:tcPr>
          <w:p>
            <w:pPr>
              <w:pStyle w:val="Normal"/>
              <w:spacing w:before="80" w:after="0"/>
              <w:rPr>
                <w:iCs/>
              </w:rPr>
            </w:pPr>
            <w:r>
              <w:rPr>
                <w:lang w:eastAsia="ja-JP"/>
              </w:rPr>
              <w:t xml:space="preserve">→  </w:t>
            </w:r>
            <w:r>
              <w:rPr>
                <w:iCs/>
              </w:rPr>
              <w:t>mala calidad de los datos</w:t>
            </w:r>
          </w:p>
        </w:tc>
      </w:tr>
      <w:tr>
        <w:trPr/>
        <w:tc>
          <w:tcPr>
            <w:tcW w:w="2689" w:type="dxa"/>
            <w:tcBorders>
              <w:top w:val="nil"/>
              <w:left w:val="nil"/>
              <w:bottom w:val="nil"/>
              <w:right w:val="nil"/>
              <w:insideH w:val="nil"/>
              <w:insideV w:val="nil"/>
            </w:tcBorders>
            <w:shd w:color="auto" w:fill="auto" w:val="clear"/>
            <w:vAlign w:val="center"/>
          </w:tcPr>
          <w:p>
            <w:pPr>
              <w:pStyle w:val="Normal"/>
              <w:spacing w:lineRule="auto" w:line="240" w:before="0" w:after="0"/>
              <w:rPr>
                <w:i/>
                <w:i/>
                <w:lang w:eastAsia="ja-JP"/>
              </w:rPr>
            </w:pPr>
            <w:r>
              <w:rPr>
                <w:i/>
                <w:lang w:eastAsia="ja-JP"/>
              </w:rPr>
              <w:t xml:space="preserve">&lt;y’&gt;: </w:t>
            </w:r>
            <w:r>
              <w:rPr>
                <w:lang w:eastAsia="ja-JP"/>
              </w:rPr>
              <w:t>プロジェクト</w:t>
            </w:r>
          </w:p>
        </w:tc>
        <w:tc>
          <w:tcPr>
            <w:tcW w:w="3542" w:type="dxa"/>
            <w:tcBorders>
              <w:top w:val="nil"/>
              <w:left w:val="nil"/>
              <w:bottom w:val="nil"/>
              <w:right w:val="nil"/>
              <w:insideH w:val="nil"/>
              <w:insideV w:val="nil"/>
            </w:tcBorders>
            <w:shd w:color="auto" w:fill="auto" w:val="clear"/>
            <w:vAlign w:val="center"/>
          </w:tcPr>
          <w:p>
            <w:pPr>
              <w:pStyle w:val="Normal"/>
              <w:spacing w:before="80" w:after="0"/>
              <w:rPr>
                <w:iCs/>
              </w:rPr>
            </w:pPr>
            <w:r>
              <w:rPr>
                <w:lang w:eastAsia="ja-JP"/>
              </w:rPr>
              <w:t xml:space="preserve">→  </w:t>
            </w:r>
            <w:r>
              <w:rPr>
                <w:iCs/>
              </w:rPr>
              <w:t>proyectos</w:t>
            </w:r>
          </w:p>
        </w:tc>
      </w:tr>
      <w:tr>
        <w:trPr/>
        <w:tc>
          <w:tcPr>
            <w:tcW w:w="2689" w:type="dxa"/>
            <w:tcBorders>
              <w:top w:val="nil"/>
              <w:left w:val="nil"/>
              <w:bottom w:val="nil"/>
              <w:right w:val="nil"/>
              <w:insideH w:val="nil"/>
              <w:insideV w:val="nil"/>
            </w:tcBorders>
            <w:shd w:color="auto" w:fill="auto" w:val="clear"/>
            <w:vAlign w:val="center"/>
          </w:tcPr>
          <w:p>
            <w:pPr>
              <w:pStyle w:val="Normal"/>
              <w:spacing w:lineRule="auto" w:line="240" w:before="0" w:after="0"/>
              <w:rPr>
                <w:i/>
                <w:i/>
                <w:lang w:eastAsia="ja-JP"/>
              </w:rPr>
            </w:pPr>
            <w:r>
              <w:rPr>
                <w:i/>
                <w:lang w:eastAsia="ja-JP"/>
              </w:rPr>
              <w:t xml:space="preserve">&lt;S&gt;: </w:t>
            </w:r>
            <w:r>
              <w:rPr>
                <w:lang w:eastAsia="ja-JP"/>
              </w:rPr>
              <w:t>悪い評価</w:t>
            </w:r>
          </w:p>
        </w:tc>
        <w:tc>
          <w:tcPr>
            <w:tcW w:w="3542" w:type="dxa"/>
            <w:tcBorders>
              <w:top w:val="nil"/>
              <w:left w:val="nil"/>
              <w:bottom w:val="nil"/>
              <w:right w:val="nil"/>
              <w:insideH w:val="nil"/>
              <w:insideV w:val="nil"/>
            </w:tcBorders>
            <w:shd w:color="auto" w:fill="auto" w:val="clear"/>
            <w:vAlign w:val="center"/>
          </w:tcPr>
          <w:p>
            <w:pPr>
              <w:pStyle w:val="Normal"/>
              <w:spacing w:before="80" w:after="0"/>
              <w:rPr>
                <w:iCs/>
              </w:rPr>
            </w:pPr>
            <w:r>
              <w:rPr>
                <w:lang w:eastAsia="ja-JP"/>
              </w:rPr>
              <w:t xml:space="preserve">→  </w:t>
            </w:r>
            <w:r>
              <w:rPr>
                <w:iCs/>
              </w:rPr>
              <w:t>mala evaluación</w:t>
            </w:r>
          </w:p>
        </w:tc>
      </w:tr>
      <w:tr>
        <w:trPr/>
        <w:tc>
          <w:tcPr>
            <w:tcW w:w="2689" w:type="dxa"/>
            <w:tcBorders>
              <w:top w:val="nil"/>
              <w:left w:val="nil"/>
              <w:bottom w:val="nil"/>
              <w:right w:val="nil"/>
              <w:insideH w:val="nil"/>
              <w:insideV w:val="nil"/>
            </w:tcBorders>
            <w:shd w:color="auto" w:fill="auto" w:val="clear"/>
            <w:vAlign w:val="center"/>
          </w:tcPr>
          <w:p>
            <w:pPr>
              <w:pStyle w:val="Normal"/>
              <w:spacing w:lineRule="auto" w:line="240" w:before="120" w:after="0"/>
              <w:rPr>
                <w:lang w:eastAsia="ja-JP"/>
              </w:rPr>
            </w:pPr>
            <w:r>
              <w:rPr>
                <w:i/>
              </w:rPr>
              <w:t>&lt;D&gt;:</w:t>
            </w:r>
            <w:r>
              <w:rPr>
                <w:lang w:eastAsia="ja-JP"/>
              </w:rPr>
              <w:t>非常に数少ない</w:t>
            </w:r>
            <w:r>
              <w:rPr>
                <w:i/>
              </w:rPr>
              <w:t xml:space="preserve">&lt;Q&gt;: </w:t>
            </w:r>
            <w:r>
              <w:rPr>
                <w:i/>
                <w:iCs/>
                <w:lang w:eastAsia="ja-JP"/>
              </w:rPr>
              <w:t>94.0</w:t>
            </w:r>
          </w:p>
          <w:p>
            <w:pPr>
              <w:pStyle w:val="Normal"/>
              <w:spacing w:lineRule="auto" w:line="240" w:before="0" w:after="0"/>
              <w:rPr>
                <w:i/>
                <w:i/>
                <w:lang w:eastAsia="ja-JP"/>
              </w:rPr>
            </w:pPr>
            <w:r>
              <w:rPr>
                <w:i/>
                <w:lang w:eastAsia="ja-JP"/>
              </w:rPr>
            </w:r>
          </w:p>
        </w:tc>
        <w:tc>
          <w:tcPr>
            <w:tcW w:w="3542" w:type="dxa"/>
            <w:tcBorders>
              <w:top w:val="nil"/>
              <w:left w:val="nil"/>
              <w:bottom w:val="nil"/>
              <w:right w:val="nil"/>
              <w:insideH w:val="nil"/>
              <w:insideV w:val="nil"/>
            </w:tcBorders>
            <w:shd w:color="auto" w:fill="auto" w:val="clear"/>
          </w:tcPr>
          <w:p>
            <w:pPr>
              <w:pStyle w:val="Normal"/>
              <w:spacing w:before="80" w:after="0"/>
              <w:rPr>
                <w:iCs/>
              </w:rPr>
            </w:pPr>
            <w:r>
              <w:rPr>
                <w:lang w:eastAsia="ja-JP"/>
              </w:rPr>
              <w:t xml:space="preserve">→  </w:t>
            </w:r>
            <w:r>
              <w:rPr>
                <w:iCs/>
              </w:rPr>
              <w:t>muy pocos</w:t>
            </w:r>
          </w:p>
        </w:tc>
      </w:tr>
    </w:tbl>
    <w:p>
      <w:pPr>
        <w:pStyle w:val="Normal"/>
        <w:rPr>
          <w:rFonts w:eastAsia="DengXian"/>
        </w:rPr>
      </w:pPr>
      <w:r>
        <w:rPr>
          <w:b/>
          <w:bCs w:val="false"/>
          <w:lang w:val="en-US" w:eastAsia="ja-JP"/>
        </w:rPr>
        <w:t xml:space="preserve">Ejemplo 2: </w:t>
      </w:r>
      <w:bookmarkStart w:id="3795" w:name="_Hlk80696130"/>
      <w:bookmarkEnd w:id="3795"/>
      <w:r>
        <w:rPr/>
        <w:t>データ品質の悪いプロジェクトのほとんどは、悪い評価です。</w:t>
      </w:r>
    </w:p>
    <w:p>
      <w:pPr>
        <w:pStyle w:val="Normal"/>
        <w:rPr>
          <w:rFonts w:eastAsia="MS Gothic"/>
          <w:color w:val="00000A"/>
          <w:sz w:val="24"/>
          <w:szCs w:val="24"/>
          <w:lang w:eastAsia="ja-JP"/>
        </w:rPr>
      </w:pPr>
      <w:r>
        <w:rPr>
          <w:iCs/>
        </w:rPr>
        <w:t>LNC :</w:t>
      </w:r>
      <w:r>
        <w:rPr>
          <w:i/>
        </w:rPr>
        <w:t xml:space="preserve"> </w:t>
        <w:tab/>
      </w:r>
      <w:r>
        <w:rPr>
          <w:lang w:eastAsia="ja-JP"/>
        </w:rPr>
        <w:t xml:space="preserve">&lt;S&gt; </w:t>
      </w:r>
      <w:r>
        <w:rPr/>
        <w:t xml:space="preserve">の </w:t>
      </w:r>
      <w:r>
        <w:rPr>
          <w:lang w:eastAsia="ja-JP"/>
        </w:rPr>
        <w:t xml:space="preserve">&lt;y’&gt; </w:t>
      </w:r>
      <w:r>
        <w:rPr/>
        <w:t xml:space="preserve">の </w:t>
      </w:r>
      <w:r>
        <w:rPr>
          <w:lang w:eastAsia="ja-JP"/>
        </w:rPr>
        <w:t>&lt;Q&gt;</w:t>
      </w:r>
      <w:r>
        <w:rPr/>
        <w:t>は、</w:t>
      </w:r>
      <w:r>
        <w:rPr>
          <w:lang w:eastAsia="ja-JP"/>
        </w:rPr>
        <w:t>&lt;R&gt;</w:t>
      </w:r>
      <w:r>
        <w:rPr/>
        <w:t>です</w:t>
      </w:r>
      <w:r>
        <w:rPr>
          <w:lang w:eastAsia="ja-JP"/>
        </w:rPr>
        <w:t>。</w:t>
      </w:r>
      <w:r>
        <w:rPr>
          <w:rFonts w:eastAsia="MS Gothic"/>
          <w:color w:val="00000A"/>
          <w:sz w:val="24"/>
          <w:szCs w:val="24"/>
          <w:lang w:eastAsia="ja-JP"/>
        </w:rPr>
        <w:tab/>
        <w:tab/>
        <w:t>(</w:t>
      </w:r>
      <w:r>
        <w:rPr>
          <w:sz w:val="24"/>
          <w:szCs w:val="24"/>
        </w:rPr>
        <w:t xml:space="preserve">Estructura: </w:t>
      </w:r>
      <w:r>
        <w:rPr>
          <w:i/>
          <w:sz w:val="24"/>
          <w:szCs w:val="24"/>
        </w:rPr>
        <w:t>QRy’s are S</w:t>
      </w:r>
      <w:r>
        <w:rPr>
          <w:rFonts w:eastAsia="MS Gothic"/>
          <w:color w:val="00000A"/>
          <w:sz w:val="24"/>
          <w:szCs w:val="24"/>
          <w:lang w:eastAsia="ja-JP"/>
        </w:rPr>
        <w:t>)</w:t>
      </w:r>
    </w:p>
    <w:p>
      <w:pPr>
        <w:pStyle w:val="Normal"/>
        <w:ind w:left="1843" w:hanging="1843"/>
        <w:rPr>
          <w:lang w:eastAsia="ja-JP"/>
        </w:rPr>
      </w:pPr>
      <w:r>
        <w:rPr>
          <w:lang w:eastAsia="ja-JP"/>
        </w:rPr>
        <w:t>Traducción literal: “</w:t>
      </w:r>
      <w:r>
        <w:rPr>
          <w:i/>
          <w:iCs/>
          <w:lang w:eastAsia="ja-JP"/>
        </w:rPr>
        <w:t>La mayoría de los proyectos con datos de mala calidad tienen una mala calificación”.</w:t>
      </w:r>
    </w:p>
    <w:p>
      <w:pPr>
        <w:pStyle w:val="Normal"/>
        <w:rPr>
          <w:iCs/>
          <w:lang w:eastAsia="ja-JP"/>
        </w:rPr>
      </w:pPr>
      <w:r>
        <w:rPr>
          <w:iCs/>
          <w:lang w:eastAsia="ja-JP"/>
        </w:rPr>
        <w:t>Donde:</w:t>
      </w:r>
    </w:p>
    <w:tbl>
      <w:tblPr>
        <w:tblStyle w:val="Tablaconcuadrcula"/>
        <w:tblW w:w="6232" w:type="dxa"/>
        <w:jc w:val="left"/>
        <w:tblInd w:w="0" w:type="dxa"/>
        <w:tblCellMar>
          <w:top w:w="0" w:type="dxa"/>
          <w:left w:w="123" w:type="dxa"/>
          <w:bottom w:w="0" w:type="dxa"/>
          <w:right w:w="108" w:type="dxa"/>
        </w:tblCellMar>
        <w:tblLook w:val="04a0" w:noVBand="1" w:noHBand="0" w:lastColumn="0" w:firstColumn="1" w:lastRow="0" w:firstRow="1"/>
      </w:tblPr>
      <w:tblGrid>
        <w:gridCol w:w="2689"/>
        <w:gridCol w:w="3542"/>
      </w:tblGrid>
      <w:tr>
        <w:trPr/>
        <w:tc>
          <w:tcPr>
            <w:tcW w:w="2689" w:type="dxa"/>
            <w:tcBorders>
              <w:top w:val="nil"/>
              <w:left w:val="nil"/>
              <w:bottom w:val="nil"/>
              <w:right w:val="nil"/>
              <w:insideH w:val="nil"/>
              <w:insideV w:val="nil"/>
            </w:tcBorders>
            <w:shd w:color="auto" w:fill="auto" w:val="clear"/>
            <w:vAlign w:val="center"/>
          </w:tcPr>
          <w:p>
            <w:pPr>
              <w:pStyle w:val="Normal"/>
              <w:spacing w:lineRule="auto" w:line="240" w:before="0" w:after="0"/>
              <w:rPr>
                <w:iCs/>
              </w:rPr>
            </w:pPr>
            <w:r>
              <w:rPr>
                <w:i/>
                <w:lang w:eastAsia="ja-JP"/>
              </w:rPr>
              <w:t xml:space="preserve">&lt;R&gt;: </w:t>
            </w:r>
            <w:r>
              <w:rPr>
                <w:lang w:eastAsia="ja-JP"/>
              </w:rPr>
              <w:t>データ品質</w:t>
            </w:r>
            <w:r>
              <w:rPr>
                <w:lang w:val="en-US" w:eastAsia="ja-JP"/>
              </w:rPr>
              <w:t>の</w:t>
            </w:r>
            <w:r>
              <w:rPr>
                <w:lang w:eastAsia="ja-JP"/>
              </w:rPr>
              <w:t>悪い</w:t>
            </w:r>
          </w:p>
        </w:tc>
        <w:tc>
          <w:tcPr>
            <w:tcW w:w="3542" w:type="dxa"/>
            <w:tcBorders>
              <w:top w:val="nil"/>
              <w:left w:val="nil"/>
              <w:bottom w:val="nil"/>
              <w:right w:val="nil"/>
              <w:insideH w:val="nil"/>
              <w:insideV w:val="nil"/>
            </w:tcBorders>
            <w:shd w:color="auto" w:fill="auto" w:val="clear"/>
            <w:vAlign w:val="center"/>
          </w:tcPr>
          <w:p>
            <w:pPr>
              <w:pStyle w:val="Normal"/>
              <w:spacing w:before="80" w:after="0"/>
              <w:rPr>
                <w:iCs/>
              </w:rPr>
            </w:pPr>
            <w:r>
              <w:rPr>
                <w:iCs/>
              </w:rPr>
              <w:t>mala calidad de los datos</w:t>
            </w:r>
          </w:p>
        </w:tc>
      </w:tr>
      <w:tr>
        <w:trPr/>
        <w:tc>
          <w:tcPr>
            <w:tcW w:w="2689" w:type="dxa"/>
            <w:tcBorders>
              <w:top w:val="nil"/>
              <w:left w:val="nil"/>
              <w:bottom w:val="nil"/>
              <w:right w:val="nil"/>
              <w:insideH w:val="nil"/>
              <w:insideV w:val="nil"/>
            </w:tcBorders>
            <w:shd w:color="auto" w:fill="auto" w:val="clear"/>
            <w:vAlign w:val="center"/>
          </w:tcPr>
          <w:p>
            <w:pPr>
              <w:pStyle w:val="Normal"/>
              <w:spacing w:lineRule="auto" w:line="240" w:before="0" w:after="0"/>
              <w:rPr>
                <w:i/>
                <w:i/>
                <w:lang w:eastAsia="ja-JP"/>
              </w:rPr>
            </w:pPr>
            <w:r>
              <w:rPr>
                <w:i/>
                <w:lang w:eastAsia="ja-JP"/>
              </w:rPr>
              <w:t xml:space="preserve">&lt;y’&gt;: </w:t>
            </w:r>
            <w:r>
              <w:rPr>
                <w:lang w:eastAsia="ja-JP"/>
              </w:rPr>
              <w:t>プロジェクト</w:t>
            </w:r>
          </w:p>
        </w:tc>
        <w:tc>
          <w:tcPr>
            <w:tcW w:w="3542" w:type="dxa"/>
            <w:tcBorders>
              <w:top w:val="nil"/>
              <w:left w:val="nil"/>
              <w:bottom w:val="nil"/>
              <w:right w:val="nil"/>
              <w:insideH w:val="nil"/>
              <w:insideV w:val="nil"/>
            </w:tcBorders>
            <w:shd w:color="auto" w:fill="auto" w:val="clear"/>
            <w:vAlign w:val="center"/>
          </w:tcPr>
          <w:p>
            <w:pPr>
              <w:pStyle w:val="Normal"/>
              <w:spacing w:before="80" w:after="0"/>
              <w:rPr>
                <w:iCs/>
              </w:rPr>
            </w:pPr>
            <w:r>
              <w:rPr>
                <w:iCs/>
              </w:rPr>
              <w:t>proyectos</w:t>
            </w:r>
          </w:p>
        </w:tc>
      </w:tr>
      <w:tr>
        <w:trPr/>
        <w:tc>
          <w:tcPr>
            <w:tcW w:w="2689" w:type="dxa"/>
            <w:tcBorders>
              <w:top w:val="nil"/>
              <w:left w:val="nil"/>
              <w:bottom w:val="nil"/>
              <w:right w:val="nil"/>
              <w:insideH w:val="nil"/>
              <w:insideV w:val="nil"/>
            </w:tcBorders>
            <w:shd w:color="auto" w:fill="auto" w:val="clear"/>
            <w:vAlign w:val="center"/>
          </w:tcPr>
          <w:p>
            <w:pPr>
              <w:pStyle w:val="Normal"/>
              <w:spacing w:lineRule="auto" w:line="240" w:before="0" w:after="0"/>
              <w:rPr>
                <w:i/>
                <w:i/>
                <w:lang w:eastAsia="ja-JP"/>
              </w:rPr>
            </w:pPr>
            <w:r>
              <w:rPr>
                <w:i/>
                <w:lang w:eastAsia="ja-JP"/>
              </w:rPr>
              <w:t xml:space="preserve">&lt;S&gt;: </w:t>
            </w:r>
            <w:r>
              <w:rPr>
                <w:lang w:eastAsia="ja-JP"/>
              </w:rPr>
              <w:t>悪い評価</w:t>
            </w:r>
          </w:p>
        </w:tc>
        <w:tc>
          <w:tcPr>
            <w:tcW w:w="3542" w:type="dxa"/>
            <w:tcBorders>
              <w:top w:val="nil"/>
              <w:left w:val="nil"/>
              <w:bottom w:val="nil"/>
              <w:right w:val="nil"/>
              <w:insideH w:val="nil"/>
              <w:insideV w:val="nil"/>
            </w:tcBorders>
            <w:shd w:color="auto" w:fill="auto" w:val="clear"/>
            <w:vAlign w:val="center"/>
          </w:tcPr>
          <w:p>
            <w:pPr>
              <w:pStyle w:val="Normal"/>
              <w:spacing w:before="80" w:after="0"/>
              <w:rPr>
                <w:iCs/>
              </w:rPr>
            </w:pPr>
            <w:r>
              <w:rPr>
                <w:iCs/>
              </w:rPr>
              <w:t>mala evaluación</w:t>
            </w:r>
          </w:p>
        </w:tc>
      </w:tr>
      <w:tr>
        <w:trPr/>
        <w:tc>
          <w:tcPr>
            <w:tcW w:w="2689" w:type="dxa"/>
            <w:tcBorders>
              <w:top w:val="nil"/>
              <w:left w:val="nil"/>
              <w:bottom w:val="nil"/>
              <w:right w:val="nil"/>
              <w:insideH w:val="nil"/>
              <w:insideV w:val="nil"/>
            </w:tcBorders>
            <w:shd w:color="auto" w:fill="auto" w:val="clear"/>
            <w:vAlign w:val="center"/>
          </w:tcPr>
          <w:p>
            <w:pPr>
              <w:pStyle w:val="Normal"/>
              <w:spacing w:lineRule="auto" w:line="240" w:before="0" w:after="0"/>
              <w:rPr>
                <w:iCs/>
                <w:lang w:eastAsia="ja-JP"/>
              </w:rPr>
            </w:pPr>
            <w:r>
              <w:rPr>
                <w:i/>
              </w:rPr>
              <w:t xml:space="preserve">&lt;Q&gt;: </w:t>
            </w:r>
            <w:r>
              <w:rPr/>
              <w:t>ほとんど</w:t>
            </w:r>
          </w:p>
        </w:tc>
        <w:tc>
          <w:tcPr>
            <w:tcW w:w="3542" w:type="dxa"/>
            <w:tcBorders>
              <w:top w:val="nil"/>
              <w:left w:val="nil"/>
              <w:bottom w:val="nil"/>
              <w:right w:val="nil"/>
              <w:insideH w:val="nil"/>
              <w:insideV w:val="nil"/>
            </w:tcBorders>
            <w:shd w:color="auto" w:fill="auto" w:val="clear"/>
          </w:tcPr>
          <w:p>
            <w:pPr>
              <w:pStyle w:val="Normal"/>
              <w:spacing w:before="80" w:after="0"/>
              <w:rPr>
                <w:iCs/>
              </w:rPr>
            </w:pPr>
            <w:r>
              <w:rPr>
                <w:iCs/>
              </w:rPr>
              <w:t>mayoría</w:t>
            </w:r>
          </w:p>
        </w:tc>
      </w:tr>
    </w:tbl>
    <w:p>
      <w:pPr>
        <w:pStyle w:val="Normal"/>
        <w:ind w:left="1418" w:hanging="1418"/>
        <w:rPr>
          <w:rFonts w:eastAsia="Times New Roman"/>
          <w:b/>
          <w:b/>
          <w:sz w:val="24"/>
          <w:szCs w:val="24"/>
          <w:lang w:eastAsia="ja-JP"/>
        </w:rPr>
      </w:pPr>
      <w:r>
        <w:rPr>
          <w:rFonts w:eastAsia="Times New Roman"/>
          <w:b/>
          <w:sz w:val="24"/>
          <w:szCs w:val="24"/>
          <w:lang w:eastAsia="ja-JP"/>
        </w:rPr>
      </w:r>
    </w:p>
    <w:p>
      <w:pPr>
        <w:pStyle w:val="Normal"/>
        <w:rPr/>
      </w:pPr>
      <w:r>
        <w:rPr>
          <w:b/>
          <w:bCs w:val="false"/>
        </w:rPr>
        <w:t>Ejemplo 3:</w:t>
      </w:r>
      <w:r>
        <w:rPr/>
        <w:t xml:space="preserve"> </w:t>
      </w:r>
      <w:bookmarkStart w:id="3796" w:name="_Hlk80696150"/>
      <w:bookmarkEnd w:id="3796"/>
      <w:r>
        <w:rPr/>
        <w:t>ほとんどのプロジェクトは悪い評価です。</w:t>
      </w:r>
    </w:p>
    <w:p>
      <w:pPr>
        <w:pStyle w:val="HTMLPreformatted"/>
        <w:rPr>
          <w:rFonts w:ascii="Arial" w:hAnsi="Arial" w:eastAsia="MS Gothic" w:cs="Arial"/>
          <w:sz w:val="22"/>
          <w:szCs w:val="22"/>
          <w:lang w:eastAsia="ja-JP"/>
        </w:rPr>
      </w:pPr>
      <w:r>
        <w:rPr>
          <w:rStyle w:val="Y2iqfc"/>
          <w:rFonts w:eastAsia="MS Gothic" w:cs="Arial" w:ascii="Arial" w:hAnsi="Arial"/>
          <w:sz w:val="22"/>
          <w:szCs w:val="22"/>
          <w:lang w:eastAsia="ja-JP"/>
        </w:rPr>
        <w:t xml:space="preserve">LNC: &lt;Q&gt; </w:t>
      </w:r>
      <w:r>
        <w:rPr>
          <w:rFonts w:ascii="Arial" w:hAnsi="Arial" w:cs="Arial"/>
          <w:bCs/>
          <w:color w:val="000000"/>
          <w:sz w:val="22"/>
          <w:szCs w:val="22"/>
          <w:lang w:eastAsia="zh-CN"/>
        </w:rPr>
        <w:t>の</w:t>
      </w:r>
      <w:r>
        <w:rPr>
          <w:rStyle w:val="Y2iqfc"/>
          <w:rFonts w:ascii="Arial" w:hAnsi="Arial" w:cs="Arial" w:eastAsia="MS Gothic"/>
          <w:sz w:val="22"/>
          <w:szCs w:val="22"/>
          <w:lang w:eastAsia="ja-JP"/>
        </w:rPr>
        <w:t xml:space="preserve"> </w:t>
      </w:r>
      <w:r>
        <w:rPr>
          <w:rStyle w:val="Y2iqfc"/>
          <w:rFonts w:eastAsia="MS Gothic" w:cs="Arial" w:ascii="Arial" w:hAnsi="Arial"/>
          <w:sz w:val="22"/>
          <w:szCs w:val="22"/>
          <w:lang w:eastAsia="ja-JP"/>
        </w:rPr>
        <w:t xml:space="preserve">&lt;y’&gt; </w:t>
      </w:r>
      <w:r>
        <w:rPr>
          <w:rFonts w:ascii="Arial" w:hAnsi="Arial" w:cs="Arial"/>
          <w:bCs/>
          <w:color w:val="000000"/>
          <w:sz w:val="22"/>
          <w:szCs w:val="22"/>
          <w:lang w:eastAsia="zh-CN"/>
        </w:rPr>
        <w:t xml:space="preserve">は </w:t>
      </w:r>
      <w:r>
        <w:rPr>
          <w:rStyle w:val="Y2iqfc"/>
          <w:rFonts w:eastAsia="MS Gothic" w:cs="Arial" w:ascii="Arial" w:hAnsi="Arial"/>
          <w:sz w:val="22"/>
          <w:szCs w:val="22"/>
          <w:lang w:eastAsia="ja-JP"/>
        </w:rPr>
        <w:t xml:space="preserve">&lt;S&gt; </w:t>
      </w:r>
      <w:r>
        <w:rPr>
          <w:rFonts w:ascii="Arial" w:hAnsi="Arial" w:cs="Arial"/>
          <w:bCs/>
          <w:color w:val="000000"/>
          <w:sz w:val="22"/>
          <w:szCs w:val="22"/>
          <w:lang w:eastAsia="zh-CN"/>
        </w:rPr>
        <w:t>です。</w:t>
      </w:r>
      <w:r>
        <w:rPr>
          <w:rFonts w:eastAsia="MS Gothic" w:cs="Arial" w:ascii="Arial" w:hAnsi="Arial"/>
          <w:sz w:val="22"/>
          <w:szCs w:val="22"/>
          <w:lang w:eastAsia="ja-JP"/>
        </w:rPr>
        <w:tab/>
      </w:r>
      <w:r>
        <w:rPr>
          <w:rFonts w:eastAsia="MS Gothic" w:cs="Arial"/>
          <w:sz w:val="24"/>
          <w:szCs w:val="24"/>
          <w:lang w:eastAsia="ja-JP"/>
        </w:rPr>
        <w:tab/>
      </w:r>
      <w:r>
        <w:rPr>
          <w:rFonts w:eastAsia="MS Gothic" w:cs="Arial" w:ascii="Arial" w:hAnsi="Arial"/>
          <w:sz w:val="22"/>
          <w:szCs w:val="22"/>
          <w:lang w:eastAsia="ja-JP"/>
        </w:rPr>
        <w:t>(</w:t>
      </w:r>
      <w:r>
        <w:rPr>
          <w:rFonts w:eastAsia="MS Gothic" w:cs="Arial" w:ascii="Arial" w:hAnsi="Arial"/>
          <w:sz w:val="22"/>
          <w:szCs w:val="22"/>
        </w:rPr>
        <w:t xml:space="preserve">Estructura: </w:t>
      </w:r>
      <w:r>
        <w:rPr>
          <w:rFonts w:eastAsia="MS Gothic" w:cs="Arial" w:ascii="Arial" w:hAnsi="Arial"/>
          <w:i/>
          <w:sz w:val="22"/>
          <w:szCs w:val="22"/>
        </w:rPr>
        <w:t>Qy’s are S</w:t>
      </w:r>
      <w:r>
        <w:rPr>
          <w:rFonts w:eastAsia="MS Gothic" w:cs="Arial" w:ascii="Arial" w:hAnsi="Arial"/>
          <w:sz w:val="22"/>
          <w:szCs w:val="22"/>
          <w:lang w:eastAsia="ja-JP"/>
        </w:rPr>
        <w:t>)</w:t>
      </w:r>
    </w:p>
    <w:p>
      <w:pPr>
        <w:pStyle w:val="Normal"/>
        <w:rPr>
          <w:i/>
          <w:i/>
          <w:iCs/>
          <w:lang w:eastAsia="ja-JP"/>
        </w:rPr>
      </w:pPr>
      <w:r>
        <w:rPr>
          <w:lang w:eastAsia="ja-JP"/>
        </w:rPr>
        <w:t>Traducción literal: “</w:t>
      </w:r>
      <w:r>
        <w:rPr>
          <w:i/>
          <w:iCs/>
          <w:lang w:eastAsia="ja-JP"/>
        </w:rPr>
        <w:t>La mayoría de los proyectos tienen una mala calificación.”</w:t>
      </w:r>
    </w:p>
    <w:p>
      <w:pPr>
        <w:pStyle w:val="Normal"/>
        <w:rPr>
          <w:iCs/>
          <w:lang w:eastAsia="ja-JP"/>
        </w:rPr>
      </w:pPr>
      <w:r>
        <w:rPr>
          <w:iCs/>
          <w:lang w:eastAsia="ja-JP"/>
        </w:rPr>
        <w:t>Donde:</w:t>
      </w:r>
    </w:p>
    <w:p>
      <w:pPr>
        <w:pStyle w:val="Normal"/>
        <w:rPr>
          <w:i/>
          <w:i/>
          <w:lang w:eastAsia="ja-JP"/>
        </w:rPr>
      </w:pPr>
      <w:r>
        <w:rPr>
          <w:i/>
          <w:lang w:eastAsia="ja-JP"/>
        </w:rPr>
        <w:t xml:space="preserve">&lt;Q&gt;: </w:t>
      </w:r>
      <w:r>
        <w:rPr/>
        <w:t>ほとんど</w:t>
      </w:r>
      <w:r>
        <w:rPr>
          <w:rStyle w:val="Y2iqfc"/>
          <w:rFonts w:eastAsia="MS Gothic"/>
          <w:sz w:val="24"/>
          <w:szCs w:val="24"/>
          <w:lang w:eastAsia="ja-JP"/>
        </w:rPr>
        <w:t xml:space="preserve"> </w:t>
      </w:r>
      <w:r>
        <w:rPr>
          <w:rStyle w:val="Y2iqfc"/>
          <w:rFonts w:eastAsia="MS Gothic"/>
          <w:sz w:val="24"/>
          <w:szCs w:val="24"/>
          <w:lang w:eastAsia="ja-JP"/>
        </w:rPr>
        <w:tab/>
      </w:r>
      <w:r>
        <w:rPr>
          <w:i/>
          <w:lang w:eastAsia="ja-JP"/>
        </w:rPr>
        <w:t xml:space="preserve">&lt;y’&gt;: </w:t>
      </w:r>
      <w:r>
        <w:rPr/>
        <w:t>プロジェクト</w:t>
      </w:r>
      <w:r>
        <w:rPr>
          <w:rStyle w:val="Y2iqfc"/>
          <w:rFonts w:eastAsia="MS Gothic"/>
          <w:sz w:val="24"/>
          <w:szCs w:val="24"/>
          <w:lang w:eastAsia="ja-JP"/>
        </w:rPr>
        <w:tab/>
        <w:tab/>
      </w:r>
      <w:r>
        <w:rPr>
          <w:i/>
          <w:lang w:eastAsia="ja-JP"/>
        </w:rPr>
        <w:t xml:space="preserve">&lt;S&gt;: </w:t>
      </w:r>
      <w:bookmarkStart w:id="3797" w:name="_Hlk80696165"/>
      <w:bookmarkEnd w:id="3797"/>
      <w:r>
        <w:rPr/>
        <w:t>悪い評価</w:t>
      </w:r>
    </w:p>
    <w:p>
      <w:pPr>
        <w:pStyle w:val="Normal"/>
        <w:rPr>
          <w:iCs/>
        </w:rPr>
      </w:pPr>
      <w:r>
        <w:rPr>
          <w:iCs/>
        </w:rPr>
      </w:r>
    </w:p>
    <w:p>
      <w:pPr>
        <w:pStyle w:val="Heading3"/>
        <w:numPr>
          <w:ilvl w:val="2"/>
          <w:numId w:val="80"/>
        </w:numPr>
        <w:rPr/>
      </w:pPr>
      <w:bookmarkStart w:id="3798" w:name="_Ref81239137"/>
      <w:bookmarkEnd w:id="3798"/>
      <w:r>
        <w:rPr/>
        <w:t>LNC para resúmenes en árabe</w:t>
      </w:r>
    </w:p>
    <w:p>
      <w:pPr>
        <w:pStyle w:val="Normal"/>
        <w:suppressAutoHyphens w:val="false"/>
        <w:overflowPunct w:val="true"/>
        <w:spacing w:lineRule="auto" w:line="360" w:before="0" w:after="0"/>
        <w:ind w:left="2410" w:hanging="2552"/>
        <w:jc w:val="left"/>
        <w:rPr>
          <w:iCs/>
        </w:rPr>
      </w:pPr>
      <w:r>
        <w:rPr>
          <w:iCs/>
        </w:rPr>
        <w:t xml:space="preserve">&lt;Resumen lingüístico&gt;::= &lt;S&gt; &lt;conector sumarizador&gt; &lt;R&gt; &lt;conector filtros&gt; &lt;y’&gt; &lt;conector cuantificador&gt; &lt;Q&gt; &lt;conector descriptor de datos&gt; &lt;D&gt; | </w:t>
      </w:r>
    </w:p>
    <w:p>
      <w:pPr>
        <w:pStyle w:val="Normal"/>
        <w:suppressAutoHyphens w:val="false"/>
        <w:overflowPunct w:val="true"/>
        <w:spacing w:lineRule="auto" w:line="360" w:before="0" w:after="0"/>
        <w:ind w:left="2410" w:hanging="0"/>
        <w:jc w:val="left"/>
        <w:rPr>
          <w:iCs/>
        </w:rPr>
      </w:pPr>
      <w:r>
        <w:rPr>
          <w:iCs/>
        </w:rPr>
        <w:t>&lt;S&gt; &lt;conector sumarizador&gt; &lt;R&gt; &lt;conector filtros&gt; &lt;y’&gt; &lt;Q&gt; | &lt;S&gt; &lt;conector sumarizador&gt; &lt;y’&gt; &lt;Q&gt;</w:t>
      </w:r>
    </w:p>
    <w:p>
      <w:pPr>
        <w:pStyle w:val="Normal"/>
        <w:overflowPunct w:val="true"/>
        <w:ind w:left="2127" w:hanging="2127"/>
        <w:jc w:val="left"/>
        <w:rPr>
          <w:iCs/>
        </w:rPr>
      </w:pPr>
      <w:r>
        <w:rPr>
          <w:iCs/>
        </w:rPr>
        <w:t>&lt;D&gt;::= “</w:t>
      </w:r>
      <w:r>
        <w:rPr>
          <w:i/>
          <w:i/>
          <w:rtl w:val="true"/>
        </w:rPr>
        <w:t>أغلبية</w:t>
      </w:r>
      <w:r>
        <w:rPr>
          <w:iCs/>
          <w:rtl w:val="true"/>
        </w:rPr>
        <w:t xml:space="preserve">” </w:t>
      </w:r>
      <w:r>
        <w:rPr>
          <w:iCs/>
          <w:rtl w:val="true"/>
        </w:rPr>
        <w:t>| “</w:t>
      </w:r>
      <w:r>
        <w:rPr>
          <w:i/>
          <w:i/>
          <w:rtl w:val="true"/>
        </w:rPr>
        <w:t>الكثير</w:t>
      </w:r>
      <w:r>
        <w:rPr>
          <w:iCs/>
          <w:rtl w:val="true"/>
        </w:rPr>
        <w:t xml:space="preserve">” </w:t>
      </w:r>
      <w:r>
        <w:rPr>
          <w:iCs/>
          <w:rtl w:val="true"/>
        </w:rPr>
        <w:t>| “</w:t>
      </w:r>
      <w:r>
        <w:rPr>
          <w:i/>
          <w:i/>
          <w:rtl w:val="true"/>
        </w:rPr>
        <w:t>ما يقارب النصف من</w:t>
      </w:r>
      <w:r>
        <w:rPr>
          <w:iCs/>
          <w:rtl w:val="true"/>
        </w:rPr>
        <w:t xml:space="preserve">” </w:t>
      </w:r>
      <w:r>
        <w:rPr>
          <w:iCs/>
          <w:rtl w:val="true"/>
        </w:rPr>
        <w:t>| “</w:t>
      </w:r>
      <w:r>
        <w:rPr>
          <w:i/>
          <w:i/>
          <w:rtl w:val="true"/>
        </w:rPr>
        <w:t>بعض</w:t>
      </w:r>
      <w:r>
        <w:rPr>
          <w:iCs/>
          <w:rtl w:val="true"/>
        </w:rPr>
        <w:t xml:space="preserve">” </w:t>
      </w:r>
      <w:r>
        <w:rPr>
          <w:iCs/>
          <w:rtl w:val="true"/>
        </w:rPr>
        <w:t>| “</w:t>
      </w:r>
      <w:r>
        <w:rPr>
          <w:i/>
          <w:i/>
          <w:rtl w:val="true"/>
        </w:rPr>
        <w:t>القليل</w:t>
      </w:r>
      <w:r>
        <w:rPr>
          <w:iCs/>
          <w:rtl w:val="true"/>
        </w:rPr>
        <w:t xml:space="preserve">” </w:t>
      </w:r>
      <w:r>
        <w:rPr>
          <w:iCs/>
          <w:rtl w:val="true"/>
        </w:rPr>
        <w:t>| “</w:t>
      </w:r>
      <w:r>
        <w:rPr>
          <w:iCs/>
          <w:rtl w:val="true"/>
        </w:rPr>
        <w:t>قليل جدا</w:t>
      </w:r>
      <w:r>
        <w:rPr>
          <w:iCs/>
        </w:rPr>
        <w:t>”</w:t>
      </w:r>
    </w:p>
    <w:p>
      <w:pPr>
        <w:pStyle w:val="Normal"/>
        <w:overflowPunct w:val="true"/>
        <w:jc w:val="left"/>
        <w:rPr>
          <w:iCs/>
        </w:rPr>
      </w:pPr>
      <w:r>
        <w:rPr>
          <w:iCs/>
        </w:rPr>
        <w:t>&lt;conector descriptor de datos&gt;::= “</w:t>
      </w:r>
      <w:r>
        <w:rPr>
          <w:i/>
          <w:i/>
          <w:rtl w:val="true"/>
        </w:rPr>
        <w:t>السجلات تظهر أن</w:t>
      </w:r>
      <w:r>
        <w:rPr>
          <w:iCs/>
        </w:rPr>
        <w:t>”</w:t>
      </w:r>
    </w:p>
    <w:p>
      <w:pPr>
        <w:pStyle w:val="Normal"/>
        <w:overflowPunct w:val="true"/>
        <w:jc w:val="left"/>
        <w:rPr>
          <w:iCs/>
        </w:rPr>
      </w:pPr>
      <w:r>
        <w:rPr>
          <w:iCs/>
        </w:rPr>
        <w:t>&lt;conector cuantificador&gt;::= “</w:t>
      </w:r>
      <w:r>
        <w:rPr>
          <w:i/>
          <w:i/>
          <w:rtl w:val="true"/>
        </w:rPr>
        <w:t>من المرات</w:t>
      </w:r>
      <w:r>
        <w:rPr>
          <w:i/>
          <w:i/>
        </w:rPr>
        <w:t>،</w:t>
      </w:r>
      <w:r>
        <w:rPr>
          <w:iCs/>
        </w:rPr>
        <w:t>”</w:t>
      </w:r>
    </w:p>
    <w:p>
      <w:pPr>
        <w:pStyle w:val="Normal"/>
        <w:overflowPunct w:val="true"/>
        <w:jc w:val="left"/>
        <w:rPr>
          <w:iCs/>
        </w:rPr>
      </w:pPr>
      <w:r>
        <w:rPr>
          <w:iCs/>
        </w:rPr>
        <w:t>&lt;conector filtros&gt;::= “</w:t>
      </w:r>
      <w:r>
        <w:rPr>
          <w:i/>
          <w:i/>
          <w:rtl w:val="true"/>
        </w:rPr>
        <w:t>التي لديها</w:t>
      </w:r>
      <w:r>
        <w:rPr>
          <w:iCs/>
        </w:rPr>
        <w:t>”</w:t>
      </w:r>
    </w:p>
    <w:p>
      <w:pPr>
        <w:pStyle w:val="Normal"/>
        <w:overflowPunct w:val="true"/>
        <w:jc w:val="left"/>
        <w:rPr>
          <w:iCs/>
        </w:rPr>
      </w:pPr>
      <w:r>
        <w:rPr>
          <w:iCs/>
        </w:rPr>
        <w:t>&lt;conector sumarizador&gt;::= “</w:t>
      </w:r>
      <w:r>
        <w:rPr>
          <w:i/>
          <w:i/>
          <w:rtl w:val="true"/>
        </w:rPr>
        <w:t>لديه</w:t>
      </w:r>
      <w:r>
        <w:rPr>
          <w:iCs/>
        </w:rPr>
        <w:t>”</w:t>
      </w:r>
    </w:p>
    <w:p>
      <w:pPr>
        <w:pStyle w:val="Normal"/>
        <w:suppressAutoHyphens w:val="false"/>
        <w:overflowPunct w:val="true"/>
        <w:spacing w:lineRule="auto" w:line="360" w:before="0" w:after="0"/>
        <w:jc w:val="left"/>
        <w:rPr>
          <w:iCs/>
        </w:rPr>
      </w:pPr>
      <w:r>
        <w:rPr>
          <w:iCs/>
        </w:rPr>
        <w:t>&lt;y’&gt;::= &lt;sujeto&gt;</w:t>
      </w:r>
    </w:p>
    <w:p>
      <w:pPr>
        <w:pStyle w:val="Normal"/>
        <w:suppressAutoHyphens w:val="false"/>
        <w:overflowPunct w:val="true"/>
        <w:spacing w:lineRule="auto" w:line="360" w:before="0" w:after="0"/>
        <w:jc w:val="left"/>
        <w:rPr>
          <w:iCs/>
        </w:rPr>
      </w:pPr>
      <w:r>
        <w:rPr>
          <w:iCs/>
        </w:rPr>
        <w:t>&lt;sujeto&gt;::= &lt;frase simple&gt;</w:t>
      </w:r>
    </w:p>
    <w:p>
      <w:pPr>
        <w:pStyle w:val="Normal"/>
        <w:suppressAutoHyphens w:val="false"/>
        <w:overflowPunct w:val="true"/>
        <w:spacing w:lineRule="auto" w:line="360" w:before="0" w:after="0"/>
        <w:ind w:left="709" w:hanging="709"/>
        <w:jc w:val="left"/>
        <w:rPr>
          <w:iCs/>
        </w:rPr>
      </w:pPr>
      <w:r>
        <w:rPr>
          <w:iCs/>
        </w:rPr>
        <w:t>&lt;Q&gt;::= &lt;cuantificador lingüístico&gt; | &lt;cuantificador numérico&gt;| &lt;cuantificador mixto&gt;| &lt;cuantificador por ciento&gt;</w:t>
      </w:r>
    </w:p>
    <w:p>
      <w:pPr>
        <w:pStyle w:val="Normal"/>
        <w:overflowPunct w:val="true"/>
        <w:spacing w:lineRule="auto" w:line="240"/>
        <w:ind w:left="2835" w:hanging="2835"/>
        <w:jc w:val="left"/>
        <w:rPr>
          <w:iCs/>
        </w:rPr>
      </w:pPr>
      <w:r>
        <w:rPr>
          <w:iCs/>
        </w:rPr>
        <w:t>&lt;cuantificador lingüístico&gt;::= “</w:t>
      </w:r>
      <w:r>
        <w:rPr>
          <w:i/>
          <w:i/>
          <w:rtl w:val="true"/>
        </w:rPr>
        <w:t>تقريباً كل</w:t>
      </w:r>
      <w:r>
        <w:rPr>
          <w:iCs/>
          <w:rtl w:val="true"/>
        </w:rPr>
        <w:t xml:space="preserve">” </w:t>
      </w:r>
      <w:r>
        <w:rPr>
          <w:iCs/>
          <w:rtl w:val="true"/>
        </w:rPr>
        <w:t>| “</w:t>
      </w:r>
      <w:r>
        <w:rPr>
          <w:i/>
          <w:i/>
          <w:rtl w:val="true"/>
        </w:rPr>
        <w:t>أغلبية</w:t>
      </w:r>
      <w:r>
        <w:rPr>
          <w:iCs/>
          <w:rtl w:val="true"/>
        </w:rPr>
        <w:t xml:space="preserve">” </w:t>
      </w:r>
      <w:r>
        <w:rPr>
          <w:iCs/>
          <w:rtl w:val="true"/>
        </w:rPr>
        <w:t>| “</w:t>
      </w:r>
      <w:r>
        <w:rPr>
          <w:i/>
          <w:i/>
          <w:rtl w:val="true"/>
        </w:rPr>
        <w:t>الكثير من</w:t>
      </w:r>
      <w:r>
        <w:rPr>
          <w:iCs/>
          <w:rtl w:val="true"/>
        </w:rPr>
        <w:t>”</w:t>
      </w:r>
      <w:r>
        <w:rPr>
          <w:iCs/>
          <w:rtl w:val="true"/>
        </w:rPr>
        <w:t>| “</w:t>
      </w:r>
      <w:r>
        <w:rPr>
          <w:i/>
          <w:i/>
          <w:rtl w:val="true"/>
        </w:rPr>
        <w:t>تقريباً نصف</w:t>
      </w:r>
      <w:r>
        <w:rPr>
          <w:iCs/>
          <w:rtl w:val="true"/>
        </w:rPr>
        <w:t xml:space="preserve">” </w:t>
      </w:r>
      <w:r>
        <w:rPr>
          <w:iCs/>
          <w:rtl w:val="true"/>
        </w:rPr>
        <w:t>| “</w:t>
      </w:r>
      <w:r>
        <w:rPr>
          <w:i/>
          <w:i/>
          <w:rtl w:val="true"/>
        </w:rPr>
        <w:t>بعض</w:t>
      </w:r>
      <w:r>
        <w:rPr>
          <w:iCs/>
          <w:rtl w:val="true"/>
        </w:rPr>
        <w:t xml:space="preserve">” </w:t>
      </w:r>
      <w:r>
        <w:rPr>
          <w:iCs/>
          <w:rtl w:val="true"/>
        </w:rPr>
        <w:t>| “</w:t>
      </w:r>
      <w:r>
        <w:rPr>
          <w:i/>
          <w:i/>
          <w:rtl w:val="true"/>
        </w:rPr>
        <w:t>القليل من</w:t>
      </w:r>
      <w:r>
        <w:rPr>
          <w:iCs/>
          <w:rtl w:val="true"/>
        </w:rPr>
        <w:t xml:space="preserve">” </w:t>
      </w:r>
      <w:r>
        <w:rPr>
          <w:iCs/>
          <w:rtl w:val="true"/>
        </w:rPr>
        <w:t>| “</w:t>
      </w:r>
      <w:r>
        <w:rPr>
          <w:i/>
          <w:i/>
          <w:rtl w:val="true"/>
        </w:rPr>
        <w:t>قليل جداً من</w:t>
      </w:r>
      <w:bookmarkStart w:id="3799" w:name="_Hlk81218829"/>
      <w:bookmarkEnd w:id="3799"/>
      <w:r>
        <w:rPr>
          <w:iCs/>
        </w:rPr>
        <w:t>”</w:t>
      </w:r>
    </w:p>
    <w:p>
      <w:pPr>
        <w:pStyle w:val="Normal"/>
        <w:overflowPunct w:val="true"/>
        <w:spacing w:lineRule="auto" w:line="240"/>
        <w:ind w:left="2835" w:hanging="2835"/>
        <w:jc w:val="left"/>
        <w:rPr>
          <w:iCs/>
        </w:rPr>
      </w:pPr>
      <w:r>
        <w:rPr>
          <w:iCs/>
        </w:rPr>
        <w:t xml:space="preserve">&lt;cuantificador numérico&gt;::= </w:t>
      </w:r>
      <w:bookmarkStart w:id="3800" w:name="_Hlk81218852"/>
      <w:r>
        <w:rPr>
          <w:iCs/>
        </w:rPr>
        <w:t>“</w:t>
      </w:r>
      <w:r>
        <w:rPr>
          <w:i/>
          <w:i/>
          <w:rtl w:val="true"/>
        </w:rPr>
        <w:t xml:space="preserve">أكثر من </w:t>
      </w:r>
      <w:r>
        <w:rPr>
          <w:i/>
        </w:rPr>
        <w:t>95</w:t>
      </w:r>
      <w:r>
        <w:rPr>
          <w:i/>
          <w:rtl w:val="true"/>
        </w:rPr>
        <w:t>%</w:t>
      </w:r>
      <w:r>
        <w:rPr>
          <w:iCs/>
          <w:rtl w:val="true"/>
        </w:rPr>
        <w:t>” | “</w:t>
      </w:r>
      <w:r>
        <w:rPr>
          <w:i/>
          <w:i/>
          <w:rtl w:val="true"/>
        </w:rPr>
        <w:t xml:space="preserve">حوالي </w:t>
      </w:r>
      <w:r>
        <w:rPr>
          <w:i/>
        </w:rPr>
        <w:t>85</w:t>
      </w:r>
      <w:r>
        <w:rPr>
          <w:i/>
          <w:rtl w:val="true"/>
        </w:rPr>
        <w:t>%</w:t>
      </w:r>
      <w:r>
        <w:rPr>
          <w:iCs/>
          <w:rtl w:val="true"/>
        </w:rPr>
        <w:t>” | “</w:t>
      </w:r>
      <w:r>
        <w:rPr>
          <w:i/>
          <w:i/>
          <w:rtl w:val="true"/>
        </w:rPr>
        <w:t xml:space="preserve">حوالي </w:t>
      </w:r>
      <w:r>
        <w:rPr>
          <w:i/>
        </w:rPr>
        <w:t>75</w:t>
      </w:r>
      <w:r>
        <w:rPr>
          <w:i/>
          <w:rtl w:val="true"/>
        </w:rPr>
        <w:t>%</w:t>
      </w:r>
      <w:r>
        <w:rPr>
          <w:iCs/>
          <w:rtl w:val="true"/>
        </w:rPr>
        <w:t>” |”</w:t>
      </w:r>
      <w:r>
        <w:rPr>
          <w:i/>
          <w:i/>
          <w:rtl w:val="true"/>
        </w:rPr>
        <w:t xml:space="preserve">حوالي </w:t>
      </w:r>
      <w:r>
        <w:rPr>
          <w:i/>
        </w:rPr>
        <w:t>50</w:t>
      </w:r>
      <w:r>
        <w:rPr>
          <w:i/>
          <w:rtl w:val="true"/>
        </w:rPr>
        <w:t>%</w:t>
      </w:r>
      <w:r>
        <w:rPr>
          <w:iCs/>
          <w:rtl w:val="true"/>
        </w:rPr>
        <w:t>” | “</w:t>
      </w:r>
      <w:r>
        <w:rPr>
          <w:i/>
          <w:rtl w:val="true"/>
        </w:rPr>
        <w:t xml:space="preserve"> </w:t>
      </w:r>
      <w:r>
        <w:rPr>
          <w:i/>
          <w:i/>
          <w:rtl w:val="true"/>
        </w:rPr>
        <w:t xml:space="preserve">ما يقارب </w:t>
      </w:r>
      <w:r>
        <w:rPr>
          <w:i/>
        </w:rPr>
        <w:t>33</w:t>
      </w:r>
      <w:r>
        <w:rPr>
          <w:i/>
          <w:rtl w:val="true"/>
        </w:rPr>
        <w:t xml:space="preserve">% </w:t>
      </w:r>
      <w:r>
        <w:rPr>
          <w:iCs/>
          <w:rtl w:val="true"/>
        </w:rPr>
        <w:t>“ | “</w:t>
      </w:r>
      <w:r>
        <w:rPr>
          <w:i/>
          <w:i/>
          <w:rtl w:val="true"/>
        </w:rPr>
        <w:t xml:space="preserve">أقل من </w:t>
      </w:r>
      <w:r>
        <w:rPr>
          <w:i/>
        </w:rPr>
        <w:t>17</w:t>
      </w:r>
      <w:r>
        <w:rPr>
          <w:i/>
          <w:rtl w:val="true"/>
        </w:rPr>
        <w:t>%</w:t>
      </w:r>
      <w:r>
        <w:rPr>
          <w:iCs/>
          <w:rtl w:val="true"/>
        </w:rPr>
        <w:t>” | “</w:t>
      </w:r>
      <w:r>
        <w:rPr>
          <w:i/>
          <w:i/>
          <w:rtl w:val="true"/>
        </w:rPr>
        <w:t xml:space="preserve">أقل من </w:t>
      </w:r>
      <w:r>
        <w:rPr>
          <w:i/>
        </w:rPr>
        <w:t>5</w:t>
      </w:r>
      <w:r>
        <w:rPr>
          <w:i/>
        </w:rPr>
        <w:t>%</w:t>
      </w:r>
      <w:bookmarkEnd w:id="3800"/>
      <w:r>
        <w:rPr>
          <w:iCs/>
        </w:rPr>
        <w:t xml:space="preserve">” </w:t>
      </w:r>
    </w:p>
    <w:p>
      <w:pPr>
        <w:pStyle w:val="Normal"/>
        <w:overflowPunct w:val="true"/>
        <w:spacing w:lineRule="auto" w:line="240"/>
        <w:ind w:left="2552" w:hanging="2552"/>
        <w:jc w:val="left"/>
        <w:rPr>
          <w:iCs/>
        </w:rPr>
      </w:pPr>
      <w:r>
        <w:rPr>
          <w:iCs/>
        </w:rPr>
        <w:t xml:space="preserve">&lt;cuantificador mixto&gt;::= </w:t>
      </w:r>
      <w:bookmarkStart w:id="3801" w:name="_Hlk81218870"/>
      <w:r>
        <w:rPr>
          <w:iCs/>
        </w:rPr>
        <w:t>“</w:t>
      </w:r>
      <w:r>
        <w:rPr>
          <w:i/>
          <w:i/>
          <w:rtl w:val="true"/>
        </w:rPr>
        <w:t>قليل جداً من</w:t>
      </w:r>
      <w:r>
        <w:rPr>
          <w:iCs/>
          <w:rtl w:val="true"/>
        </w:rPr>
        <w:t xml:space="preserve"> </w:t>
      </w:r>
      <w:r>
        <w:rPr>
          <w:iCs/>
          <w:rtl w:val="true"/>
        </w:rPr>
        <w:t>(</w:t>
      </w:r>
      <w:r>
        <w:rPr>
          <w:i/>
          <w:i/>
          <w:rtl w:val="true"/>
        </w:rPr>
        <w:t xml:space="preserve">أقل من </w:t>
      </w:r>
      <w:r>
        <w:rPr>
          <w:i/>
        </w:rPr>
        <w:t>5</w:t>
      </w:r>
      <w:r>
        <w:rPr>
          <w:i/>
          <w:rtl w:val="true"/>
        </w:rPr>
        <w:t>%</w:t>
      </w:r>
      <w:r>
        <w:rPr>
          <w:iCs/>
          <w:rtl w:val="true"/>
        </w:rPr>
        <w:t>)” | “</w:t>
      </w:r>
      <w:r>
        <w:rPr>
          <w:i/>
          <w:i/>
          <w:rtl w:val="true"/>
        </w:rPr>
        <w:t>القليل</w:t>
      </w:r>
      <w:r>
        <w:rPr>
          <w:iCs/>
          <w:rtl w:val="true"/>
        </w:rPr>
        <w:t xml:space="preserve"> </w:t>
      </w:r>
      <w:r>
        <w:rPr>
          <w:iCs/>
          <w:rtl w:val="true"/>
        </w:rPr>
        <w:t>(</w:t>
      </w:r>
      <w:r>
        <w:rPr>
          <w:i/>
          <w:i/>
          <w:rtl w:val="true"/>
        </w:rPr>
        <w:t xml:space="preserve">حوالي </w:t>
      </w:r>
      <w:r>
        <w:rPr>
          <w:i/>
        </w:rPr>
        <w:t>15</w:t>
      </w:r>
      <w:r>
        <w:rPr>
          <w:i/>
          <w:rtl w:val="true"/>
        </w:rPr>
        <w:t>%</w:t>
      </w:r>
      <w:r>
        <w:rPr>
          <w:iCs/>
          <w:rtl w:val="true"/>
        </w:rPr>
        <w:t>)” | “</w:t>
      </w:r>
      <w:r>
        <w:rPr>
          <w:i/>
          <w:i/>
          <w:rtl w:val="true"/>
        </w:rPr>
        <w:t>بعض</w:t>
      </w:r>
      <w:r>
        <w:rPr>
          <w:iCs/>
          <w:rtl w:val="true"/>
        </w:rPr>
        <w:t xml:space="preserve"> </w:t>
      </w:r>
      <w:r>
        <w:rPr>
          <w:iCs/>
          <w:rtl w:val="true"/>
        </w:rPr>
        <w:t>(</w:t>
      </w:r>
      <w:r>
        <w:rPr>
          <w:i/>
          <w:i/>
          <w:rtl w:val="true"/>
        </w:rPr>
        <w:t xml:space="preserve">حوالي </w:t>
      </w:r>
      <w:r>
        <w:rPr>
          <w:i/>
        </w:rPr>
        <w:t>33</w:t>
      </w:r>
      <w:r>
        <w:rPr>
          <w:i/>
          <w:rtl w:val="true"/>
        </w:rPr>
        <w:t>%</w:t>
      </w:r>
      <w:r>
        <w:rPr>
          <w:iCs/>
          <w:rtl w:val="true"/>
        </w:rPr>
        <w:t>)” | “</w:t>
      </w:r>
      <w:r>
        <w:rPr>
          <w:i/>
          <w:i/>
          <w:rtl w:val="true"/>
        </w:rPr>
        <w:t>تقريباً النصف</w:t>
      </w:r>
      <w:r>
        <w:rPr>
          <w:iCs/>
          <w:rtl w:val="true"/>
        </w:rPr>
        <w:t xml:space="preserve">” </w:t>
      </w:r>
      <w:r>
        <w:rPr>
          <w:iCs/>
          <w:rtl w:val="true"/>
        </w:rPr>
        <w:t>| “</w:t>
      </w:r>
      <w:r>
        <w:rPr>
          <w:i/>
          <w:i/>
          <w:rtl w:val="true"/>
        </w:rPr>
        <w:t>الكثير</w:t>
      </w:r>
      <w:r>
        <w:rPr>
          <w:iCs/>
          <w:rtl w:val="true"/>
        </w:rPr>
        <w:t xml:space="preserve"> </w:t>
      </w:r>
      <w:r>
        <w:rPr>
          <w:iCs/>
          <w:rtl w:val="true"/>
        </w:rPr>
        <w:t>(</w:t>
      </w:r>
      <w:r>
        <w:rPr>
          <w:i/>
          <w:i/>
          <w:rtl w:val="true"/>
        </w:rPr>
        <w:t xml:space="preserve">ما يقارب </w:t>
      </w:r>
      <w:r>
        <w:rPr>
          <w:i/>
        </w:rPr>
        <w:t>65</w:t>
      </w:r>
      <w:r>
        <w:rPr>
          <w:i/>
          <w:rtl w:val="true"/>
        </w:rPr>
        <w:t>%</w:t>
      </w:r>
      <w:r>
        <w:rPr>
          <w:iCs/>
          <w:rtl w:val="true"/>
        </w:rPr>
        <w:t>)” | “</w:t>
      </w:r>
      <w:r>
        <w:rPr>
          <w:i/>
          <w:i/>
          <w:rtl w:val="true"/>
        </w:rPr>
        <w:t>أغلبية</w:t>
      </w:r>
      <w:r>
        <w:rPr>
          <w:iCs/>
          <w:rtl w:val="true"/>
        </w:rPr>
        <w:t xml:space="preserve"> </w:t>
      </w:r>
      <w:r>
        <w:rPr>
          <w:iCs/>
          <w:rtl w:val="true"/>
        </w:rPr>
        <w:t>(</w:t>
      </w:r>
      <w:r>
        <w:rPr>
          <w:i/>
          <w:i/>
          <w:rtl w:val="true"/>
        </w:rPr>
        <w:t xml:space="preserve">حوالي </w:t>
      </w:r>
      <w:r>
        <w:rPr>
          <w:i/>
        </w:rPr>
        <w:t>83</w:t>
      </w:r>
      <w:r>
        <w:rPr>
          <w:i/>
          <w:rtl w:val="true"/>
        </w:rPr>
        <w:t>%</w:t>
      </w:r>
      <w:r>
        <w:rPr>
          <w:iCs/>
          <w:rtl w:val="true"/>
        </w:rPr>
        <w:t>)” | “</w:t>
      </w:r>
      <w:r>
        <w:rPr>
          <w:i/>
          <w:i/>
          <w:rtl w:val="true"/>
        </w:rPr>
        <w:t>تقريباً كل</w:t>
      </w:r>
      <w:bookmarkEnd w:id="3801"/>
      <w:r>
        <w:rPr>
          <w:iCs/>
        </w:rPr>
        <w:t>”</w:t>
      </w:r>
    </w:p>
    <w:p>
      <w:pPr>
        <w:pStyle w:val="Normal"/>
        <w:suppressAutoHyphens w:val="false"/>
        <w:overflowPunct w:val="true"/>
        <w:spacing w:lineRule="auto" w:line="360" w:before="0" w:after="0"/>
        <w:ind w:left="2552" w:hanging="2552"/>
        <w:jc w:val="left"/>
        <w:rPr>
          <w:iCs/>
        </w:rPr>
      </w:pPr>
      <w:r>
        <w:rPr>
          <w:iCs/>
        </w:rPr>
        <w:t xml:space="preserve">&lt;cuantificador porciento&gt;::= &lt;conector porciento&gt; &lt;valor numérico en porciento&gt; </w:t>
      </w:r>
    </w:p>
    <w:p>
      <w:pPr>
        <w:pStyle w:val="Normal"/>
        <w:suppressAutoHyphens w:val="false"/>
        <w:overflowPunct w:val="true"/>
        <w:spacing w:lineRule="auto" w:line="360" w:before="0" w:after="0"/>
        <w:jc w:val="left"/>
        <w:rPr>
          <w:i/>
          <w:i/>
        </w:rPr>
      </w:pPr>
      <w:r>
        <w:rPr>
          <w:iCs/>
        </w:rPr>
        <w:t>&lt; conector porciento&gt;::= “</w:t>
      </w:r>
      <w:r>
        <w:rPr>
          <w:i/>
          <w:i/>
          <w:rtl w:val="true"/>
        </w:rPr>
        <w:t>في</w:t>
      </w:r>
      <w:r>
        <w:rPr>
          <w:iCs/>
        </w:rPr>
        <w:t>”</w:t>
      </w:r>
      <w:r>
        <w:rPr>
          <w:i/>
          <w:i/>
        </w:rPr>
        <w:t xml:space="preserve"> </w:t>
      </w:r>
    </w:p>
    <w:p>
      <w:pPr>
        <w:pStyle w:val="Normal"/>
        <w:suppressAutoHyphens w:val="false"/>
        <w:overflowPunct w:val="true"/>
        <w:spacing w:lineRule="auto" w:line="360" w:before="0" w:after="0"/>
        <w:jc w:val="left"/>
        <w:rPr>
          <w:iCs/>
        </w:rPr>
      </w:pPr>
      <w:r>
        <w:rPr>
          <w:i/>
        </w:rPr>
        <w:t>&lt;</w:t>
      </w:r>
      <w:r>
        <w:rPr>
          <w:iCs/>
        </w:rPr>
        <w:t>S&gt;::= &lt;frase&gt;</w:t>
      </w:r>
    </w:p>
    <w:p>
      <w:pPr>
        <w:pStyle w:val="Normal"/>
        <w:suppressAutoHyphens w:val="false"/>
        <w:overflowPunct w:val="true"/>
        <w:spacing w:lineRule="auto" w:line="360" w:before="0" w:after="0"/>
        <w:jc w:val="left"/>
        <w:rPr>
          <w:iCs/>
        </w:rPr>
      </w:pPr>
      <w:r>
        <w:rPr>
          <w:iCs/>
        </w:rPr>
        <w:t>&lt;R&gt;::= &lt;frase&gt;</w:t>
      </w:r>
    </w:p>
    <w:p>
      <w:pPr>
        <w:pStyle w:val="Normal"/>
        <w:suppressAutoHyphens w:val="false"/>
        <w:overflowPunct w:val="true"/>
        <w:spacing w:lineRule="auto" w:line="360" w:before="0" w:after="0"/>
        <w:jc w:val="left"/>
        <w:rPr>
          <w:iCs/>
        </w:rPr>
      </w:pPr>
      <w:r>
        <w:rPr>
          <w:iCs/>
        </w:rPr>
        <w:t>&lt;frase&gt;::= &lt;frase&gt; &lt;operador lógico&gt; &lt;frase simple&gt; | &lt;frase simple&gt;</w:t>
      </w:r>
    </w:p>
    <w:p>
      <w:pPr>
        <w:pStyle w:val="Normal"/>
        <w:suppressAutoHyphens w:val="false"/>
        <w:overflowPunct w:val="true"/>
        <w:spacing w:lineRule="auto" w:line="360" w:before="0" w:after="0"/>
        <w:jc w:val="left"/>
        <w:rPr>
          <w:iCs/>
        </w:rPr>
      </w:pPr>
      <w:r>
        <w:rPr>
          <w:iCs/>
        </w:rPr>
        <w:t>&lt;operador lógico&gt;::= &lt;conjunción&gt; | &lt;disyunción&gt;</w:t>
      </w:r>
    </w:p>
    <w:p>
      <w:pPr>
        <w:pStyle w:val="Normal"/>
        <w:ind w:left="1276" w:hanging="1134"/>
        <w:rPr>
          <w:lang w:eastAsia="ja-JP"/>
        </w:rPr>
      </w:pPr>
      <w:r>
        <w:rPr>
          <w:b/>
          <w:bCs w:val="false"/>
          <w:iCs/>
        </w:rPr>
        <w:t>Ejemplo:</w:t>
      </w:r>
      <w:r>
        <w:rPr>
          <w:lang w:eastAsia="ja-JP"/>
        </w:rPr>
        <w:t xml:space="preserve"> </w:t>
      </w:r>
      <w:r>
        <w:rPr>
          <w:rtl w:val="true"/>
          <w:lang w:eastAsia="ja-JP"/>
        </w:rPr>
        <w:t xml:space="preserve">قليل جداً من السجلات في قاعدة البيانات تشير إلى أن هناك نسبة </w:t>
      </w:r>
      <w:r>
        <w:rPr>
          <w:lang w:eastAsia="ja-JP"/>
        </w:rPr>
        <w:t>94.0</w:t>
      </w:r>
      <w:r>
        <w:rPr>
          <w:rtl w:val="true"/>
          <w:lang w:eastAsia="ja-JP"/>
        </w:rPr>
        <w:t xml:space="preserve">% </w:t>
      </w:r>
      <w:r>
        <w:rPr>
          <w:rtl w:val="true"/>
          <w:lang w:eastAsia="ja-JP"/>
        </w:rPr>
        <w:t>أن المشاريع التي لديها جودة بيانات سيئة لديها تقييم سيء</w:t>
      </w:r>
    </w:p>
    <w:p>
      <w:pPr>
        <w:pStyle w:val="Normal"/>
        <w:ind w:left="1134" w:hanging="1134"/>
        <w:rPr>
          <w:i/>
          <w:i/>
          <w:iCs/>
          <w:lang w:eastAsia="ja-JP"/>
        </w:rPr>
      </w:pPr>
      <w:r>
        <w:rPr>
          <w:lang w:eastAsia="ja-JP"/>
        </w:rPr>
        <w:t>Traducción: “Muy pocos registros en la base de datos, reportan que en el 94.0% de las veces, los proyectos que tienen mala calidad del dato tienen mala evaluación.”</w:t>
      </w:r>
    </w:p>
    <w:p>
      <w:pPr>
        <w:pStyle w:val="Normal"/>
        <w:rPr>
          <w:iCs/>
        </w:rPr>
      </w:pPr>
      <w:r>
        <w:rPr>
          <w:iCs/>
        </w:rPr>
        <w:t>Donde:</w:t>
      </w:r>
    </w:p>
    <w:tbl>
      <w:tblPr>
        <w:tblStyle w:val="Tablaconcuadrcula"/>
        <w:tblW w:w="6232" w:type="dxa"/>
        <w:jc w:val="left"/>
        <w:tblInd w:w="0" w:type="dxa"/>
        <w:tblCellMar>
          <w:top w:w="0" w:type="dxa"/>
          <w:left w:w="123" w:type="dxa"/>
          <w:bottom w:w="0" w:type="dxa"/>
          <w:right w:w="108" w:type="dxa"/>
        </w:tblCellMar>
        <w:tblLook w:val="04a0" w:noVBand="1" w:noHBand="0" w:lastColumn="0" w:firstColumn="1" w:lastRow="0" w:firstRow="1"/>
      </w:tblPr>
      <w:tblGrid>
        <w:gridCol w:w="1984"/>
        <w:gridCol w:w="4247"/>
      </w:tblGrid>
      <w:tr>
        <w:trPr/>
        <w:tc>
          <w:tcPr>
            <w:tcW w:w="1984" w:type="dxa"/>
            <w:tcBorders>
              <w:top w:val="nil"/>
              <w:left w:val="nil"/>
              <w:bottom w:val="nil"/>
              <w:right w:val="nil"/>
              <w:insideH w:val="nil"/>
              <w:insideV w:val="nil"/>
            </w:tcBorders>
            <w:shd w:color="auto" w:fill="auto" w:val="clear"/>
            <w:vAlign w:val="center"/>
          </w:tcPr>
          <w:p>
            <w:pPr>
              <w:pStyle w:val="Normal"/>
              <w:widowControl/>
              <w:suppressAutoHyphens w:val="true"/>
              <w:bidi w:val="0"/>
              <w:spacing w:lineRule="auto" w:line="312" w:before="80" w:after="60"/>
              <w:jc w:val="both"/>
              <w:textAlignment w:val="baseline"/>
              <w:rPr>
                <w:iCs/>
              </w:rPr>
            </w:pPr>
            <w:r>
              <w:rPr>
                <w:i/>
                <w:lang w:eastAsia="ja-JP"/>
              </w:rPr>
              <w:t xml:space="preserve">&lt;R&gt;: </w:t>
            </w:r>
            <w:r>
              <w:rPr>
                <w:iCs/>
                <w:rtl w:val="true"/>
              </w:rPr>
              <w:t>جودة بيانات سيئة</w:t>
            </w:r>
          </w:p>
        </w:tc>
        <w:tc>
          <w:tcPr>
            <w:tcW w:w="4247" w:type="dxa"/>
            <w:tcBorders>
              <w:top w:val="nil"/>
              <w:left w:val="nil"/>
              <w:bottom w:val="nil"/>
              <w:right w:val="nil"/>
              <w:insideH w:val="nil"/>
              <w:insideV w:val="nil"/>
            </w:tcBorders>
            <w:shd w:color="auto" w:fill="auto" w:val="clear"/>
            <w:vAlign w:val="center"/>
          </w:tcPr>
          <w:p>
            <w:pPr>
              <w:pStyle w:val="Normal"/>
              <w:widowControl/>
              <w:suppressAutoHyphens w:val="true"/>
              <w:bidi w:val="0"/>
              <w:spacing w:lineRule="auto" w:line="312" w:before="80" w:after="60"/>
              <w:jc w:val="both"/>
              <w:textAlignment w:val="baseline"/>
              <w:rPr>
                <w:iCs/>
              </w:rPr>
            </w:pPr>
            <w:r>
              <w:rPr>
                <w:lang w:eastAsia="ja-JP"/>
              </w:rPr>
              <w:t xml:space="preserve">→  </w:t>
            </w:r>
            <w:r>
              <w:rPr>
                <w:lang w:eastAsia="ja-JP"/>
              </w:rPr>
              <w:t>mala calidad del dato</w:t>
            </w:r>
          </w:p>
        </w:tc>
      </w:tr>
      <w:tr>
        <w:trPr/>
        <w:tc>
          <w:tcPr>
            <w:tcW w:w="1984" w:type="dxa"/>
            <w:tcBorders>
              <w:top w:val="nil"/>
              <w:left w:val="nil"/>
              <w:bottom w:val="nil"/>
              <w:right w:val="nil"/>
              <w:insideH w:val="nil"/>
              <w:insideV w:val="nil"/>
            </w:tcBorders>
            <w:shd w:color="auto" w:fill="auto" w:val="clear"/>
            <w:vAlign w:val="center"/>
          </w:tcPr>
          <w:p>
            <w:pPr>
              <w:pStyle w:val="Normal"/>
              <w:widowControl/>
              <w:suppressAutoHyphens w:val="true"/>
              <w:bidi w:val="0"/>
              <w:spacing w:lineRule="auto" w:line="312" w:before="80" w:after="60"/>
              <w:jc w:val="both"/>
              <w:textAlignment w:val="baseline"/>
              <w:rPr>
                <w:i/>
                <w:i/>
                <w:lang w:eastAsia="ja-JP"/>
              </w:rPr>
            </w:pPr>
            <w:r>
              <w:rPr>
                <w:i/>
                <w:lang w:eastAsia="ja-JP"/>
              </w:rPr>
              <w:t xml:space="preserve">&lt;y’&gt;: </w:t>
            </w:r>
            <w:r>
              <w:rPr>
                <w:iCs/>
                <w:rtl w:val="true"/>
              </w:rPr>
              <w:t>مشاريع</w:t>
            </w:r>
          </w:p>
        </w:tc>
        <w:tc>
          <w:tcPr>
            <w:tcW w:w="4247" w:type="dxa"/>
            <w:tcBorders>
              <w:top w:val="nil"/>
              <w:left w:val="nil"/>
              <w:bottom w:val="nil"/>
              <w:right w:val="nil"/>
              <w:insideH w:val="nil"/>
              <w:insideV w:val="nil"/>
            </w:tcBorders>
            <w:shd w:color="auto" w:fill="auto" w:val="clear"/>
            <w:vAlign w:val="center"/>
          </w:tcPr>
          <w:p>
            <w:pPr>
              <w:pStyle w:val="Normal"/>
              <w:widowControl/>
              <w:suppressAutoHyphens w:val="true"/>
              <w:bidi w:val="0"/>
              <w:spacing w:lineRule="auto" w:line="312" w:before="80" w:after="60"/>
              <w:jc w:val="both"/>
              <w:textAlignment w:val="baseline"/>
              <w:rPr>
                <w:iCs/>
              </w:rPr>
            </w:pPr>
            <w:r>
              <w:rPr>
                <w:lang w:eastAsia="ja-JP"/>
              </w:rPr>
              <w:t xml:space="preserve">→  </w:t>
            </w:r>
            <w:r>
              <w:rPr>
                <w:iCs/>
              </w:rPr>
              <w:t>proyectos</w:t>
            </w:r>
          </w:p>
        </w:tc>
      </w:tr>
      <w:tr>
        <w:trPr/>
        <w:tc>
          <w:tcPr>
            <w:tcW w:w="1984" w:type="dxa"/>
            <w:tcBorders>
              <w:top w:val="nil"/>
              <w:left w:val="nil"/>
              <w:bottom w:val="nil"/>
              <w:right w:val="nil"/>
              <w:insideH w:val="nil"/>
              <w:insideV w:val="nil"/>
            </w:tcBorders>
            <w:shd w:color="auto" w:fill="auto" w:val="clear"/>
            <w:vAlign w:val="center"/>
          </w:tcPr>
          <w:p>
            <w:pPr>
              <w:pStyle w:val="Normal"/>
              <w:widowControl/>
              <w:suppressAutoHyphens w:val="true"/>
              <w:bidi w:val="0"/>
              <w:spacing w:lineRule="auto" w:line="312" w:before="80" w:after="60"/>
              <w:jc w:val="both"/>
              <w:textAlignment w:val="baseline"/>
              <w:rPr>
                <w:i/>
                <w:i/>
                <w:lang w:eastAsia="ja-JP"/>
              </w:rPr>
            </w:pPr>
            <w:r>
              <w:rPr>
                <w:i/>
                <w:lang w:eastAsia="ja-JP"/>
              </w:rPr>
              <w:t xml:space="preserve">&lt;S&gt;: </w:t>
            </w:r>
            <w:r>
              <w:rPr>
                <w:iCs/>
                <w:rtl w:val="true"/>
              </w:rPr>
              <w:t>تقييم سيء</w:t>
            </w:r>
          </w:p>
        </w:tc>
        <w:tc>
          <w:tcPr>
            <w:tcW w:w="4247" w:type="dxa"/>
            <w:tcBorders>
              <w:top w:val="nil"/>
              <w:left w:val="nil"/>
              <w:bottom w:val="nil"/>
              <w:right w:val="nil"/>
              <w:insideH w:val="nil"/>
              <w:insideV w:val="nil"/>
            </w:tcBorders>
            <w:shd w:color="auto" w:fill="auto" w:val="clear"/>
            <w:vAlign w:val="center"/>
          </w:tcPr>
          <w:p>
            <w:pPr>
              <w:pStyle w:val="Normal"/>
              <w:widowControl/>
              <w:suppressAutoHyphens w:val="true"/>
              <w:bidi w:val="0"/>
              <w:spacing w:lineRule="auto" w:line="312" w:before="80" w:after="60"/>
              <w:jc w:val="both"/>
              <w:textAlignment w:val="baseline"/>
              <w:rPr>
                <w:iCs/>
              </w:rPr>
            </w:pPr>
            <w:r>
              <w:rPr>
                <w:lang w:eastAsia="ja-JP"/>
              </w:rPr>
              <w:t xml:space="preserve">→  </w:t>
            </w:r>
            <w:r>
              <w:rPr>
                <w:lang w:eastAsia="ja-JP"/>
              </w:rPr>
              <w:t>mala evaluación</w:t>
            </w:r>
          </w:p>
        </w:tc>
      </w:tr>
      <w:tr>
        <w:trPr/>
        <w:tc>
          <w:tcPr>
            <w:tcW w:w="1984" w:type="dxa"/>
            <w:tcBorders>
              <w:top w:val="nil"/>
              <w:left w:val="nil"/>
              <w:bottom w:val="nil"/>
              <w:right w:val="nil"/>
              <w:insideH w:val="nil"/>
              <w:insideV w:val="nil"/>
            </w:tcBorders>
            <w:shd w:color="auto" w:fill="auto" w:val="clear"/>
            <w:vAlign w:val="center"/>
          </w:tcPr>
          <w:p>
            <w:pPr>
              <w:pStyle w:val="Normal"/>
              <w:widowControl/>
              <w:suppressAutoHyphens w:val="true"/>
              <w:bidi w:val="0"/>
              <w:spacing w:lineRule="auto" w:line="312" w:before="80" w:after="60"/>
              <w:jc w:val="both"/>
              <w:textAlignment w:val="baseline"/>
              <w:rPr>
                <w:iCs/>
                <w:lang w:eastAsia="ja-JP"/>
              </w:rPr>
            </w:pPr>
            <w:r>
              <w:rPr>
                <w:i/>
              </w:rPr>
              <w:t>&lt;D&gt;:</w:t>
            </w:r>
            <w:r>
              <w:rPr>
                <w:iCs/>
              </w:rPr>
              <w:t xml:space="preserve"> </w:t>
            </w:r>
            <w:r>
              <w:rPr>
                <w:iCs/>
                <w:rtl w:val="true"/>
              </w:rPr>
              <w:t>قليل جدا</w:t>
            </w:r>
          </w:p>
          <w:p>
            <w:pPr>
              <w:pStyle w:val="Normal"/>
              <w:spacing w:before="120" w:after="60"/>
              <w:rPr>
                <w:i/>
                <w:i/>
                <w:lang w:eastAsia="ja-JP"/>
              </w:rPr>
            </w:pPr>
            <w:r>
              <w:rPr>
                <w:i/>
              </w:rPr>
              <w:t xml:space="preserve">&lt;Q&gt;: </w:t>
            </w:r>
            <w:r>
              <w:rPr>
                <w:lang w:eastAsia="ja-JP"/>
              </w:rPr>
              <w:t>%94.0</w:t>
            </w:r>
          </w:p>
        </w:tc>
        <w:tc>
          <w:tcPr>
            <w:tcW w:w="4247" w:type="dxa"/>
            <w:tcBorders>
              <w:top w:val="nil"/>
              <w:left w:val="nil"/>
              <w:bottom w:val="nil"/>
              <w:right w:val="nil"/>
              <w:insideH w:val="nil"/>
              <w:insideV w:val="nil"/>
            </w:tcBorders>
            <w:shd w:color="auto" w:fill="auto" w:val="clear"/>
          </w:tcPr>
          <w:p>
            <w:pPr>
              <w:pStyle w:val="Normal"/>
              <w:widowControl/>
              <w:suppressAutoHyphens w:val="true"/>
              <w:bidi w:val="0"/>
              <w:spacing w:lineRule="auto" w:line="312" w:before="80" w:after="60"/>
              <w:jc w:val="both"/>
              <w:textAlignment w:val="baseline"/>
              <w:rPr>
                <w:lang w:eastAsia="ja-JP"/>
              </w:rPr>
            </w:pPr>
            <w:r>
              <w:rPr>
                <w:lang w:eastAsia="ja-JP"/>
              </w:rPr>
              <w:t xml:space="preserve">→  </w:t>
            </w:r>
            <w:r>
              <w:rPr>
                <w:lang w:eastAsia="ja-JP"/>
              </w:rPr>
              <w:t>muy pocos</w:t>
            </w:r>
          </w:p>
          <w:p>
            <w:pPr>
              <w:pStyle w:val="Normal"/>
              <w:widowControl/>
              <w:suppressAutoHyphens w:val="true"/>
              <w:bidi w:val="0"/>
              <w:spacing w:lineRule="auto" w:line="312" w:before="80" w:after="60"/>
              <w:jc w:val="both"/>
              <w:textAlignment w:val="baseline"/>
              <w:rPr>
                <w:iCs/>
              </w:rPr>
            </w:pPr>
            <w:r>
              <w:rPr>
                <w:lang w:eastAsia="ja-JP"/>
              </w:rPr>
              <w:t xml:space="preserve">→  </w:t>
            </w:r>
            <w:r>
              <w:rPr>
                <w:lang w:eastAsia="ja-JP"/>
              </w:rPr>
              <w:t>94.0%</w:t>
            </w:r>
          </w:p>
        </w:tc>
      </w:tr>
    </w:tbl>
    <w:p>
      <w:pPr>
        <w:pStyle w:val="Normal"/>
        <w:suppressAutoHyphens w:val="false"/>
        <w:overflowPunct w:val="true"/>
        <w:spacing w:lineRule="auto" w:line="360" w:before="0" w:after="0"/>
        <w:jc w:val="left"/>
        <w:rPr>
          <w:i/>
          <w:i/>
        </w:rPr>
      </w:pPr>
      <w:r>
        <w:rPr>
          <w:i/>
        </w:rPr>
      </w:r>
    </w:p>
    <w:p>
      <w:pPr>
        <w:pStyle w:val="Heading2"/>
        <w:numPr>
          <w:ilvl w:val="1"/>
          <w:numId w:val="80"/>
        </w:numPr>
        <w:rPr/>
      </w:pPr>
      <w:bookmarkStart w:id="3802" w:name="_Toc84598964"/>
      <w:bookmarkStart w:id="3803" w:name="_Ref70270350"/>
      <w:r>
        <w:rPr/>
        <w:t xml:space="preserve">Anexo </w:t>
      </w:r>
      <w:r>
        <w:rPr/>
        <w:fldChar w:fldCharType="begin"/>
      </w:r>
      <w:r>
        <w:instrText> SEQ Anexo \* ARABIC </w:instrText>
      </w:r>
      <w:r>
        <w:fldChar w:fldCharType="separate"/>
      </w:r>
      <w:r>
        <w:t>10</w:t>
      </w:r>
      <w:r>
        <w:fldChar w:fldCharType="end"/>
      </w:r>
      <w:bookmarkEnd w:id="3802"/>
      <w:bookmarkEnd w:id="3803"/>
      <w:r>
        <w:rPr/>
        <w:t>. Ejemplos de diccionarios</w:t>
      </w:r>
    </w:p>
    <w:p>
      <w:pPr>
        <w:pStyle w:val="Normal"/>
        <w:rPr/>
      </w:pPr>
      <w:r>
        <w:rPr/>
        <w:t>Estos son fragmentos de diccionarios construidos en los idiomas utilizados para la validación de los resúmenes lingüísticos con enfoque multilingüe, en el entorno de gestión de proyectos.</w:t>
      </w:r>
    </w:p>
    <w:p>
      <w:pPr>
        <w:pStyle w:val="Heading3"/>
        <w:numPr>
          <w:ilvl w:val="2"/>
          <w:numId w:val="80"/>
        </w:numPr>
        <w:rPr/>
      </w:pPr>
      <w:bookmarkStart w:id="3804" w:name="_Ref81238928"/>
      <w:bookmarkEnd w:id="3804"/>
      <w:r>
        <w:rPr/>
        <w:t>Fragmento de diccionario de LNC en español para el dominio de gestión de proyectos</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fuzzy_001:</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name: icd</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type: :symbolic</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n_sets: 0</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eastAsia="en-US"/>
        </w:rPr>
        <w:t>description: el Índice de Calidad del Dato</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eastAsia="en-US"/>
        </w:rPr>
        <w:t xml:space="preserve">  </w:t>
      </w:r>
      <w:r>
        <w:rPr>
          <w:rFonts w:cs="Courier New" w:ascii="Courier New" w:hAnsi="Courier New"/>
          <w:bCs w:val="false"/>
          <w:color w:val="00000A"/>
          <w:lang w:val="en-US" w:eastAsia="en-US"/>
        </w:rPr>
        <w:t>label:</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icd_1: 1</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icd_2: 2</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icd_3: 3</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translation:</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eastAsia="en-US"/>
        </w:rPr>
        <w:t>icd_1: buena calidad del dato</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eastAsia="en-US"/>
        </w:rPr>
      </w:pPr>
      <w:r>
        <w:rPr>
          <w:rFonts w:cs="Courier New" w:ascii="Courier New" w:hAnsi="Courier New"/>
          <w:bCs w:val="false"/>
          <w:color w:val="00000A"/>
          <w:lang w:eastAsia="en-US"/>
        </w:rPr>
        <w:t xml:space="preserve">    </w:t>
      </w:r>
      <w:r>
        <w:rPr>
          <w:rFonts w:cs="Courier New" w:ascii="Courier New" w:hAnsi="Courier New"/>
          <w:bCs w:val="false"/>
          <w:color w:val="00000A"/>
          <w:lang w:eastAsia="en-US"/>
        </w:rPr>
        <w:t>icd_2: mala calidad del dato</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eastAsia="en-US"/>
        </w:rPr>
      </w:pPr>
      <w:r>
        <w:rPr>
          <w:rFonts w:cs="Courier New" w:ascii="Courier New" w:hAnsi="Courier New"/>
          <w:bCs w:val="false"/>
          <w:color w:val="00000A"/>
          <w:lang w:eastAsia="en-US"/>
        </w:rPr>
        <w:t xml:space="preserve">    </w:t>
      </w:r>
      <w:r>
        <w:rPr>
          <w:rFonts w:cs="Courier New" w:ascii="Courier New" w:hAnsi="Courier New"/>
          <w:bCs w:val="false"/>
          <w:color w:val="00000A"/>
          <w:lang w:eastAsia="en-US"/>
        </w:rPr>
        <w:t>icd_3: calidad del dato regular</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eastAsia="en-US"/>
        </w:rPr>
      </w:pPr>
      <w:r>
        <w:rPr>
          <w:rFonts w:cs="Courier New" w:ascii="Courier New" w:hAnsi="Courier New"/>
          <w:bCs w:val="false"/>
          <w:color w:val="00000A"/>
          <w:lang w:eastAsia="en-US"/>
        </w:rPr>
        <w:t xml:space="preserve">  </w:t>
      </w:r>
      <w:r>
        <w:rPr>
          <w:rFonts w:cs="Courier New" w:ascii="Courier New" w:hAnsi="Courier New"/>
          <w:bCs w:val="false"/>
          <w:color w:val="00000A"/>
          <w:lang w:eastAsia="en-US"/>
        </w:rPr>
        <w:t>short_translation:</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eastAsia="en-US"/>
        </w:rPr>
      </w:pPr>
      <w:r>
        <w:rPr>
          <w:rFonts w:cs="Courier New" w:ascii="Courier New" w:hAnsi="Courier New"/>
          <w:bCs w:val="false"/>
          <w:color w:val="00000A"/>
          <w:lang w:eastAsia="en-US"/>
        </w:rPr>
        <w:t xml:space="preserve">    </w:t>
      </w:r>
      <w:r>
        <w:rPr>
          <w:rFonts w:cs="Courier New" w:ascii="Courier New" w:hAnsi="Courier New"/>
          <w:bCs w:val="false"/>
          <w:color w:val="00000A"/>
          <w:lang w:eastAsia="en-US"/>
        </w:rPr>
        <w:t>icd_1: '1'</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eastAsia="en-US"/>
        </w:rPr>
      </w:pPr>
      <w:r>
        <w:rPr>
          <w:rFonts w:cs="Courier New" w:ascii="Courier New" w:hAnsi="Courier New"/>
          <w:bCs w:val="false"/>
          <w:color w:val="00000A"/>
          <w:lang w:eastAsia="en-US"/>
        </w:rPr>
        <w:t xml:space="preserve">    </w:t>
      </w:r>
      <w:r>
        <w:rPr>
          <w:rFonts w:cs="Courier New" w:ascii="Courier New" w:hAnsi="Courier New"/>
          <w:bCs w:val="false"/>
          <w:color w:val="00000A"/>
          <w:lang w:eastAsia="en-US"/>
        </w:rPr>
        <w:t>icd_2: '2'</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false"/>
        <w:overflowPunct w:val="true"/>
        <w:spacing w:lineRule="auto" w:line="240" w:before="0" w:after="0"/>
        <w:jc w:val="left"/>
        <w:textAlignment w:val="auto"/>
        <w:rPr>
          <w:rFonts w:ascii="Courier New" w:hAnsi="Courier New" w:eastAsia="Times New Roman" w:cs="Courier New"/>
          <w:bCs w:val="false"/>
          <w:color w:val="00000A"/>
          <w:sz w:val="20"/>
          <w:szCs w:val="20"/>
          <w:lang w:eastAsia="ja-JP"/>
        </w:rPr>
      </w:pPr>
      <w:r>
        <w:rPr>
          <w:rFonts w:cs="Courier New" w:ascii="Courier New" w:hAnsi="Courier New"/>
          <w:bCs w:val="false"/>
          <w:color w:val="00000A"/>
          <w:lang w:eastAsia="en-US"/>
        </w:rPr>
        <w:t xml:space="preserve">    </w:t>
      </w:r>
      <w:r>
        <w:rPr>
          <w:rFonts w:cs="Courier New" w:ascii="Courier New" w:hAnsi="Courier New"/>
          <w:bCs w:val="false"/>
          <w:color w:val="00000A"/>
          <w:lang w:eastAsia="en-US"/>
        </w:rPr>
        <w:t>icd_3: '3'</w:t>
      </w:r>
    </w:p>
    <w:p>
      <w:pPr>
        <w:pStyle w:val="Heading3"/>
        <w:numPr>
          <w:ilvl w:val="2"/>
          <w:numId w:val="80"/>
        </w:numPr>
        <w:rPr/>
      </w:pPr>
      <w:r>
        <w:rPr/>
        <w:t>Fragmento de diccionario de LNC en ingés para el dominio de gestión de proyectos</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fuzzy_001:</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name: icd</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type: :symbolic</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n_sets: 0</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description: data quality index</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label:</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icd_1: 1</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icd_2: 2</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icd_3: 3</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translation:</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icd_1: good data quality</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icd_2: poor data quality</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icd_3: regular data quality</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short_translation:</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icd_1: '1'</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icd_2: '2'</w:t>
      </w:r>
    </w:p>
    <w:p>
      <w:pPr>
        <w:pStyle w:val="Normal"/>
        <w:suppressAutoHyphens w:val="false"/>
        <w:overflowPunct w:val="true"/>
        <w:spacing w:lineRule="auto" w:line="240" w:before="0" w:after="0"/>
        <w:jc w:val="left"/>
        <w:textAlignment w:val="auto"/>
        <w:rPr>
          <w:lang w:val="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icd_3: '3'</w:t>
      </w:r>
    </w:p>
    <w:p>
      <w:pPr>
        <w:pStyle w:val="Heading3"/>
        <w:numPr>
          <w:ilvl w:val="2"/>
          <w:numId w:val="80"/>
        </w:numPr>
        <w:rPr/>
      </w:pPr>
      <w:r>
        <w:rPr/>
        <w:t>Fragmento de diccionario de LNC en japonés para el dominio de gestión de proyectos</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fuzzy_001:</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name: icd</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type: :symbolic</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n_sets: 0</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 xml:space="preserve">description: </w:t>
      </w:r>
      <w:r>
        <w:rPr>
          <w:rFonts w:ascii="Courier New" w:hAnsi="Courier New" w:cs="Courier New"/>
          <w:bCs w:val="false"/>
          <w:color w:val="00000A"/>
          <w:lang w:val="en-US" w:eastAsia="en-US"/>
        </w:rPr>
        <w:t>データ品質指数</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label:</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icd_1: 1</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icd_2: 2</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icd_3: 3</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translation:</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ja-JP"/>
        </w:rPr>
      </w:pPr>
      <w:r>
        <w:rPr>
          <w:rFonts w:cs="Courier New" w:ascii="Courier New" w:hAnsi="Courier New"/>
          <w:bCs w:val="false"/>
          <w:color w:val="00000A"/>
          <w:lang w:val="en-US" w:eastAsia="ja-JP"/>
        </w:rPr>
        <w:t xml:space="preserve">    </w:t>
      </w:r>
      <w:r>
        <w:rPr>
          <w:rFonts w:cs="Courier New" w:ascii="Courier New" w:hAnsi="Courier New"/>
          <w:bCs w:val="false"/>
          <w:color w:val="00000A"/>
          <w:lang w:val="en-US" w:eastAsia="ja-JP"/>
        </w:rPr>
        <w:t xml:space="preserve">icd_1: </w:t>
      </w:r>
      <w:r>
        <w:rPr>
          <w:rFonts w:ascii="Courier New" w:hAnsi="Courier New" w:cs="Courier New"/>
          <w:bCs w:val="false"/>
          <w:color w:val="00000A"/>
          <w:lang w:val="en-US" w:eastAsia="ja-JP"/>
        </w:rPr>
        <w:t>データ品質の良い</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ja-JP"/>
        </w:rPr>
      </w:pPr>
      <w:r>
        <w:rPr>
          <w:rFonts w:cs="Courier New" w:ascii="Courier New" w:hAnsi="Courier New"/>
          <w:bCs w:val="false"/>
          <w:color w:val="00000A"/>
          <w:lang w:val="en-US" w:eastAsia="ja-JP"/>
        </w:rPr>
        <w:t xml:space="preserve">    </w:t>
      </w:r>
      <w:r>
        <w:rPr>
          <w:rFonts w:cs="Courier New" w:ascii="Courier New" w:hAnsi="Courier New"/>
          <w:bCs w:val="false"/>
          <w:color w:val="00000A"/>
          <w:lang w:val="en-US" w:eastAsia="ja-JP"/>
        </w:rPr>
        <w:t xml:space="preserve">icd_2: </w:t>
      </w:r>
      <w:r>
        <w:rPr>
          <w:rFonts w:ascii="Courier New" w:hAnsi="Courier New" w:cs="Courier New"/>
          <w:bCs w:val="false"/>
          <w:color w:val="00000A"/>
          <w:lang w:val="en-US" w:eastAsia="ja-JP"/>
        </w:rPr>
        <w:t>データ品質の悪い</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ja-JP"/>
        </w:rPr>
      </w:pPr>
      <w:r>
        <w:rPr>
          <w:rFonts w:cs="Courier New" w:ascii="Courier New" w:hAnsi="Courier New"/>
          <w:bCs w:val="false"/>
          <w:color w:val="00000A"/>
          <w:lang w:val="en-US" w:eastAsia="ja-JP"/>
        </w:rPr>
        <w:t xml:space="preserve">    </w:t>
      </w:r>
      <w:r>
        <w:rPr>
          <w:rFonts w:cs="Courier New" w:ascii="Courier New" w:hAnsi="Courier New"/>
          <w:bCs w:val="false"/>
          <w:color w:val="00000A"/>
          <w:lang w:val="en-US" w:eastAsia="ja-JP"/>
        </w:rPr>
        <w:t xml:space="preserve">icd_3: </w:t>
      </w:r>
      <w:r>
        <w:rPr>
          <w:rFonts w:ascii="Courier New" w:hAnsi="Courier New" w:cs="Courier New"/>
          <w:bCs w:val="false"/>
          <w:color w:val="00000A"/>
          <w:lang w:val="en-US" w:eastAsia="ja-JP"/>
        </w:rPr>
        <w:t>データ品質が中級程度</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ja-JP"/>
        </w:rPr>
        <w:t xml:space="preserve">  </w:t>
      </w:r>
      <w:r>
        <w:rPr>
          <w:rFonts w:cs="Courier New" w:ascii="Courier New" w:hAnsi="Courier New"/>
          <w:bCs w:val="false"/>
          <w:color w:val="00000A"/>
          <w:lang w:val="en-US" w:eastAsia="en-US"/>
        </w:rPr>
        <w:t>short_translation:</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icd_1: '1'</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icd_2: '2'</w:t>
      </w:r>
    </w:p>
    <w:p>
      <w:pPr>
        <w:pStyle w:val="Normal"/>
        <w:suppressAutoHyphens w:val="false"/>
        <w:overflowPunct w:val="true"/>
        <w:spacing w:lineRule="auto" w:line="240" w:before="0" w:after="0"/>
        <w:jc w:val="left"/>
        <w:textAlignment w:val="auto"/>
        <w:rPr>
          <w:lang w:val="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icd_3: '3'</w:t>
      </w:r>
    </w:p>
    <w:p>
      <w:pPr>
        <w:pStyle w:val="Heading3"/>
        <w:numPr>
          <w:ilvl w:val="2"/>
          <w:numId w:val="80"/>
        </w:numPr>
        <w:rPr/>
      </w:pPr>
      <w:r>
        <w:rPr/>
        <w:t>Fragmento de diccionario de LNC en árabe para el dominio de gestión de proyectos</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fuzzy_001:</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name: icd</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type: :symbolic</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n_sets: 0</w:t>
      </w:r>
    </w:p>
    <w:p>
      <w:pPr>
        <w:pStyle w:val="Standard"/>
        <w:rPr>
          <w:rFonts w:ascii="Courier New" w:hAnsi="Courier New" w:cs="Courier New"/>
          <w:bCs/>
          <w:lang w:eastAsia="en-US"/>
        </w:rPr>
      </w:pPr>
      <w:r>
        <w:rPr/>
        <w:t xml:space="preserve">  </w:t>
      </w:r>
      <w:r>
        <w:rPr>
          <w:rFonts w:eastAsia="游明朝" w:cs="Courier New" w:ascii="Courier New" w:hAnsi="Courier New" w:eastAsiaTheme="minorEastAsia"/>
          <w:sz w:val="22"/>
          <w:szCs w:val="22"/>
          <w:lang w:eastAsia="en-US" w:bidi="ar-SA"/>
        </w:rPr>
        <w:t>description:</w:t>
      </w:r>
      <w:r>
        <w:rPr/>
        <w:t xml:space="preserve"> </w:t>
      </w:r>
      <w:r>
        <w:rPr>
          <w:rtl w:val="true"/>
          <w:lang w:bidi="ar-SA"/>
        </w:rPr>
        <w:t>مؤشر جودة البيانات</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label:</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icd_1: 1</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icd_2: 2</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icd_3: 3</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translation:</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ja-JP"/>
        </w:rPr>
        <w:t xml:space="preserve">    </w:t>
      </w:r>
      <w:r>
        <w:rPr>
          <w:rFonts w:cs="Courier New" w:ascii="Courier New" w:hAnsi="Courier New"/>
          <w:bCs w:val="false"/>
          <w:color w:val="00000A"/>
          <w:lang w:val="en-US" w:eastAsia="en-US"/>
        </w:rPr>
        <w:t xml:space="preserve">icd_1: </w:t>
      </w:r>
      <w:r>
        <w:rPr>
          <w:rFonts w:ascii="Liberation Serif" w:hAnsi="Liberation Serif" w:eastAsia="Noto Sans CJK SC Regular" w:cs="FreeSans"/>
          <w:bCs w:val="false"/>
          <w:color w:val="00000A"/>
          <w:sz w:val="24"/>
          <w:sz w:val="24"/>
          <w:szCs w:val="24"/>
          <w:rtl w:val="true"/>
          <w:lang w:val="en-US"/>
        </w:rPr>
        <w:t>جودة بيانات جيدة</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 xml:space="preserve">icd_2: </w:t>
      </w:r>
      <w:r>
        <w:rPr>
          <w:rFonts w:ascii="Liberation Serif" w:hAnsi="Liberation Serif" w:eastAsia="Noto Sans CJK SC Regular" w:cs="FreeSans"/>
          <w:bCs w:val="false"/>
          <w:color w:val="00000A"/>
          <w:sz w:val="24"/>
          <w:sz w:val="24"/>
          <w:szCs w:val="24"/>
          <w:rtl w:val="true"/>
          <w:lang w:val="en-US"/>
        </w:rPr>
        <w:t>جودة بيانات رديئة</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 xml:space="preserve">icd_3: </w:t>
      </w:r>
      <w:r>
        <w:rPr>
          <w:rFonts w:ascii="Liberation Serif" w:hAnsi="Liberation Serif" w:eastAsia="Noto Sans CJK SC Regular" w:cs="FreeSans"/>
          <w:bCs w:val="false"/>
          <w:color w:val="00000A"/>
          <w:sz w:val="24"/>
          <w:sz w:val="24"/>
          <w:szCs w:val="24"/>
          <w:rtl w:val="true"/>
          <w:lang w:val="en-US"/>
        </w:rPr>
        <w:t>جودة بيانات متوسطة</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ja-JP"/>
        </w:rPr>
        <w:t xml:space="preserve">  </w:t>
      </w:r>
      <w:r>
        <w:rPr>
          <w:rFonts w:cs="Courier New" w:ascii="Courier New" w:hAnsi="Courier New"/>
          <w:bCs w:val="false"/>
          <w:color w:val="00000A"/>
          <w:lang w:val="en-US" w:eastAsia="en-US"/>
        </w:rPr>
        <w:t>short_translation:</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icd_1: '1'</w:t>
      </w:r>
    </w:p>
    <w:p>
      <w:pPr>
        <w:pStyle w:val="Normal"/>
        <w:suppressAutoHyphens w:val="false"/>
        <w:overflowPunct w:val="true"/>
        <w:spacing w:lineRule="auto" w:line="240" w:before="0" w:after="0"/>
        <w:jc w:val="left"/>
        <w:textAlignment w:val="auto"/>
        <w:rPr>
          <w:rFonts w:ascii="Courier New" w:hAnsi="Courier New" w:cs="Courier New"/>
          <w:bCs w:val="false"/>
          <w:color w:val="00000A"/>
          <w:lang w:val="en-US" w:eastAsia="en-US"/>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icd_2: '2'</w:t>
      </w:r>
    </w:p>
    <w:p>
      <w:pPr>
        <w:pStyle w:val="Normal"/>
        <w:suppressAutoHyphens w:val="false"/>
        <w:overflowPunct w:val="true"/>
        <w:spacing w:lineRule="auto" w:line="240" w:before="0" w:after="0"/>
        <w:jc w:val="left"/>
        <w:textAlignment w:val="auto"/>
        <w:rPr/>
      </w:pPr>
      <w:r>
        <w:rPr>
          <w:rFonts w:cs="Courier New" w:ascii="Courier New" w:hAnsi="Courier New"/>
          <w:bCs w:val="false"/>
          <w:color w:val="00000A"/>
          <w:lang w:val="en-US" w:eastAsia="en-US"/>
        </w:rPr>
        <w:t xml:space="preserve">    </w:t>
      </w:r>
      <w:r>
        <w:rPr>
          <w:rFonts w:cs="Courier New" w:ascii="Courier New" w:hAnsi="Courier New"/>
          <w:bCs w:val="false"/>
          <w:color w:val="00000A"/>
          <w:lang w:val="en-US" w:eastAsia="en-US"/>
        </w:rPr>
        <w:t>icd_3: '3'</w:t>
      </w:r>
    </w:p>
    <w:p>
      <w:pPr>
        <w:pStyle w:val="Heading2"/>
        <w:numPr>
          <w:ilvl w:val="1"/>
          <w:numId w:val="80"/>
        </w:numPr>
        <w:rPr/>
      </w:pPr>
      <w:bookmarkStart w:id="3805" w:name="_Ref68937457"/>
      <w:bookmarkStart w:id="3806" w:name="_Ref68937541"/>
      <w:bookmarkStart w:id="3807" w:name="_Toc84598965"/>
      <w:bookmarkStart w:id="3808" w:name="_Ref75873631"/>
      <w:bookmarkStart w:id="3809" w:name="_Ref702691231"/>
      <w:bookmarkStart w:id="3810" w:name="_Ref500585791"/>
      <w:bookmarkEnd w:id="3809"/>
      <w:bookmarkEnd w:id="3810"/>
      <w:r>
        <w:rPr/>
        <w:t xml:space="preserve">Anexo </w:t>
      </w:r>
      <w:r>
        <w:rPr/>
        <w:fldChar w:fldCharType="begin"/>
      </w:r>
      <w:r>
        <w:instrText> SEQ Anexo \* ARABIC </w:instrText>
      </w:r>
      <w:r>
        <w:fldChar w:fldCharType="separate"/>
      </w:r>
      <w:r>
        <w:t>11</w:t>
      </w:r>
      <w:r>
        <w:fldChar w:fldCharType="end"/>
      </w:r>
      <w:bookmarkEnd w:id="3808"/>
      <w:r>
        <w:rPr/>
        <w:t xml:space="preserve">. </w:t>
      </w:r>
      <w:bookmarkStart w:id="3811" w:name="_Hlk76623790"/>
      <w:r>
        <w:rPr/>
        <w:t>Especialistas que participaron en los casos de estudio</w:t>
      </w:r>
      <w:bookmarkEnd w:id="3807"/>
      <w:bookmarkEnd w:id="3811"/>
      <w:r>
        <w:rPr/>
        <w:t>.</w:t>
      </w:r>
    </w:p>
    <w:p>
      <w:pPr>
        <w:pStyle w:val="Caption1"/>
        <w:keepNext/>
        <w:rPr/>
      </w:pPr>
      <w:bookmarkStart w:id="3812" w:name="_Toc84598996"/>
      <w:bookmarkStart w:id="3813" w:name="_Ref75873658"/>
      <w:r>
        <w:rPr/>
        <w:t xml:space="preserve">Tabla </w:t>
      </w:r>
      <w:r>
        <w:rPr/>
        <w:fldChar w:fldCharType="begin"/>
      </w:r>
      <w:r>
        <w:instrText> SEQ Tabla \* ARABIC </w:instrText>
      </w:r>
      <w:r>
        <w:fldChar w:fldCharType="separate"/>
      </w:r>
      <w:r>
        <w:t>26</w:t>
      </w:r>
      <w:r>
        <w:fldChar w:fldCharType="end"/>
      </w:r>
      <w:bookmarkEnd w:id="3813"/>
      <w:r>
        <w:rPr/>
        <w:t xml:space="preserve">: </w:t>
      </w:r>
      <w:bookmarkStart w:id="3814" w:name="_Hlk76623816"/>
      <w:bookmarkStart w:id="3815" w:name="_Hlk76623832"/>
      <w:r>
        <w:rPr/>
        <w:t>Especialistas que participaron en el caso de estudio sobre embarazadas cardiópatas</w:t>
      </w:r>
      <w:bookmarkEnd w:id="3812"/>
      <w:bookmarkEnd w:id="3814"/>
      <w:bookmarkEnd w:id="3815"/>
      <w:r>
        <w:rPr/>
        <w:t>.</w:t>
      </w:r>
    </w:p>
    <w:tbl>
      <w:tblPr>
        <w:tblW w:w="5000" w:type="pct"/>
        <w:jc w:val="center"/>
        <w:tblInd w:w="0" w:type="dxa"/>
        <w:tblBorders>
          <w:top w:val="single" w:sz="12" w:space="0" w:color="00000A"/>
          <w:bottom w:val="single" w:sz="2" w:space="0" w:color="00000A"/>
          <w:insideH w:val="single" w:sz="2" w:space="0" w:color="00000A"/>
        </w:tblBorders>
        <w:tblCellMar>
          <w:top w:w="0" w:type="dxa"/>
          <w:left w:w="70" w:type="dxa"/>
          <w:bottom w:w="0" w:type="dxa"/>
          <w:right w:w="70" w:type="dxa"/>
        </w:tblCellMar>
        <w:tblLook w:val="04a0" w:noVBand="1" w:noHBand="0" w:lastColumn="0" w:firstColumn="1" w:lastRow="0" w:firstRow="1"/>
      </w:tblPr>
      <w:tblGrid>
        <w:gridCol w:w="1557"/>
        <w:gridCol w:w="1133"/>
        <w:gridCol w:w="141"/>
        <w:gridCol w:w="1417"/>
        <w:gridCol w:w="2127"/>
        <w:gridCol w:w="2604"/>
      </w:tblGrid>
      <w:tr>
        <w:trPr>
          <w:trHeight w:val="300" w:hRule="atLeast"/>
        </w:trPr>
        <w:tc>
          <w:tcPr>
            <w:tcW w:w="1557" w:type="dxa"/>
            <w:tcBorders>
              <w:top w:val="single" w:sz="12" w:space="0" w:color="00000A"/>
              <w:bottom w:val="single" w:sz="2" w:space="0" w:color="00000A"/>
              <w:insideH w:val="single" w:sz="2"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Nombre del experto</w:t>
            </w:r>
          </w:p>
        </w:tc>
        <w:tc>
          <w:tcPr>
            <w:tcW w:w="1274" w:type="dxa"/>
            <w:gridSpan w:val="2"/>
            <w:tcBorders>
              <w:top w:val="single" w:sz="12" w:space="0" w:color="00000A"/>
              <w:bottom w:val="single" w:sz="2" w:space="0" w:color="00000A"/>
              <w:insideH w:val="single" w:sz="2"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Años de experiencia</w:t>
            </w:r>
          </w:p>
        </w:tc>
        <w:tc>
          <w:tcPr>
            <w:tcW w:w="1417" w:type="dxa"/>
            <w:tcBorders>
              <w:top w:val="single" w:sz="12" w:space="0" w:color="00000A"/>
              <w:bottom w:val="single" w:sz="2" w:space="0" w:color="00000A"/>
              <w:insideH w:val="single" w:sz="2"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Especialidad</w:t>
            </w:r>
          </w:p>
        </w:tc>
        <w:tc>
          <w:tcPr>
            <w:tcW w:w="2127" w:type="dxa"/>
            <w:tcBorders>
              <w:top w:val="single" w:sz="12" w:space="0" w:color="00000A"/>
              <w:bottom w:val="single" w:sz="2" w:space="0" w:color="00000A"/>
              <w:insideH w:val="single" w:sz="2"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Cargo</w:t>
            </w:r>
          </w:p>
        </w:tc>
        <w:tc>
          <w:tcPr>
            <w:tcW w:w="2604" w:type="dxa"/>
            <w:tcBorders>
              <w:top w:val="single" w:sz="12" w:space="0" w:color="00000A"/>
              <w:bottom w:val="single" w:sz="2" w:space="0" w:color="00000A"/>
              <w:insideH w:val="single" w:sz="2"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Centro de trabajo</w:t>
            </w:r>
          </w:p>
        </w:tc>
      </w:tr>
      <w:tr>
        <w:trPr>
          <w:trHeight w:val="300" w:hRule="atLeast"/>
        </w:trPr>
        <w:tc>
          <w:tcPr>
            <w:tcW w:w="1557" w:type="dxa"/>
            <w:tcBorders>
              <w:top w:val="single" w:sz="2" w:space="0" w:color="00000A"/>
              <w:bottom w:val="single" w:sz="2" w:space="0" w:color="00000A"/>
              <w:insideH w:val="single" w:sz="2"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Dr. Pedro Antonio Román Rubio</w:t>
            </w:r>
          </w:p>
        </w:tc>
        <w:tc>
          <w:tcPr>
            <w:tcW w:w="1133" w:type="dxa"/>
            <w:tcBorders>
              <w:top w:val="single" w:sz="2" w:space="0" w:color="00000A"/>
              <w:bottom w:val="single" w:sz="2" w:space="0" w:color="00000A"/>
              <w:insideH w:val="single" w:sz="2"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32</w:t>
            </w:r>
          </w:p>
        </w:tc>
        <w:tc>
          <w:tcPr>
            <w:tcW w:w="1558" w:type="dxa"/>
            <w:gridSpan w:val="2"/>
            <w:tcBorders>
              <w:top w:val="single" w:sz="2" w:space="0" w:color="00000A"/>
              <w:bottom w:val="single" w:sz="2" w:space="0" w:color="00000A"/>
              <w:insideH w:val="single" w:sz="2"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Cardiología</w:t>
            </w:r>
          </w:p>
        </w:tc>
        <w:tc>
          <w:tcPr>
            <w:tcW w:w="2127" w:type="dxa"/>
            <w:tcBorders>
              <w:top w:val="single" w:sz="2" w:space="0" w:color="00000A"/>
              <w:bottom w:val="single" w:sz="2" w:space="0" w:color="00000A"/>
              <w:insideH w:val="single" w:sz="2"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Jefe de Servicio de Cardiopatía y Embarazos</w:t>
            </w:r>
          </w:p>
        </w:tc>
        <w:tc>
          <w:tcPr>
            <w:tcW w:w="2604" w:type="dxa"/>
            <w:tcBorders>
              <w:top w:val="single" w:sz="2" w:space="0" w:color="00000A"/>
              <w:bottom w:val="single" w:sz="2" w:space="0" w:color="00000A"/>
              <w:insideH w:val="single" w:sz="2"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Servicio de Cardiopatía y Embarazos, Instituto de Cardiología y Cirugía Cardiovascular</w:t>
            </w:r>
          </w:p>
        </w:tc>
      </w:tr>
      <w:tr>
        <w:trPr>
          <w:trHeight w:val="300" w:hRule="atLeast"/>
        </w:trPr>
        <w:tc>
          <w:tcPr>
            <w:tcW w:w="1557" w:type="dxa"/>
            <w:tcBorders>
              <w:top w:val="single" w:sz="2" w:space="0" w:color="00000A"/>
              <w:bottom w:val="single" w:sz="2" w:space="0" w:color="00000A"/>
              <w:insideH w:val="single" w:sz="2"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Dra. Susana Hernández García</w:t>
            </w:r>
          </w:p>
        </w:tc>
        <w:tc>
          <w:tcPr>
            <w:tcW w:w="1133" w:type="dxa"/>
            <w:tcBorders>
              <w:top w:val="single" w:sz="2" w:space="0" w:color="00000A"/>
              <w:bottom w:val="single" w:sz="2" w:space="0" w:color="00000A"/>
              <w:insideH w:val="single" w:sz="2"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20</w:t>
            </w:r>
          </w:p>
        </w:tc>
        <w:tc>
          <w:tcPr>
            <w:tcW w:w="1558" w:type="dxa"/>
            <w:gridSpan w:val="2"/>
            <w:tcBorders>
              <w:top w:val="single" w:sz="2" w:space="0" w:color="00000A"/>
              <w:bottom w:val="single" w:sz="2" w:space="0" w:color="00000A"/>
              <w:insideH w:val="single" w:sz="2"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Rehabilitación Cardiovascular</w:t>
            </w:r>
          </w:p>
        </w:tc>
        <w:tc>
          <w:tcPr>
            <w:tcW w:w="2127" w:type="dxa"/>
            <w:tcBorders>
              <w:top w:val="single" w:sz="2" w:space="0" w:color="00000A"/>
              <w:bottom w:val="single" w:sz="2" w:space="0" w:color="00000A"/>
              <w:insideH w:val="single" w:sz="2"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Especialista Principal de Rehabilitación Cardiovascular</w:t>
            </w:r>
          </w:p>
        </w:tc>
        <w:tc>
          <w:tcPr>
            <w:tcW w:w="2604" w:type="dxa"/>
            <w:tcBorders>
              <w:top w:val="single" w:sz="2" w:space="0" w:color="00000A"/>
              <w:bottom w:val="single" w:sz="2" w:space="0" w:color="00000A"/>
              <w:insideH w:val="single" w:sz="2"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Instituto de Cardiología y Cirugía Cardiovascular</w:t>
            </w:r>
          </w:p>
        </w:tc>
      </w:tr>
      <w:tr>
        <w:trPr>
          <w:trHeight w:val="300" w:hRule="atLeast"/>
        </w:trPr>
        <w:tc>
          <w:tcPr>
            <w:tcW w:w="1557" w:type="dxa"/>
            <w:tcBorders>
              <w:top w:val="single" w:sz="2" w:space="0" w:color="00000A"/>
              <w:bottom w:val="single" w:sz="2" w:space="0" w:color="00000A"/>
              <w:insideH w:val="single" w:sz="2"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Dr. Román Vasallo Peraza</w:t>
            </w:r>
          </w:p>
        </w:tc>
        <w:tc>
          <w:tcPr>
            <w:tcW w:w="1133" w:type="dxa"/>
            <w:tcBorders>
              <w:top w:val="single" w:sz="2" w:space="0" w:color="00000A"/>
              <w:bottom w:val="single" w:sz="2" w:space="0" w:color="00000A"/>
              <w:insideH w:val="single" w:sz="2"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5</w:t>
            </w:r>
          </w:p>
        </w:tc>
        <w:tc>
          <w:tcPr>
            <w:tcW w:w="1558" w:type="dxa"/>
            <w:gridSpan w:val="2"/>
            <w:tcBorders>
              <w:top w:val="single" w:sz="2" w:space="0" w:color="00000A"/>
              <w:bottom w:val="single" w:sz="2" w:space="0" w:color="00000A"/>
              <w:insideH w:val="single" w:sz="2"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Cardiología</w:t>
            </w:r>
          </w:p>
        </w:tc>
        <w:tc>
          <w:tcPr>
            <w:tcW w:w="2127" w:type="dxa"/>
            <w:tcBorders>
              <w:top w:val="single" w:sz="2" w:space="0" w:color="00000A"/>
              <w:bottom w:val="single" w:sz="2" w:space="0" w:color="00000A"/>
              <w:insideH w:val="single" w:sz="2"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Cardiólogo del Servicio de Cardiopatía y Embarazos</w:t>
            </w:r>
          </w:p>
        </w:tc>
        <w:tc>
          <w:tcPr>
            <w:tcW w:w="2604" w:type="dxa"/>
            <w:tcBorders>
              <w:top w:val="single" w:sz="2" w:space="0" w:color="00000A"/>
              <w:bottom w:val="single" w:sz="2" w:space="0" w:color="00000A"/>
              <w:insideH w:val="single" w:sz="2"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Instituto de Cardiología y Cirugía Cardiovascular</w:t>
            </w:r>
          </w:p>
        </w:tc>
      </w:tr>
      <w:tr>
        <w:trPr>
          <w:trHeight w:val="300" w:hRule="atLeast"/>
        </w:trPr>
        <w:tc>
          <w:tcPr>
            <w:tcW w:w="1557" w:type="dxa"/>
            <w:tcBorders>
              <w:top w:val="single" w:sz="12" w:space="0" w:color="00000A"/>
              <w:bottom w:val="single" w:sz="12" w:space="0" w:color="00000A"/>
              <w:insideH w:val="single" w:sz="12"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Dra. Yilena Gil Jiménez</w:t>
            </w:r>
          </w:p>
        </w:tc>
        <w:tc>
          <w:tcPr>
            <w:tcW w:w="1133" w:type="dxa"/>
            <w:tcBorders>
              <w:top w:val="single" w:sz="12" w:space="0" w:color="00000A"/>
              <w:bottom w:val="single" w:sz="12" w:space="0" w:color="00000A"/>
              <w:insideH w:val="single" w:sz="12"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5</w:t>
            </w:r>
          </w:p>
        </w:tc>
        <w:tc>
          <w:tcPr>
            <w:tcW w:w="1558" w:type="dxa"/>
            <w:gridSpan w:val="2"/>
            <w:tcBorders>
              <w:top w:val="single" w:sz="12" w:space="0" w:color="00000A"/>
              <w:bottom w:val="single" w:sz="12" w:space="0" w:color="00000A"/>
              <w:insideH w:val="single" w:sz="12"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Obstetricia</w:t>
            </w:r>
          </w:p>
        </w:tc>
        <w:tc>
          <w:tcPr>
            <w:tcW w:w="2127" w:type="dxa"/>
            <w:tcBorders>
              <w:top w:val="single" w:sz="12" w:space="0" w:color="00000A"/>
              <w:bottom w:val="single" w:sz="12" w:space="0" w:color="00000A"/>
              <w:insideH w:val="single" w:sz="12"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Obstetra del Servicio de Cardiopatía y Embarazos</w:t>
            </w:r>
          </w:p>
        </w:tc>
        <w:tc>
          <w:tcPr>
            <w:tcW w:w="2604" w:type="dxa"/>
            <w:tcBorders>
              <w:top w:val="single" w:sz="12" w:space="0" w:color="00000A"/>
              <w:bottom w:val="single" w:sz="12" w:space="0" w:color="00000A"/>
              <w:insideH w:val="single" w:sz="12"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Hospital Docente Ginecobstétrico “Ramón González Coro”</w:t>
            </w:r>
          </w:p>
        </w:tc>
      </w:tr>
    </w:tbl>
    <w:p>
      <w:pPr>
        <w:pStyle w:val="Normal"/>
        <w:rPr/>
      </w:pPr>
      <w:r>
        <w:rPr/>
      </w:r>
    </w:p>
    <w:p>
      <w:pPr>
        <w:pStyle w:val="Caption1"/>
        <w:keepNext/>
        <w:rPr/>
      </w:pPr>
      <w:bookmarkStart w:id="3816" w:name="_Toc84598997"/>
      <w:bookmarkStart w:id="3817" w:name="_Ref75873660"/>
      <w:r>
        <w:rPr/>
        <w:t xml:space="preserve">Tabla </w:t>
      </w:r>
      <w:r>
        <w:rPr/>
        <w:fldChar w:fldCharType="begin"/>
      </w:r>
      <w:r>
        <w:instrText> SEQ Tabla \* ARABIC </w:instrText>
      </w:r>
      <w:r>
        <w:fldChar w:fldCharType="separate"/>
      </w:r>
      <w:r>
        <w:t>27</w:t>
      </w:r>
      <w:r>
        <w:fldChar w:fldCharType="end"/>
      </w:r>
      <w:bookmarkEnd w:id="3816"/>
      <w:bookmarkEnd w:id="3817"/>
      <w:r>
        <w:rPr/>
        <w:t>: Expertos que participaron en el caso de estudio sobre gestión de proyectos.</w:t>
      </w:r>
    </w:p>
    <w:tbl>
      <w:tblPr>
        <w:tblW w:w="5000" w:type="pct"/>
        <w:jc w:val="center"/>
        <w:tblInd w:w="0" w:type="dxa"/>
        <w:tblBorders>
          <w:top w:val="single" w:sz="12" w:space="0" w:color="00000A"/>
          <w:bottom w:val="single" w:sz="4" w:space="0" w:color="00000A"/>
          <w:insideH w:val="single" w:sz="4" w:space="0" w:color="00000A"/>
        </w:tblBorders>
        <w:tblCellMar>
          <w:top w:w="0" w:type="dxa"/>
          <w:left w:w="70" w:type="dxa"/>
          <w:bottom w:w="0" w:type="dxa"/>
          <w:right w:w="70" w:type="dxa"/>
        </w:tblCellMar>
        <w:tblLook w:val="04a0" w:noVBand="1" w:noHBand="0" w:lastColumn="0" w:firstColumn="1" w:lastRow="0" w:firstRow="1"/>
      </w:tblPr>
      <w:tblGrid>
        <w:gridCol w:w="3115"/>
        <w:gridCol w:w="1276"/>
        <w:gridCol w:w="1699"/>
        <w:gridCol w:w="1840"/>
        <w:gridCol w:w="1049"/>
      </w:tblGrid>
      <w:tr>
        <w:trPr>
          <w:trHeight w:val="300" w:hRule="atLeast"/>
        </w:trPr>
        <w:tc>
          <w:tcPr>
            <w:tcW w:w="3115" w:type="dxa"/>
            <w:tcBorders>
              <w:top w:val="single" w:sz="12" w:space="0" w:color="00000A"/>
              <w:bottom w:val="single" w:sz="4" w:space="0" w:color="00000A"/>
              <w:insideH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Expertos</w:t>
            </w:r>
          </w:p>
        </w:tc>
        <w:tc>
          <w:tcPr>
            <w:tcW w:w="1276" w:type="dxa"/>
            <w:tcBorders>
              <w:top w:val="single" w:sz="12" w:space="0" w:color="00000A"/>
              <w:bottom w:val="single" w:sz="4" w:space="0" w:color="00000A"/>
              <w:insideH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Años experiencia</w:t>
            </w:r>
          </w:p>
        </w:tc>
        <w:tc>
          <w:tcPr>
            <w:tcW w:w="1699" w:type="dxa"/>
            <w:tcBorders>
              <w:top w:val="single" w:sz="12" w:space="0" w:color="00000A"/>
              <w:bottom w:val="single" w:sz="4" w:space="0" w:color="00000A"/>
              <w:insideH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Especialidad</w:t>
            </w:r>
          </w:p>
        </w:tc>
        <w:tc>
          <w:tcPr>
            <w:tcW w:w="1840" w:type="dxa"/>
            <w:tcBorders>
              <w:top w:val="single" w:sz="12" w:space="0" w:color="00000A"/>
              <w:bottom w:val="single" w:sz="4" w:space="0" w:color="00000A"/>
              <w:insideH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Cargo</w:t>
            </w:r>
          </w:p>
        </w:tc>
        <w:tc>
          <w:tcPr>
            <w:tcW w:w="1049" w:type="dxa"/>
            <w:tcBorders>
              <w:top w:val="single" w:sz="12" w:space="0" w:color="00000A"/>
              <w:bottom w:val="single" w:sz="4" w:space="0" w:color="00000A"/>
              <w:insideH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Afiliación</w:t>
            </w:r>
          </w:p>
        </w:tc>
      </w:tr>
      <w:tr>
        <w:trPr>
          <w:trHeight w:val="390" w:hRule="atLeast"/>
        </w:trPr>
        <w:tc>
          <w:tcPr>
            <w:tcW w:w="3115" w:type="dxa"/>
            <w:tcBorders>
              <w:top w:val="single" w:sz="4" w:space="0" w:color="00000A"/>
              <w:bottom w:val="single" w:sz="4" w:space="0" w:color="00000A"/>
              <w:insideH w:val="single" w:sz="4" w:space="0" w:color="00000A"/>
            </w:tcBorders>
            <w:shd w:color="auto" w:fill="auto" w:val="clear"/>
            <w:vAlign w:val="center"/>
          </w:tcPr>
          <w:p>
            <w:pPr>
              <w:pStyle w:val="Normal"/>
              <w:suppressAutoHyphens w:val="false"/>
              <w:overflowPunct w:val="true"/>
              <w:spacing w:lineRule="auto" w:line="240" w:before="0" w:after="0"/>
              <w:jc w:val="left"/>
              <w:textAlignment w:val="auto"/>
              <w:rPr>
                <w:rFonts w:eastAsia="Times New Roman"/>
                <w:bCs w:val="false"/>
                <w:sz w:val="21"/>
                <w:lang w:eastAsia="ja-JP"/>
              </w:rPr>
            </w:pPr>
            <w:r>
              <w:rPr>
                <w:rFonts w:eastAsia="Times New Roman"/>
                <w:bCs w:val="false"/>
                <w:sz w:val="21"/>
                <w:lang w:eastAsia="ja-JP"/>
              </w:rPr>
              <w:t>MSc. Daisy Oropesa Méndez</w:t>
            </w:r>
          </w:p>
        </w:tc>
        <w:tc>
          <w:tcPr>
            <w:tcW w:w="1276" w:type="dxa"/>
            <w:tcBorders>
              <w:top w:val="single" w:sz="4" w:space="0" w:color="00000A"/>
              <w:bottom w:val="single" w:sz="4" w:space="0" w:color="00000A"/>
              <w:insideH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21</w:t>
            </w:r>
          </w:p>
        </w:tc>
        <w:tc>
          <w:tcPr>
            <w:tcW w:w="1699" w:type="dxa"/>
            <w:tcBorders>
              <w:top w:val="single" w:sz="4" w:space="0" w:color="00000A"/>
              <w:bottom w:val="single" w:sz="4" w:space="0" w:color="00000A"/>
              <w:insideH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Informática</w:t>
            </w:r>
          </w:p>
        </w:tc>
        <w:tc>
          <w:tcPr>
            <w:tcW w:w="1840" w:type="dxa"/>
            <w:vMerge w:val="restart"/>
            <w:tcBorders>
              <w:top w:val="single" w:sz="4" w:space="0" w:color="00000A"/>
              <w:bottom w:val="single" w:sz="4" w:space="0" w:color="00000A"/>
              <w:insideH w:val="single" w:sz="4" w:space="0" w:color="00000A"/>
            </w:tcBorders>
            <w:shd w:color="auto" w:fill="auto" w:val="clear"/>
            <w:vAlign w:val="center"/>
          </w:tcPr>
          <w:p>
            <w:pPr>
              <w:pStyle w:val="Normal"/>
              <w:suppressAutoHyphens w:val="false"/>
              <w:overflowPunct w:val="true"/>
              <w:spacing w:lineRule="auto" w:line="276" w:before="0" w:after="0"/>
              <w:jc w:val="center"/>
              <w:textAlignment w:val="auto"/>
              <w:rPr>
                <w:rFonts w:eastAsia="Times New Roman"/>
                <w:bCs w:val="false"/>
                <w:sz w:val="21"/>
                <w:lang w:eastAsia="ja-JP"/>
              </w:rPr>
            </w:pPr>
            <w:r>
              <w:rPr>
                <w:rFonts w:eastAsia="Times New Roman"/>
                <w:bCs w:val="false"/>
                <w:sz w:val="21"/>
                <w:lang w:eastAsia="ja-JP"/>
              </w:rPr>
              <w:t xml:space="preserve">Docentes </w:t>
            </w:r>
          </w:p>
          <w:p>
            <w:pPr>
              <w:pStyle w:val="Normal"/>
              <w:suppressAutoHyphens w:val="false"/>
              <w:overflowPunct w:val="true"/>
              <w:spacing w:lineRule="auto" w:line="276" w:before="0" w:after="0"/>
              <w:jc w:val="center"/>
              <w:textAlignment w:val="auto"/>
              <w:rPr>
                <w:rFonts w:eastAsia="Times New Roman"/>
                <w:bCs w:val="false"/>
                <w:sz w:val="21"/>
                <w:lang w:eastAsia="ja-JP"/>
              </w:rPr>
            </w:pPr>
            <w:r>
              <w:rPr>
                <w:rFonts w:eastAsia="Times New Roman"/>
                <w:bCs w:val="false"/>
                <w:sz w:val="21"/>
                <w:lang w:eastAsia="ja-JP"/>
              </w:rPr>
              <w:t>e</w:t>
            </w:r>
          </w:p>
          <w:p>
            <w:pPr>
              <w:pStyle w:val="Normal"/>
              <w:suppressAutoHyphens w:val="false"/>
              <w:overflowPunct w:val="true"/>
              <w:spacing w:lineRule="auto" w:line="276" w:before="0" w:after="0"/>
              <w:jc w:val="center"/>
              <w:textAlignment w:val="auto"/>
              <w:rPr>
                <w:rFonts w:eastAsia="Times New Roman"/>
                <w:bCs w:val="false"/>
                <w:sz w:val="21"/>
                <w:lang w:eastAsia="ja-JP"/>
              </w:rPr>
            </w:pPr>
            <w:r>
              <w:rPr>
                <w:rFonts w:eastAsia="Times New Roman"/>
                <w:bCs w:val="false"/>
                <w:sz w:val="21"/>
                <w:lang w:eastAsia="ja-JP"/>
              </w:rPr>
              <w:t xml:space="preserve"> </w:t>
            </w:r>
            <w:r>
              <w:rPr>
                <w:rFonts w:eastAsia="Times New Roman"/>
                <w:bCs w:val="false"/>
                <w:sz w:val="21"/>
                <w:lang w:eastAsia="ja-JP"/>
              </w:rPr>
              <w:t>investigadores</w:t>
            </w:r>
          </w:p>
        </w:tc>
        <w:tc>
          <w:tcPr>
            <w:tcW w:w="1049" w:type="dxa"/>
            <w:tcBorders>
              <w:top w:val="single" w:sz="4" w:space="0" w:color="00000A"/>
              <w:bottom w:val="single" w:sz="4" w:space="0" w:color="00000A"/>
              <w:insideH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UCI</w:t>
            </w:r>
          </w:p>
        </w:tc>
      </w:tr>
      <w:tr>
        <w:trPr>
          <w:trHeight w:val="300" w:hRule="atLeast"/>
        </w:trPr>
        <w:tc>
          <w:tcPr>
            <w:tcW w:w="3115" w:type="dxa"/>
            <w:tcBorders>
              <w:top w:val="single" w:sz="4" w:space="0" w:color="00000A"/>
              <w:bottom w:val="single" w:sz="4" w:space="0" w:color="00000A"/>
              <w:insideH w:val="single" w:sz="4" w:space="0" w:color="00000A"/>
            </w:tcBorders>
            <w:shd w:color="auto" w:fill="auto" w:val="clear"/>
            <w:vAlign w:val="center"/>
          </w:tcPr>
          <w:p>
            <w:pPr>
              <w:pStyle w:val="Normal"/>
              <w:suppressAutoHyphens w:val="false"/>
              <w:overflowPunct w:val="true"/>
              <w:spacing w:lineRule="auto" w:line="240" w:before="0" w:after="0"/>
              <w:jc w:val="left"/>
              <w:textAlignment w:val="auto"/>
              <w:rPr>
                <w:rFonts w:eastAsia="Times New Roman"/>
                <w:bCs w:val="false"/>
                <w:sz w:val="21"/>
                <w:lang w:eastAsia="ja-JP"/>
              </w:rPr>
            </w:pPr>
            <w:r>
              <w:rPr>
                <w:rFonts w:eastAsia="Times New Roman"/>
                <w:bCs w:val="false"/>
                <w:sz w:val="21"/>
                <w:lang w:eastAsia="ja-JP"/>
              </w:rPr>
              <w:t>Dr.C Roberto Delgado Victore</w:t>
            </w:r>
          </w:p>
        </w:tc>
        <w:tc>
          <w:tcPr>
            <w:tcW w:w="1276" w:type="dxa"/>
            <w:tcBorders>
              <w:top w:val="single" w:sz="4" w:space="0" w:color="00000A"/>
              <w:bottom w:val="single" w:sz="4" w:space="0" w:color="00000A"/>
              <w:insideH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44</w:t>
            </w:r>
          </w:p>
        </w:tc>
        <w:tc>
          <w:tcPr>
            <w:tcW w:w="1699" w:type="dxa"/>
            <w:tcBorders>
              <w:top w:val="single" w:sz="4" w:space="0" w:color="00000A"/>
              <w:bottom w:val="single" w:sz="4" w:space="0" w:color="00000A"/>
              <w:insideH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Civil</w:t>
            </w:r>
          </w:p>
        </w:tc>
        <w:tc>
          <w:tcPr>
            <w:tcW w:w="1840" w:type="dxa"/>
            <w:vMerge w:val="continue"/>
            <w:tcBorders>
              <w:top w:val="single" w:sz="4" w:space="0" w:color="00000A"/>
              <w:bottom w:val="single" w:sz="4" w:space="0" w:color="00000A"/>
              <w:insideH w:val="single" w:sz="4" w:space="0" w:color="00000A"/>
            </w:tcBorders>
            <w:shd w:color="auto" w:fill="auto" w:val="clear"/>
            <w:vAlign w:val="center"/>
          </w:tcPr>
          <w:p>
            <w:pPr>
              <w:pStyle w:val="Normal"/>
              <w:spacing w:lineRule="auto" w:line="240" w:before="0" w:after="0"/>
              <w:jc w:val="center"/>
              <w:rPr>
                <w:rFonts w:eastAsia="Times New Roman"/>
                <w:bCs w:val="false"/>
                <w:sz w:val="21"/>
                <w:lang w:eastAsia="ja-JP"/>
              </w:rPr>
            </w:pPr>
            <w:r>
              <w:rPr>
                <w:rFonts w:eastAsia="Times New Roman"/>
                <w:bCs w:val="false"/>
                <w:sz w:val="21"/>
                <w:lang w:eastAsia="ja-JP"/>
              </w:rPr>
            </w:r>
          </w:p>
        </w:tc>
        <w:tc>
          <w:tcPr>
            <w:tcW w:w="1049" w:type="dxa"/>
            <w:tcBorders>
              <w:top w:val="single" w:sz="4" w:space="0" w:color="00000A"/>
              <w:bottom w:val="single" w:sz="4" w:space="0" w:color="00000A"/>
              <w:insideH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UCI</w:t>
            </w:r>
          </w:p>
        </w:tc>
      </w:tr>
      <w:tr>
        <w:trPr>
          <w:trHeight w:val="636" w:hRule="atLeast"/>
        </w:trPr>
        <w:tc>
          <w:tcPr>
            <w:tcW w:w="3115" w:type="dxa"/>
            <w:tcBorders>
              <w:top w:val="single" w:sz="4" w:space="0" w:color="00000A"/>
              <w:bottom w:val="single" w:sz="4" w:space="0" w:color="00000A"/>
              <w:insideH w:val="single" w:sz="4" w:space="0" w:color="00000A"/>
            </w:tcBorders>
            <w:shd w:color="auto" w:fill="auto" w:val="clear"/>
            <w:vAlign w:val="center"/>
          </w:tcPr>
          <w:p>
            <w:pPr>
              <w:pStyle w:val="Normal"/>
              <w:suppressAutoHyphens w:val="false"/>
              <w:overflowPunct w:val="true"/>
              <w:spacing w:lineRule="auto" w:line="240" w:before="0" w:after="0"/>
              <w:jc w:val="left"/>
              <w:textAlignment w:val="auto"/>
              <w:rPr>
                <w:rFonts w:eastAsia="Times New Roman"/>
                <w:bCs w:val="false"/>
                <w:sz w:val="21"/>
                <w:lang w:eastAsia="ja-JP"/>
              </w:rPr>
            </w:pPr>
            <w:r>
              <w:rPr>
                <w:rFonts w:eastAsia="Times New Roman"/>
                <w:bCs w:val="false"/>
                <w:sz w:val="21"/>
                <w:lang w:eastAsia="ja-JP"/>
              </w:rPr>
              <w:t>Dr.C Surayne Torres López</w:t>
            </w:r>
          </w:p>
        </w:tc>
        <w:tc>
          <w:tcPr>
            <w:tcW w:w="1276" w:type="dxa"/>
            <w:tcBorders>
              <w:top w:val="single" w:sz="4" w:space="0" w:color="00000A"/>
              <w:bottom w:val="single" w:sz="4" w:space="0" w:color="00000A"/>
              <w:insideH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13</w:t>
            </w:r>
          </w:p>
        </w:tc>
        <w:tc>
          <w:tcPr>
            <w:tcW w:w="1699" w:type="dxa"/>
            <w:tcBorders>
              <w:top w:val="single" w:sz="4" w:space="0" w:color="00000A"/>
              <w:bottom w:val="single" w:sz="4" w:space="0" w:color="00000A"/>
              <w:insideH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Ciencias Informáticas</w:t>
            </w:r>
          </w:p>
        </w:tc>
        <w:tc>
          <w:tcPr>
            <w:tcW w:w="1840" w:type="dxa"/>
            <w:vMerge w:val="continue"/>
            <w:tcBorders>
              <w:top w:val="single" w:sz="4" w:space="0" w:color="00000A"/>
              <w:bottom w:val="single" w:sz="4" w:space="0" w:color="00000A"/>
              <w:insideH w:val="single" w:sz="4" w:space="0" w:color="00000A"/>
            </w:tcBorders>
            <w:shd w:color="auto" w:fill="auto" w:val="clear"/>
            <w:vAlign w:val="center"/>
          </w:tcPr>
          <w:p>
            <w:pPr>
              <w:pStyle w:val="Normal"/>
              <w:spacing w:lineRule="auto" w:line="240" w:before="0" w:after="0"/>
              <w:jc w:val="center"/>
              <w:rPr>
                <w:rFonts w:eastAsia="Times New Roman"/>
                <w:bCs w:val="false"/>
                <w:sz w:val="21"/>
                <w:lang w:eastAsia="ja-JP"/>
              </w:rPr>
            </w:pPr>
            <w:r>
              <w:rPr>
                <w:rFonts w:eastAsia="Times New Roman"/>
                <w:bCs w:val="false"/>
                <w:sz w:val="21"/>
                <w:lang w:eastAsia="ja-JP"/>
              </w:rPr>
            </w:r>
          </w:p>
        </w:tc>
        <w:tc>
          <w:tcPr>
            <w:tcW w:w="1049" w:type="dxa"/>
            <w:tcBorders>
              <w:top w:val="single" w:sz="4" w:space="0" w:color="00000A"/>
              <w:bottom w:val="single" w:sz="4" w:space="0" w:color="00000A"/>
              <w:insideH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UCI</w:t>
            </w:r>
          </w:p>
        </w:tc>
      </w:tr>
      <w:tr>
        <w:trPr>
          <w:trHeight w:val="300" w:hRule="atLeast"/>
        </w:trPr>
        <w:tc>
          <w:tcPr>
            <w:tcW w:w="3115" w:type="dxa"/>
            <w:tcBorders>
              <w:top w:val="single" w:sz="4" w:space="0" w:color="00000A"/>
              <w:bottom w:val="single" w:sz="4" w:space="0" w:color="00000A"/>
              <w:insideH w:val="single" w:sz="4" w:space="0" w:color="00000A"/>
            </w:tcBorders>
            <w:shd w:color="auto" w:fill="auto" w:val="clear"/>
            <w:vAlign w:val="center"/>
          </w:tcPr>
          <w:p>
            <w:pPr>
              <w:pStyle w:val="Normal"/>
              <w:suppressAutoHyphens w:val="false"/>
              <w:overflowPunct w:val="true"/>
              <w:spacing w:lineRule="auto" w:line="240" w:before="0" w:after="0"/>
              <w:jc w:val="left"/>
              <w:textAlignment w:val="auto"/>
              <w:rPr>
                <w:rFonts w:eastAsia="Times New Roman"/>
                <w:bCs w:val="false"/>
                <w:sz w:val="21"/>
                <w:lang w:eastAsia="ja-JP"/>
              </w:rPr>
            </w:pPr>
            <w:r>
              <w:rPr>
                <w:rFonts w:eastAsia="Times New Roman"/>
                <w:bCs w:val="false"/>
                <w:sz w:val="21"/>
                <w:lang w:eastAsia="ja-JP"/>
              </w:rPr>
              <w:t>Dr.C Armando Pérez Fuentes</w:t>
            </w:r>
          </w:p>
        </w:tc>
        <w:tc>
          <w:tcPr>
            <w:tcW w:w="1276" w:type="dxa"/>
            <w:tcBorders>
              <w:top w:val="single" w:sz="4" w:space="0" w:color="00000A"/>
              <w:bottom w:val="single" w:sz="4" w:space="0" w:color="00000A"/>
              <w:insideH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35</w:t>
            </w:r>
          </w:p>
        </w:tc>
        <w:tc>
          <w:tcPr>
            <w:tcW w:w="1699" w:type="dxa"/>
            <w:tcBorders>
              <w:top w:val="single" w:sz="4" w:space="0" w:color="00000A"/>
              <w:bottom w:val="single" w:sz="4" w:space="0" w:color="00000A"/>
              <w:insideH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Deporte</w:t>
            </w:r>
          </w:p>
        </w:tc>
        <w:tc>
          <w:tcPr>
            <w:tcW w:w="1840" w:type="dxa"/>
            <w:vMerge w:val="continue"/>
            <w:tcBorders>
              <w:top w:val="single" w:sz="4" w:space="0" w:color="00000A"/>
              <w:bottom w:val="single" w:sz="4" w:space="0" w:color="00000A"/>
              <w:insideH w:val="single" w:sz="4" w:space="0" w:color="00000A"/>
            </w:tcBorders>
            <w:shd w:color="auto" w:fill="auto" w:val="clear"/>
            <w:vAlign w:val="center"/>
          </w:tcPr>
          <w:p>
            <w:pPr>
              <w:pStyle w:val="Normal"/>
              <w:spacing w:lineRule="auto" w:line="240" w:before="0" w:after="0"/>
              <w:jc w:val="center"/>
              <w:rPr>
                <w:rFonts w:eastAsia="Times New Roman"/>
                <w:bCs w:val="false"/>
                <w:sz w:val="21"/>
                <w:lang w:eastAsia="ja-JP"/>
              </w:rPr>
            </w:pPr>
            <w:r>
              <w:rPr>
                <w:rFonts w:eastAsia="Times New Roman"/>
                <w:bCs w:val="false"/>
                <w:sz w:val="21"/>
                <w:lang w:eastAsia="ja-JP"/>
              </w:rPr>
            </w:r>
          </w:p>
        </w:tc>
        <w:tc>
          <w:tcPr>
            <w:tcW w:w="1049" w:type="dxa"/>
            <w:tcBorders>
              <w:top w:val="single" w:sz="4" w:space="0" w:color="00000A"/>
              <w:bottom w:val="single" w:sz="4" w:space="0" w:color="00000A"/>
              <w:insideH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UCI</w:t>
            </w:r>
          </w:p>
        </w:tc>
      </w:tr>
      <w:tr>
        <w:trPr>
          <w:trHeight w:val="300" w:hRule="atLeast"/>
        </w:trPr>
        <w:tc>
          <w:tcPr>
            <w:tcW w:w="3115" w:type="dxa"/>
            <w:tcBorders>
              <w:top w:val="single" w:sz="12" w:space="0" w:color="00000A"/>
              <w:bottom w:val="single" w:sz="12" w:space="0" w:color="00000A"/>
              <w:insideH w:val="single" w:sz="12" w:space="0" w:color="00000A"/>
            </w:tcBorders>
            <w:shd w:color="auto" w:fill="auto" w:val="clear"/>
            <w:vAlign w:val="center"/>
          </w:tcPr>
          <w:p>
            <w:pPr>
              <w:pStyle w:val="Normal"/>
              <w:suppressAutoHyphens w:val="false"/>
              <w:overflowPunct w:val="true"/>
              <w:spacing w:lineRule="auto" w:line="240" w:before="0" w:after="0"/>
              <w:jc w:val="left"/>
              <w:textAlignment w:val="auto"/>
              <w:rPr>
                <w:rFonts w:eastAsia="Times New Roman"/>
                <w:bCs w:val="false"/>
                <w:sz w:val="21"/>
                <w:lang w:eastAsia="ja-JP"/>
              </w:rPr>
            </w:pPr>
            <w:r>
              <w:rPr>
                <w:rFonts w:eastAsia="Times New Roman"/>
                <w:bCs w:val="false"/>
                <w:sz w:val="21"/>
                <w:lang w:eastAsia="ja-JP"/>
              </w:rPr>
              <w:t>Dr.C Pascual Verdecia</w:t>
            </w:r>
          </w:p>
        </w:tc>
        <w:tc>
          <w:tcPr>
            <w:tcW w:w="1276" w:type="dxa"/>
            <w:tcBorders>
              <w:top w:val="single" w:sz="12" w:space="0" w:color="00000A"/>
              <w:bottom w:val="single" w:sz="12" w:space="0" w:color="00000A"/>
              <w:insideH w:val="single" w:sz="12"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35</w:t>
            </w:r>
          </w:p>
        </w:tc>
        <w:tc>
          <w:tcPr>
            <w:tcW w:w="1699" w:type="dxa"/>
            <w:tcBorders>
              <w:top w:val="single" w:sz="12" w:space="0" w:color="00000A"/>
              <w:bottom w:val="single" w:sz="12" w:space="0" w:color="00000A"/>
              <w:insideH w:val="single" w:sz="12"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Minería</w:t>
            </w:r>
          </w:p>
        </w:tc>
        <w:tc>
          <w:tcPr>
            <w:tcW w:w="1840" w:type="dxa"/>
            <w:vMerge w:val="continue"/>
            <w:tcBorders>
              <w:top w:val="single" w:sz="12" w:space="0" w:color="00000A"/>
              <w:bottom w:val="single" w:sz="12" w:space="0" w:color="00000A"/>
              <w:insideH w:val="single" w:sz="12"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r>
          </w:p>
        </w:tc>
        <w:tc>
          <w:tcPr>
            <w:tcW w:w="1049" w:type="dxa"/>
            <w:tcBorders>
              <w:top w:val="single" w:sz="12" w:space="0" w:color="00000A"/>
              <w:bottom w:val="single" w:sz="12" w:space="0" w:color="00000A"/>
              <w:insideH w:val="single" w:sz="12"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sz w:val="21"/>
                <w:lang w:eastAsia="ja-JP"/>
              </w:rPr>
            </w:pPr>
            <w:r>
              <w:rPr>
                <w:rFonts w:eastAsia="Times New Roman"/>
                <w:bCs w:val="false"/>
                <w:sz w:val="21"/>
                <w:lang w:eastAsia="ja-JP"/>
              </w:rPr>
              <w:t>UCI</w:t>
            </w:r>
          </w:p>
        </w:tc>
      </w:tr>
    </w:tbl>
    <w:p>
      <w:pPr>
        <w:pStyle w:val="Normal"/>
        <w:rPr/>
      </w:pPr>
      <w:r>
        <w:rPr/>
      </w:r>
    </w:p>
    <w:p>
      <w:pPr>
        <w:pStyle w:val="Heading2"/>
        <w:numPr>
          <w:ilvl w:val="1"/>
          <w:numId w:val="80"/>
        </w:numPr>
        <w:rPr/>
      </w:pPr>
      <w:bookmarkStart w:id="3818" w:name="_Toc84598966"/>
      <w:bookmarkStart w:id="3819" w:name="_Ref76044028"/>
      <w:r>
        <w:rPr/>
        <w:t xml:space="preserve">Anexo </w:t>
      </w:r>
      <w:r>
        <w:rPr/>
        <w:fldChar w:fldCharType="begin"/>
      </w:r>
      <w:r>
        <w:instrText> SEQ Anexo \* ARABIC </w:instrText>
      </w:r>
      <w:r>
        <w:fldChar w:fldCharType="separate"/>
      </w:r>
      <w:r>
        <w:t>12</w:t>
      </w:r>
      <w:r>
        <w:fldChar w:fldCharType="end"/>
      </w:r>
      <w:bookmarkEnd w:id="3818"/>
      <w:bookmarkEnd w:id="3819"/>
      <w:r>
        <w:rPr/>
        <w:t>. Encuestas aplicadas a los especialistas de los casos de estudio</w:t>
      </w:r>
    </w:p>
    <w:p>
      <w:pPr>
        <w:pStyle w:val="Caption1"/>
        <w:keepNext/>
        <w:rPr/>
      </w:pPr>
      <w:bookmarkStart w:id="3820" w:name="_Toc84598998"/>
      <w:bookmarkStart w:id="3821" w:name="_Ref76044015"/>
      <w:r>
        <w:rPr/>
        <w:t xml:space="preserve">Tabla </w:t>
      </w:r>
      <w:r>
        <w:rPr/>
        <w:fldChar w:fldCharType="begin"/>
      </w:r>
      <w:r>
        <w:instrText> SEQ Tabla \* ARABIC </w:instrText>
      </w:r>
      <w:r>
        <w:fldChar w:fldCharType="separate"/>
      </w:r>
      <w:r>
        <w:t>28</w:t>
      </w:r>
      <w:r>
        <w:fldChar w:fldCharType="end"/>
      </w:r>
      <w:bookmarkEnd w:id="3820"/>
      <w:bookmarkEnd w:id="3821"/>
      <w:r>
        <w:rPr/>
        <w:t xml:space="preserve"> Encuesta aplicada a los especialistas en el tratamiento de embarazadas cardiópatas.</w:t>
      </w:r>
    </w:p>
    <w:tbl>
      <w:tblPr>
        <w:tblW w:w="5000" w:type="pct"/>
        <w:jc w:val="left"/>
        <w:tblInd w:w="-15" w:type="dxa"/>
        <w:tblBorders>
          <w:top w:val="single" w:sz="4" w:space="0" w:color="00000A"/>
          <w:left w:val="single" w:sz="4" w:space="0" w:color="00000A"/>
          <w:right w:val="single" w:sz="4" w:space="0" w:color="00000A"/>
          <w:insideV w:val="single" w:sz="4" w:space="0" w:color="00000A"/>
        </w:tblBorders>
        <w:tblCellMar>
          <w:top w:w="0" w:type="dxa"/>
          <w:left w:w="50" w:type="dxa"/>
          <w:bottom w:w="0" w:type="dxa"/>
          <w:right w:w="70" w:type="dxa"/>
        </w:tblCellMar>
        <w:tblLook w:val="04a0" w:noVBand="1" w:noHBand="0" w:lastColumn="0" w:firstColumn="1" w:lastRow="0" w:firstRow="1"/>
      </w:tblPr>
      <w:tblGrid>
        <w:gridCol w:w="544"/>
        <w:gridCol w:w="6543"/>
        <w:gridCol w:w="424"/>
        <w:gridCol w:w="570"/>
        <w:gridCol w:w="428"/>
        <w:gridCol w:w="469"/>
      </w:tblGrid>
      <w:tr>
        <w:trPr>
          <w:trHeight w:val="300" w:hRule="atLeast"/>
        </w:trPr>
        <w:tc>
          <w:tcPr>
            <w:tcW w:w="7087" w:type="dxa"/>
            <w:gridSpan w:val="2"/>
            <w:vMerge w:val="restart"/>
            <w:tcBorders>
              <w:top w:val="single" w:sz="4" w:space="0" w:color="00000A"/>
              <w:left w:val="single" w:sz="4" w:space="0" w:color="00000A"/>
              <w:right w:val="single" w:sz="4" w:space="0" w:color="00000A"/>
              <w:insideV w:val="single" w:sz="4" w:space="0" w:color="00000A"/>
            </w:tcBorders>
            <w:shd w:color="auto" w:fill="auto" w:val="clear"/>
            <w:tcMar>
              <w:left w:w="50" w:type="dxa"/>
            </w:tcMar>
            <w:vAlign w:val="center"/>
          </w:tcPr>
          <w:p>
            <w:pPr>
              <w:pStyle w:val="Normal"/>
              <w:spacing w:lineRule="auto" w:line="247" w:before="0" w:after="0"/>
              <w:jc w:val="center"/>
              <w:rPr>
                <w:rFonts w:eastAsia="Times New Roman"/>
                <w:bCs w:val="false"/>
                <w:lang w:eastAsia="ja-JP"/>
              </w:rPr>
            </w:pPr>
            <w:r>
              <w:rPr>
                <w:rFonts w:eastAsia="Times New Roman"/>
                <w:bCs w:val="false"/>
                <w:lang w:eastAsia="ja-JP"/>
              </w:rPr>
              <w:t>Criterios</w:t>
            </w:r>
          </w:p>
        </w:tc>
        <w:tc>
          <w:tcPr>
            <w:tcW w:w="1891" w:type="dxa"/>
            <w:gridSpan w:val="4"/>
            <w:tcBorders>
              <w:top w:val="single" w:sz="4" w:space="0" w:color="00000A"/>
              <w:left w:val="single" w:sz="4" w:space="0" w:color="00000A"/>
              <w:right w:val="single" w:sz="4" w:space="0" w:color="00000A"/>
              <w:insideV w:val="single" w:sz="4" w:space="0" w:color="00000A"/>
            </w:tcBorders>
            <w:shd w:color="auto" w:fill="auto" w:val="clear"/>
            <w:tcMar>
              <w:left w:w="50" w:type="dxa"/>
            </w:tcM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Especialistas</w:t>
            </w:r>
          </w:p>
        </w:tc>
      </w:tr>
      <w:tr>
        <w:trPr>
          <w:trHeight w:val="300" w:hRule="atLeast"/>
        </w:trPr>
        <w:tc>
          <w:tcPr>
            <w:tcW w:w="7087"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center"/>
          </w:tcPr>
          <w:p>
            <w:pPr>
              <w:pStyle w:val="Normal"/>
              <w:suppressAutoHyphens w:val="false"/>
              <w:overflowPunct w:val="true"/>
              <w:spacing w:lineRule="auto" w:line="247" w:before="0" w:after="0"/>
              <w:jc w:val="center"/>
              <w:textAlignment w:val="auto"/>
              <w:rPr>
                <w:rFonts w:eastAsia="Times New Roman"/>
                <w:bCs w:val="false"/>
                <w:lang w:eastAsia="ja-JP"/>
              </w:rPr>
            </w:pPr>
            <w:r>
              <w:rPr>
                <w:rFonts w:eastAsia="Times New Roman"/>
                <w:bCs w:val="false"/>
                <w:lang w:eastAsia="ja-JP"/>
              </w:rPr>
            </w:r>
          </w:p>
        </w:tc>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E1</w:t>
            </w:r>
          </w:p>
        </w:tc>
        <w:tc>
          <w:tcPr>
            <w:tcW w:w="5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E2</w:t>
            </w:r>
          </w:p>
        </w:tc>
        <w:tc>
          <w:tcPr>
            <w:tcW w:w="4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E3</w:t>
            </w:r>
          </w:p>
        </w:tc>
        <w:tc>
          <w:tcPr>
            <w:tcW w:w="4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E4</w:t>
            </w:r>
          </w:p>
        </w:tc>
      </w:tr>
      <w:tr>
        <w:trPr>
          <w:trHeight w:val="390" w:hRule="atLeast"/>
        </w:trPr>
        <w:tc>
          <w:tcPr>
            <w:tcW w:w="544" w:type="dxa"/>
            <w:tcBorders>
              <w:left w:val="single" w:sz="4" w:space="0" w:color="00000A"/>
              <w:right w:val="single" w:sz="4" w:space="0" w:color="00000A"/>
              <w:insideV w:val="single" w:sz="4" w:space="0" w:color="00000A"/>
            </w:tcBorders>
            <w:shd w:color="auto" w:fill="auto" w:val="clear"/>
            <w:tcMar>
              <w:left w:w="50" w:type="dxa"/>
            </w:tcMar>
            <w:vAlign w:val="center"/>
          </w:tcPr>
          <w:p>
            <w:pPr>
              <w:pStyle w:val="Normal"/>
              <w:suppressAutoHyphens w:val="false"/>
              <w:overflowPunct w:val="true"/>
              <w:spacing w:lineRule="auto" w:line="247" w:before="0" w:after="0"/>
              <w:jc w:val="center"/>
              <w:textAlignment w:val="auto"/>
              <w:rPr>
                <w:rFonts w:eastAsia="Times New Roman"/>
                <w:bCs w:val="false"/>
                <w:lang w:eastAsia="ja-JP"/>
              </w:rPr>
            </w:pPr>
            <w:r>
              <w:rPr>
                <w:rFonts w:eastAsia="Times New Roman"/>
                <w:bCs w:val="false"/>
                <w:lang w:eastAsia="ja-JP"/>
              </w:rPr>
              <w:t>C1</w:t>
            </w:r>
          </w:p>
        </w:tc>
        <w:tc>
          <w:tcPr>
            <w:tcW w:w="6543"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7" w:before="60" w:after="60"/>
              <w:textAlignment w:val="auto"/>
              <w:rPr>
                <w:rFonts w:eastAsia="Times New Roman"/>
                <w:bCs w:val="false"/>
                <w:lang w:eastAsia="ja-JP"/>
              </w:rPr>
            </w:pPr>
            <w:r>
              <w:rPr>
                <w:rFonts w:eastAsia="Times New Roman"/>
                <w:bCs w:val="false"/>
                <w:lang w:eastAsia="ja-JP"/>
              </w:rPr>
              <w:t>¿En qué grado los resúmenes lingüísticos que se obtienen muestran información correcta, cierta? **</w:t>
            </w:r>
          </w:p>
        </w:tc>
        <w:tc>
          <w:tcPr>
            <w:tcW w:w="424" w:type="dxa"/>
            <w:tcBorders>
              <w:top w:val="single" w:sz="4" w:space="0" w:color="00000A"/>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3</w:t>
            </w:r>
          </w:p>
        </w:tc>
        <w:tc>
          <w:tcPr>
            <w:tcW w:w="570" w:type="dxa"/>
            <w:tcBorders>
              <w:top w:val="single" w:sz="4" w:space="0" w:color="00000A"/>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428" w:type="dxa"/>
            <w:tcBorders>
              <w:top w:val="single" w:sz="4" w:space="0" w:color="00000A"/>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3</w:t>
            </w:r>
          </w:p>
        </w:tc>
        <w:tc>
          <w:tcPr>
            <w:tcW w:w="469" w:type="dxa"/>
            <w:tcBorders>
              <w:top w:val="single" w:sz="4" w:space="0" w:color="00000A"/>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t>3</w:t>
            </w:r>
          </w:p>
        </w:tc>
      </w:tr>
      <w:tr>
        <w:trPr>
          <w:trHeight w:val="282" w:hRule="atLeast"/>
        </w:trPr>
        <w:tc>
          <w:tcPr>
            <w:tcW w:w="544" w:type="dxa"/>
            <w:tcBorders>
              <w:left w:val="single" w:sz="4" w:space="0" w:color="00000A"/>
              <w:right w:val="single" w:sz="4" w:space="0" w:color="00000A"/>
              <w:insideV w:val="single" w:sz="4" w:space="0" w:color="00000A"/>
            </w:tcBorders>
            <w:shd w:color="auto" w:fill="auto" w:val="clear"/>
            <w:tcMar>
              <w:left w:w="50" w:type="dxa"/>
            </w:tcMar>
            <w:vAlign w:val="center"/>
          </w:tcPr>
          <w:p>
            <w:pPr>
              <w:pStyle w:val="Normal"/>
              <w:suppressAutoHyphens w:val="false"/>
              <w:overflowPunct w:val="true"/>
              <w:spacing w:lineRule="auto" w:line="247" w:before="0" w:after="0"/>
              <w:jc w:val="center"/>
              <w:textAlignment w:val="auto"/>
              <w:rPr>
                <w:rFonts w:eastAsia="Times New Roman"/>
                <w:bCs w:val="false"/>
                <w:lang w:eastAsia="ja-JP"/>
              </w:rPr>
            </w:pPr>
            <w:r>
              <w:rPr>
                <w:rFonts w:eastAsia="Times New Roman"/>
                <w:bCs w:val="false"/>
                <w:lang w:eastAsia="ja-JP"/>
              </w:rPr>
              <w:t>C2</w:t>
            </w:r>
          </w:p>
        </w:tc>
        <w:tc>
          <w:tcPr>
            <w:tcW w:w="6543"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7" w:before="60" w:after="60"/>
              <w:textAlignment w:val="auto"/>
              <w:rPr>
                <w:rFonts w:eastAsia="Times New Roman"/>
                <w:bCs w:val="false"/>
                <w:lang w:eastAsia="ja-JP"/>
              </w:rPr>
            </w:pPr>
            <w:r>
              <w:rPr>
                <w:rFonts w:eastAsia="Times New Roman"/>
                <w:bCs w:val="false"/>
                <w:lang w:eastAsia="ja-JP"/>
              </w:rPr>
              <w:t>¿En qué grado los resúmenes lingüísticos que se obtienen muestran información relevante, novedosa? **</w:t>
            </w:r>
          </w:p>
        </w:tc>
        <w:tc>
          <w:tcPr>
            <w:tcW w:w="424"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2</w:t>
            </w:r>
          </w:p>
        </w:tc>
        <w:tc>
          <w:tcPr>
            <w:tcW w:w="570"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3</w:t>
            </w:r>
          </w:p>
        </w:tc>
        <w:tc>
          <w:tcPr>
            <w:tcW w:w="428"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3</w:t>
            </w:r>
          </w:p>
        </w:tc>
        <w:tc>
          <w:tcPr>
            <w:tcW w:w="469"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t>3</w:t>
            </w:r>
          </w:p>
        </w:tc>
      </w:tr>
      <w:tr>
        <w:trPr>
          <w:trHeight w:val="488" w:hRule="atLeast"/>
        </w:trPr>
        <w:tc>
          <w:tcPr>
            <w:tcW w:w="544" w:type="dxa"/>
            <w:tcBorders>
              <w:left w:val="single" w:sz="4" w:space="0" w:color="00000A"/>
              <w:right w:val="single" w:sz="4" w:space="0" w:color="00000A"/>
              <w:insideV w:val="single" w:sz="4" w:space="0" w:color="00000A"/>
            </w:tcBorders>
            <w:shd w:color="auto" w:fill="auto" w:val="clear"/>
            <w:tcMar>
              <w:left w:w="50" w:type="dxa"/>
            </w:tcMar>
            <w:vAlign w:val="center"/>
          </w:tcPr>
          <w:p>
            <w:pPr>
              <w:pStyle w:val="Normal"/>
              <w:suppressAutoHyphens w:val="false"/>
              <w:overflowPunct w:val="true"/>
              <w:spacing w:lineRule="auto" w:line="247" w:before="0" w:after="0"/>
              <w:jc w:val="center"/>
              <w:textAlignment w:val="auto"/>
              <w:rPr>
                <w:rFonts w:eastAsia="Times New Roman"/>
                <w:bCs w:val="false"/>
                <w:lang w:eastAsia="ja-JP"/>
              </w:rPr>
            </w:pPr>
            <w:r>
              <w:rPr>
                <w:rFonts w:eastAsia="Times New Roman"/>
                <w:bCs w:val="false"/>
                <w:lang w:eastAsia="ja-JP"/>
              </w:rPr>
              <w:t>C3</w:t>
            </w:r>
          </w:p>
        </w:tc>
        <w:tc>
          <w:tcPr>
            <w:tcW w:w="6543"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7" w:before="60" w:after="60"/>
              <w:textAlignment w:val="auto"/>
              <w:rPr>
                <w:rFonts w:eastAsia="Times New Roman"/>
                <w:bCs w:val="false"/>
                <w:lang w:eastAsia="ja-JP"/>
              </w:rPr>
            </w:pPr>
            <w:r>
              <w:rPr>
                <w:rFonts w:eastAsia="Times New Roman"/>
                <w:bCs w:val="false"/>
                <w:lang w:eastAsia="ja-JP"/>
              </w:rPr>
              <w:t>¿En qué grado consideran los decisores que los resúmenes lingüísticos son interpretables? *</w:t>
            </w:r>
          </w:p>
        </w:tc>
        <w:tc>
          <w:tcPr>
            <w:tcW w:w="424"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570"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3</w:t>
            </w:r>
          </w:p>
        </w:tc>
        <w:tc>
          <w:tcPr>
            <w:tcW w:w="428"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469"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t>3</w:t>
            </w:r>
          </w:p>
        </w:tc>
      </w:tr>
      <w:tr>
        <w:trPr>
          <w:trHeight w:val="1008" w:hRule="atLeast"/>
        </w:trPr>
        <w:tc>
          <w:tcPr>
            <w:tcW w:w="544" w:type="dxa"/>
            <w:tcBorders>
              <w:left w:val="single" w:sz="4" w:space="0" w:color="00000A"/>
              <w:right w:val="single" w:sz="4" w:space="0" w:color="00000A"/>
              <w:insideV w:val="single" w:sz="4" w:space="0" w:color="00000A"/>
            </w:tcBorders>
            <w:shd w:color="auto" w:fill="auto" w:val="clear"/>
            <w:tcMar>
              <w:left w:w="50" w:type="dxa"/>
            </w:tcMar>
            <w:vAlign w:val="center"/>
          </w:tcPr>
          <w:p>
            <w:pPr>
              <w:pStyle w:val="Normal"/>
              <w:suppressAutoHyphens w:val="false"/>
              <w:overflowPunct w:val="true"/>
              <w:spacing w:lineRule="auto" w:line="247" w:before="0" w:after="0"/>
              <w:jc w:val="center"/>
              <w:textAlignment w:val="auto"/>
              <w:rPr>
                <w:rFonts w:eastAsia="Times New Roman"/>
                <w:bCs w:val="false"/>
                <w:lang w:eastAsia="ja-JP"/>
              </w:rPr>
            </w:pPr>
            <w:r>
              <w:rPr>
                <w:rFonts w:eastAsia="Times New Roman"/>
                <w:bCs w:val="false"/>
                <w:lang w:eastAsia="ja-JP"/>
              </w:rPr>
              <w:t>C4</w:t>
            </w:r>
          </w:p>
        </w:tc>
        <w:tc>
          <w:tcPr>
            <w:tcW w:w="6543"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7" w:before="60" w:after="60"/>
              <w:textAlignment w:val="auto"/>
              <w:rPr>
                <w:rFonts w:eastAsia="Times New Roman"/>
                <w:bCs w:val="false"/>
                <w:lang w:eastAsia="ja-JP"/>
              </w:rPr>
            </w:pPr>
            <w:r>
              <w:rPr>
                <w:rFonts w:eastAsia="Times New Roman"/>
                <w:bCs w:val="false"/>
                <w:lang w:eastAsia="ja-JP"/>
              </w:rPr>
              <w:t>¿En qué medida el uso de los resúmenes lingüísticos permite a los especialistas médicos obtener información sobre el comportamiento de las afecciones cardiovasculares en los pacientes rápidamente? **</w:t>
            </w:r>
          </w:p>
        </w:tc>
        <w:tc>
          <w:tcPr>
            <w:tcW w:w="424"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570"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2</w:t>
            </w:r>
          </w:p>
        </w:tc>
        <w:tc>
          <w:tcPr>
            <w:tcW w:w="428"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3</w:t>
            </w:r>
          </w:p>
        </w:tc>
        <w:tc>
          <w:tcPr>
            <w:tcW w:w="469"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t>4</w:t>
            </w:r>
          </w:p>
        </w:tc>
      </w:tr>
      <w:tr>
        <w:trPr>
          <w:trHeight w:val="755" w:hRule="atLeast"/>
        </w:trPr>
        <w:tc>
          <w:tcPr>
            <w:tcW w:w="544" w:type="dxa"/>
            <w:tcBorders>
              <w:left w:val="single" w:sz="4" w:space="0" w:color="00000A"/>
              <w:right w:val="single" w:sz="4" w:space="0" w:color="00000A"/>
              <w:insideV w:val="single" w:sz="4" w:space="0" w:color="00000A"/>
            </w:tcBorders>
            <w:shd w:color="auto" w:fill="auto" w:val="clear"/>
            <w:tcMar>
              <w:left w:w="50" w:type="dxa"/>
            </w:tcMar>
            <w:vAlign w:val="center"/>
          </w:tcPr>
          <w:p>
            <w:pPr>
              <w:pStyle w:val="Normal"/>
              <w:suppressAutoHyphens w:val="false"/>
              <w:overflowPunct w:val="true"/>
              <w:spacing w:lineRule="auto" w:line="247" w:before="0" w:after="0"/>
              <w:jc w:val="center"/>
              <w:textAlignment w:val="auto"/>
              <w:rPr>
                <w:rFonts w:eastAsia="Times New Roman"/>
                <w:bCs w:val="false"/>
                <w:lang w:eastAsia="ja-JP"/>
              </w:rPr>
            </w:pPr>
            <w:r>
              <w:rPr>
                <w:rFonts w:eastAsia="Times New Roman"/>
                <w:bCs w:val="false"/>
                <w:lang w:eastAsia="ja-JP"/>
              </w:rPr>
              <w:t>C5</w:t>
            </w:r>
          </w:p>
        </w:tc>
        <w:tc>
          <w:tcPr>
            <w:tcW w:w="6543"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7" w:before="60" w:after="60"/>
              <w:textAlignment w:val="auto"/>
              <w:rPr>
                <w:rFonts w:eastAsia="Times New Roman"/>
                <w:bCs w:val="false"/>
                <w:lang w:eastAsia="ja-JP"/>
              </w:rPr>
            </w:pPr>
            <w:r>
              <w:rPr>
                <w:rFonts w:eastAsia="Times New Roman"/>
                <w:bCs w:val="false"/>
                <w:lang w:eastAsia="ja-JP"/>
              </w:rPr>
              <w:t>¿En qué medida el uso de resúmenes lingüísticos puede contribuir a ofrecer una mejor explicación sobre el diagnóstico y decisión del tratamiento a los pacientes? **</w:t>
            </w:r>
          </w:p>
        </w:tc>
        <w:tc>
          <w:tcPr>
            <w:tcW w:w="424"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570"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428"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3</w:t>
            </w:r>
          </w:p>
        </w:tc>
        <w:tc>
          <w:tcPr>
            <w:tcW w:w="469"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t>3</w:t>
            </w:r>
          </w:p>
        </w:tc>
      </w:tr>
      <w:tr>
        <w:trPr>
          <w:trHeight w:val="316" w:hRule="atLeast"/>
        </w:trPr>
        <w:tc>
          <w:tcPr>
            <w:tcW w:w="544" w:type="dxa"/>
            <w:tcBorders>
              <w:left w:val="single" w:sz="4" w:space="0" w:color="00000A"/>
              <w:right w:val="single" w:sz="4" w:space="0" w:color="00000A"/>
              <w:insideV w:val="single" w:sz="4" w:space="0" w:color="00000A"/>
            </w:tcBorders>
            <w:shd w:color="auto" w:fill="auto" w:val="clear"/>
            <w:tcMar>
              <w:left w:w="50" w:type="dxa"/>
            </w:tcMar>
            <w:vAlign w:val="center"/>
          </w:tcPr>
          <w:p>
            <w:pPr>
              <w:pStyle w:val="Normal"/>
              <w:suppressAutoHyphens w:val="false"/>
              <w:overflowPunct w:val="true"/>
              <w:spacing w:lineRule="auto" w:line="247" w:before="0" w:after="0"/>
              <w:jc w:val="center"/>
              <w:textAlignment w:val="auto"/>
              <w:rPr>
                <w:rFonts w:eastAsia="Times New Roman"/>
                <w:bCs w:val="false"/>
                <w:lang w:eastAsia="ja-JP"/>
              </w:rPr>
            </w:pPr>
            <w:r>
              <w:rPr>
                <w:rFonts w:eastAsia="Times New Roman"/>
                <w:bCs w:val="false"/>
                <w:lang w:eastAsia="ja-JP"/>
              </w:rPr>
              <w:t>C6</w:t>
            </w:r>
          </w:p>
        </w:tc>
        <w:tc>
          <w:tcPr>
            <w:tcW w:w="6543"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7" w:before="60" w:after="60"/>
              <w:textAlignment w:val="auto"/>
              <w:rPr>
                <w:rFonts w:eastAsia="Times New Roman"/>
                <w:bCs w:val="false"/>
                <w:lang w:eastAsia="ja-JP"/>
              </w:rPr>
            </w:pPr>
            <w:r>
              <w:rPr>
                <w:rFonts w:eastAsia="Times New Roman"/>
                <w:bCs w:val="false"/>
                <w:lang w:eastAsia="ja-JP"/>
              </w:rPr>
              <w:t>¿En qué grado consideran los especialistas médicos que los resúmenes lingüísticos son legibles y fáciles de leer? *</w:t>
            </w:r>
          </w:p>
        </w:tc>
        <w:tc>
          <w:tcPr>
            <w:tcW w:w="424"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570"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428"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469"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t>4</w:t>
            </w:r>
          </w:p>
        </w:tc>
      </w:tr>
      <w:tr>
        <w:trPr>
          <w:trHeight w:val="66" w:hRule="atLeast"/>
        </w:trPr>
        <w:tc>
          <w:tcPr>
            <w:tcW w:w="544" w:type="dxa"/>
            <w:tcBorders>
              <w:left w:val="single" w:sz="4" w:space="0" w:color="00000A"/>
              <w:right w:val="single" w:sz="4" w:space="0" w:color="00000A"/>
              <w:insideV w:val="single" w:sz="4" w:space="0" w:color="00000A"/>
            </w:tcBorders>
            <w:shd w:color="auto" w:fill="auto" w:val="clear"/>
            <w:tcMar>
              <w:left w:w="50" w:type="dxa"/>
            </w:tcMar>
            <w:vAlign w:val="center"/>
          </w:tcPr>
          <w:p>
            <w:pPr>
              <w:pStyle w:val="Normal"/>
              <w:suppressAutoHyphens w:val="false"/>
              <w:overflowPunct w:val="true"/>
              <w:spacing w:lineRule="auto" w:line="247" w:before="0" w:after="0"/>
              <w:jc w:val="center"/>
              <w:textAlignment w:val="auto"/>
              <w:rPr>
                <w:rFonts w:eastAsia="Times New Roman"/>
                <w:bCs w:val="false"/>
                <w:lang w:eastAsia="ja-JP"/>
              </w:rPr>
            </w:pPr>
            <w:r>
              <w:rPr>
                <w:rFonts w:eastAsia="Times New Roman"/>
                <w:bCs w:val="false"/>
                <w:lang w:eastAsia="ja-JP"/>
              </w:rPr>
              <w:t>C7</w:t>
            </w:r>
          </w:p>
        </w:tc>
        <w:tc>
          <w:tcPr>
            <w:tcW w:w="6543"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7" w:before="60" w:after="60"/>
              <w:textAlignment w:val="auto"/>
              <w:rPr>
                <w:rFonts w:eastAsia="Times New Roman"/>
                <w:bCs w:val="false"/>
                <w:lang w:eastAsia="ja-JP"/>
              </w:rPr>
            </w:pPr>
            <w:r>
              <w:rPr>
                <w:rFonts w:eastAsia="Times New Roman"/>
                <w:bCs w:val="false"/>
                <w:lang w:eastAsia="ja-JP"/>
              </w:rPr>
              <w:t>¿En qué grado los resúmenes lingüísticos le permiten realizar cambios en el tratamiento a los pacientes? **</w:t>
            </w:r>
          </w:p>
        </w:tc>
        <w:tc>
          <w:tcPr>
            <w:tcW w:w="424"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3</w:t>
            </w:r>
          </w:p>
        </w:tc>
        <w:tc>
          <w:tcPr>
            <w:tcW w:w="570"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3</w:t>
            </w:r>
          </w:p>
        </w:tc>
        <w:tc>
          <w:tcPr>
            <w:tcW w:w="428"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2</w:t>
            </w:r>
          </w:p>
        </w:tc>
        <w:tc>
          <w:tcPr>
            <w:tcW w:w="469"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t>3</w:t>
            </w:r>
          </w:p>
        </w:tc>
      </w:tr>
      <w:tr>
        <w:trPr>
          <w:trHeight w:val="66" w:hRule="atLeast"/>
        </w:trPr>
        <w:tc>
          <w:tcPr>
            <w:tcW w:w="544" w:type="dxa"/>
            <w:tcBorders>
              <w:left w:val="single" w:sz="4" w:space="0" w:color="00000A"/>
              <w:right w:val="single" w:sz="4" w:space="0" w:color="00000A"/>
              <w:insideV w:val="single" w:sz="4" w:space="0" w:color="00000A"/>
            </w:tcBorders>
            <w:shd w:color="auto" w:fill="auto" w:val="clear"/>
            <w:tcMar>
              <w:left w:w="50" w:type="dxa"/>
            </w:tcMar>
            <w:vAlign w:val="center"/>
          </w:tcPr>
          <w:p>
            <w:pPr>
              <w:pStyle w:val="Normal"/>
              <w:suppressAutoHyphens w:val="false"/>
              <w:overflowPunct w:val="true"/>
              <w:spacing w:lineRule="auto" w:line="247" w:before="0" w:after="0"/>
              <w:jc w:val="center"/>
              <w:textAlignment w:val="auto"/>
              <w:rPr>
                <w:rFonts w:eastAsia="Times New Roman"/>
                <w:bCs w:val="false"/>
                <w:lang w:eastAsia="ja-JP"/>
              </w:rPr>
            </w:pPr>
            <w:r>
              <w:rPr>
                <w:rFonts w:eastAsia="Times New Roman"/>
                <w:bCs w:val="false"/>
                <w:lang w:eastAsia="ja-JP"/>
              </w:rPr>
              <w:t>C8</w:t>
            </w:r>
          </w:p>
        </w:tc>
        <w:tc>
          <w:tcPr>
            <w:tcW w:w="6543"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7" w:before="60" w:after="60"/>
              <w:textAlignment w:val="auto"/>
              <w:rPr>
                <w:rFonts w:eastAsia="Times New Roman"/>
                <w:bCs w:val="false"/>
                <w:lang w:eastAsia="ja-JP"/>
              </w:rPr>
            </w:pPr>
            <w:r>
              <w:rPr>
                <w:rFonts w:eastAsia="Times New Roman"/>
                <w:bCs w:val="false"/>
                <w:lang w:eastAsia="ja-JP"/>
              </w:rPr>
              <w:t>¿En qué grado recomienda el uso de los resúmenes lingüísticos a otros especialistas médicos?</w:t>
            </w:r>
          </w:p>
        </w:tc>
        <w:tc>
          <w:tcPr>
            <w:tcW w:w="424"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570"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428"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469"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t>4</w:t>
            </w:r>
          </w:p>
        </w:tc>
      </w:tr>
      <w:tr>
        <w:trPr>
          <w:trHeight w:val="66" w:hRule="atLeast"/>
        </w:trPr>
        <w:tc>
          <w:tcPr>
            <w:tcW w:w="544" w:type="dxa"/>
            <w:tcBorders>
              <w:left w:val="single" w:sz="4" w:space="0" w:color="00000A"/>
              <w:right w:val="single" w:sz="4" w:space="0" w:color="00000A"/>
              <w:insideV w:val="single" w:sz="4" w:space="0" w:color="00000A"/>
            </w:tcBorders>
            <w:shd w:color="auto" w:fill="auto" w:val="clear"/>
            <w:tcMar>
              <w:left w:w="50" w:type="dxa"/>
            </w:tcMar>
            <w:vAlign w:val="center"/>
          </w:tcPr>
          <w:p>
            <w:pPr>
              <w:pStyle w:val="Normal"/>
              <w:suppressAutoHyphens w:val="false"/>
              <w:overflowPunct w:val="true"/>
              <w:spacing w:lineRule="auto" w:line="247" w:before="0" w:after="0"/>
              <w:jc w:val="center"/>
              <w:textAlignment w:val="auto"/>
              <w:rPr>
                <w:rFonts w:eastAsia="Times New Roman"/>
                <w:bCs w:val="false"/>
                <w:lang w:eastAsia="ja-JP"/>
              </w:rPr>
            </w:pPr>
            <w:r>
              <w:rPr>
                <w:rFonts w:eastAsia="Times New Roman"/>
                <w:bCs w:val="false"/>
                <w:lang w:eastAsia="ja-JP"/>
              </w:rPr>
              <w:t>C9</w:t>
            </w:r>
          </w:p>
        </w:tc>
        <w:tc>
          <w:tcPr>
            <w:tcW w:w="6543"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7" w:before="60" w:after="60"/>
              <w:textAlignment w:val="auto"/>
              <w:rPr>
                <w:rFonts w:eastAsia="Times New Roman"/>
                <w:bCs w:val="false"/>
                <w:lang w:eastAsia="ja-JP"/>
              </w:rPr>
            </w:pPr>
            <w:r>
              <w:rPr>
                <w:rFonts w:eastAsia="Times New Roman"/>
                <w:bCs w:val="false"/>
                <w:lang w:eastAsia="ja-JP"/>
              </w:rPr>
              <w:t>¿En qué grado los resúmenes lingüísticos que se obtienen facilitan la toma de decisiones médicas? **</w:t>
            </w:r>
          </w:p>
        </w:tc>
        <w:tc>
          <w:tcPr>
            <w:tcW w:w="424"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570"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428"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469"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t>4</w:t>
            </w:r>
          </w:p>
        </w:tc>
      </w:tr>
      <w:tr>
        <w:trPr>
          <w:trHeight w:val="448" w:hRule="atLeast"/>
        </w:trPr>
        <w:tc>
          <w:tcPr>
            <w:tcW w:w="5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center"/>
          </w:tcPr>
          <w:p>
            <w:pPr>
              <w:pStyle w:val="Normal"/>
              <w:suppressAutoHyphens w:val="false"/>
              <w:overflowPunct w:val="true"/>
              <w:spacing w:lineRule="auto" w:line="247" w:before="0" w:after="0"/>
              <w:jc w:val="center"/>
              <w:textAlignment w:val="auto"/>
              <w:rPr>
                <w:rFonts w:eastAsia="Times New Roman"/>
                <w:bCs w:val="false"/>
                <w:lang w:eastAsia="ja-JP"/>
              </w:rPr>
            </w:pPr>
            <w:r>
              <w:rPr>
                <w:rFonts w:eastAsia="Times New Roman"/>
                <w:bCs w:val="false"/>
                <w:lang w:eastAsia="ja-JP"/>
              </w:rPr>
              <w:t>C10</w:t>
            </w:r>
          </w:p>
        </w:tc>
        <w:tc>
          <w:tcPr>
            <w:tcW w:w="6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overflowPunct w:val="true"/>
              <w:spacing w:lineRule="auto" w:line="247" w:before="60" w:after="60"/>
              <w:textAlignment w:val="auto"/>
              <w:rPr>
                <w:rFonts w:eastAsia="Times New Roman"/>
                <w:bCs w:val="false"/>
                <w:lang w:eastAsia="ja-JP"/>
              </w:rPr>
            </w:pPr>
            <w:r>
              <w:rPr>
                <w:rFonts w:eastAsia="Times New Roman"/>
                <w:bCs w:val="false"/>
                <w:lang w:eastAsia="ja-JP"/>
              </w:rPr>
              <w:t>¿En qué grado se siente confiable usando los resúmenes lingüísticos durante el proceso de toma de decisiones médicas? **</w:t>
            </w:r>
          </w:p>
        </w:tc>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3</w:t>
            </w:r>
          </w:p>
        </w:tc>
        <w:tc>
          <w:tcPr>
            <w:tcW w:w="5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4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3</w:t>
            </w:r>
          </w:p>
        </w:tc>
        <w:tc>
          <w:tcPr>
            <w:tcW w:w="4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t>3</w:t>
            </w:r>
          </w:p>
        </w:tc>
      </w:tr>
    </w:tbl>
    <w:p>
      <w:pPr>
        <w:pStyle w:val="Normal"/>
        <w:rPr/>
      </w:pPr>
      <w:r>
        <w:rPr/>
        <w:t>* Estos criterios permiten conocer las preferencias respecto al indicador “Interpretabilidad de resúmenes”.</w:t>
      </w:r>
    </w:p>
    <w:p>
      <w:pPr>
        <w:pStyle w:val="Normal"/>
        <w:rPr/>
      </w:pPr>
      <w:r>
        <w:rPr/>
        <w:t>** Estos criterios permiten conocer las preferencias respecto al indicador “Facilidad para la toma de decisiones”.</w:t>
      </w:r>
    </w:p>
    <w:p>
      <w:pPr>
        <w:pStyle w:val="Caption1"/>
        <w:keepNext/>
        <w:rPr/>
      </w:pPr>
      <w:bookmarkStart w:id="3822" w:name="_Toc84598999"/>
      <w:bookmarkStart w:id="3823" w:name="_Ref76044012"/>
      <w:r>
        <w:rPr/>
        <w:t xml:space="preserve">Tabla </w:t>
      </w:r>
      <w:r>
        <w:rPr/>
        <w:fldChar w:fldCharType="begin"/>
      </w:r>
      <w:r>
        <w:instrText> SEQ Tabla \* ARABIC </w:instrText>
      </w:r>
      <w:r>
        <w:fldChar w:fldCharType="separate"/>
      </w:r>
      <w:r>
        <w:t>29</w:t>
      </w:r>
      <w:r>
        <w:fldChar w:fldCharType="end"/>
      </w:r>
      <w:bookmarkEnd w:id="3822"/>
      <w:bookmarkEnd w:id="3823"/>
      <w:r>
        <w:rPr/>
        <w:t>: Encuesta aplicada a los expertos en gestión de proyectos.</w:t>
      </w:r>
    </w:p>
    <w:tbl>
      <w:tblPr>
        <w:tblW w:w="5000" w:type="pct"/>
        <w:jc w:val="left"/>
        <w:tblInd w:w="-15" w:type="dxa"/>
        <w:tblBorders>
          <w:top w:val="single" w:sz="4" w:space="0" w:color="00000A"/>
          <w:left w:val="single" w:sz="4" w:space="0" w:color="00000A"/>
          <w:right w:val="single" w:sz="4" w:space="0" w:color="00000A"/>
          <w:insideV w:val="single" w:sz="4" w:space="0" w:color="00000A"/>
        </w:tblBorders>
        <w:tblCellMar>
          <w:top w:w="0" w:type="dxa"/>
          <w:left w:w="50" w:type="dxa"/>
          <w:bottom w:w="0" w:type="dxa"/>
          <w:right w:w="70" w:type="dxa"/>
        </w:tblCellMar>
        <w:tblLook w:val="04a0" w:noVBand="1" w:noHBand="0" w:lastColumn="0" w:firstColumn="1" w:lastRow="0" w:firstRow="1"/>
      </w:tblPr>
      <w:tblGrid>
        <w:gridCol w:w="544"/>
        <w:gridCol w:w="6359"/>
        <w:gridCol w:w="411"/>
        <w:gridCol w:w="413"/>
        <w:gridCol w:w="410"/>
        <w:gridCol w:w="411"/>
        <w:gridCol w:w="430"/>
      </w:tblGrid>
      <w:tr>
        <w:trPr>
          <w:trHeight w:val="300" w:hRule="atLeast"/>
        </w:trPr>
        <w:tc>
          <w:tcPr>
            <w:tcW w:w="6903" w:type="dxa"/>
            <w:gridSpan w:val="2"/>
            <w:vMerge w:val="restart"/>
            <w:tcBorders>
              <w:top w:val="single" w:sz="4" w:space="0" w:color="00000A"/>
              <w:left w:val="single" w:sz="4" w:space="0" w:color="00000A"/>
              <w:right w:val="single" w:sz="4" w:space="0" w:color="00000A"/>
              <w:insideV w:val="single" w:sz="4" w:space="0" w:color="00000A"/>
            </w:tcBorders>
            <w:shd w:color="auto" w:fill="auto" w:val="clear"/>
            <w:tcMar>
              <w:left w:w="50" w:type="dxa"/>
            </w:tcMar>
            <w:vAlign w:val="center"/>
          </w:tcPr>
          <w:p>
            <w:pPr>
              <w:pStyle w:val="Normal"/>
              <w:spacing w:lineRule="auto" w:line="247" w:before="0" w:after="0"/>
              <w:jc w:val="center"/>
              <w:rPr>
                <w:rFonts w:eastAsia="Times New Roman"/>
                <w:bCs w:val="false"/>
                <w:lang w:eastAsia="ja-JP"/>
              </w:rPr>
            </w:pPr>
            <w:r>
              <w:rPr>
                <w:rFonts w:eastAsia="Times New Roman"/>
                <w:bCs w:val="false"/>
                <w:lang w:eastAsia="ja-JP"/>
              </w:rPr>
              <w:t>Criterios</w:t>
            </w:r>
          </w:p>
        </w:tc>
        <w:tc>
          <w:tcPr>
            <w:tcW w:w="2075" w:type="dxa"/>
            <w:gridSpan w:val="5"/>
            <w:tcBorders>
              <w:top w:val="single" w:sz="4" w:space="0" w:color="00000A"/>
              <w:left w:val="single" w:sz="4" w:space="0" w:color="00000A"/>
              <w:right w:val="single" w:sz="4" w:space="0" w:color="00000A"/>
              <w:insideV w:val="single" w:sz="4" w:space="0" w:color="00000A"/>
            </w:tcBorders>
            <w:shd w:color="auto" w:fill="auto" w:val="clear"/>
            <w:tcMar>
              <w:left w:w="50" w:type="dxa"/>
            </w:tcM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Expertos</w:t>
            </w:r>
          </w:p>
        </w:tc>
      </w:tr>
      <w:tr>
        <w:trPr>
          <w:trHeight w:val="300" w:hRule="atLeast"/>
        </w:trPr>
        <w:tc>
          <w:tcPr>
            <w:tcW w:w="6903"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center"/>
          </w:tcPr>
          <w:p>
            <w:pPr>
              <w:pStyle w:val="Normal"/>
              <w:suppressAutoHyphens w:val="false"/>
              <w:overflowPunct w:val="true"/>
              <w:spacing w:lineRule="auto" w:line="247" w:before="0" w:after="0"/>
              <w:jc w:val="center"/>
              <w:textAlignment w:val="auto"/>
              <w:rPr>
                <w:rFonts w:eastAsia="Times New Roman"/>
                <w:bCs w:val="false"/>
                <w:lang w:eastAsia="ja-JP"/>
              </w:rPr>
            </w:pPr>
            <w:r>
              <w:rPr>
                <w:rFonts w:eastAsia="Times New Roman"/>
                <w:bCs w:val="false"/>
                <w:lang w:eastAsia="ja-JP"/>
              </w:rPr>
            </w:r>
          </w:p>
        </w:tc>
        <w:tc>
          <w:tcPr>
            <w:tcW w:w="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E1</w:t>
            </w:r>
          </w:p>
        </w:tc>
        <w:tc>
          <w:tcPr>
            <w:tcW w:w="4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E2</w:t>
            </w:r>
          </w:p>
        </w:tc>
        <w:tc>
          <w:tcPr>
            <w:tcW w:w="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E3</w:t>
            </w:r>
          </w:p>
        </w:tc>
        <w:tc>
          <w:tcPr>
            <w:tcW w:w="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E4</w:t>
            </w:r>
          </w:p>
        </w:tc>
        <w:tc>
          <w:tcPr>
            <w:tcW w:w="4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E5</w:t>
            </w:r>
          </w:p>
        </w:tc>
      </w:tr>
      <w:tr>
        <w:trPr>
          <w:trHeight w:val="295" w:hRule="atLeast"/>
        </w:trPr>
        <w:tc>
          <w:tcPr>
            <w:tcW w:w="544" w:type="dxa"/>
            <w:tcBorders>
              <w:left w:val="single" w:sz="4" w:space="0" w:color="00000A"/>
              <w:right w:val="single" w:sz="4" w:space="0" w:color="00000A"/>
              <w:insideV w:val="single" w:sz="4" w:space="0" w:color="00000A"/>
            </w:tcBorders>
            <w:shd w:color="auto" w:fill="auto" w:val="clear"/>
            <w:tcMar>
              <w:left w:w="50" w:type="dxa"/>
            </w:tcMar>
            <w:vAlign w:val="center"/>
          </w:tcPr>
          <w:p>
            <w:pPr>
              <w:pStyle w:val="Normal"/>
              <w:suppressAutoHyphens w:val="false"/>
              <w:overflowPunct w:val="true"/>
              <w:spacing w:lineRule="auto" w:line="247" w:before="0" w:after="0"/>
              <w:jc w:val="center"/>
              <w:textAlignment w:val="auto"/>
              <w:rPr>
                <w:rFonts w:eastAsia="Times New Roman"/>
                <w:bCs w:val="false"/>
                <w:lang w:eastAsia="ja-JP"/>
              </w:rPr>
            </w:pPr>
            <w:r>
              <w:rPr/>
              <w:t>C1</w:t>
            </w:r>
          </w:p>
        </w:tc>
        <w:tc>
          <w:tcPr>
            <w:tcW w:w="6359"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7" w:before="60" w:after="60"/>
              <w:textAlignment w:val="auto"/>
              <w:rPr>
                <w:rFonts w:eastAsia="Times New Roman"/>
                <w:bCs w:val="false"/>
                <w:lang w:eastAsia="ja-JP"/>
              </w:rPr>
            </w:pPr>
            <w:r>
              <w:rPr/>
              <w:t>¿En qué grado los resúmenes lingüísticos que se obtienen muestran información correcta, cierta? **</w:t>
            </w:r>
          </w:p>
        </w:tc>
        <w:tc>
          <w:tcPr>
            <w:tcW w:w="411" w:type="dxa"/>
            <w:tcBorders>
              <w:top w:val="single" w:sz="4" w:space="0" w:color="00000A"/>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413" w:type="dxa"/>
            <w:tcBorders>
              <w:top w:val="single" w:sz="4" w:space="0" w:color="00000A"/>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3</w:t>
            </w:r>
          </w:p>
        </w:tc>
        <w:tc>
          <w:tcPr>
            <w:tcW w:w="410" w:type="dxa"/>
            <w:tcBorders>
              <w:top w:val="single" w:sz="4" w:space="0" w:color="00000A"/>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411" w:type="dxa"/>
            <w:tcBorders>
              <w:top w:val="single" w:sz="4" w:space="0" w:color="00000A"/>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430" w:type="dxa"/>
            <w:tcBorders>
              <w:top w:val="single" w:sz="4" w:space="0" w:color="00000A"/>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t>3</w:t>
            </w:r>
          </w:p>
        </w:tc>
      </w:tr>
      <w:tr>
        <w:trPr>
          <w:trHeight w:val="356" w:hRule="atLeast"/>
        </w:trPr>
        <w:tc>
          <w:tcPr>
            <w:tcW w:w="544" w:type="dxa"/>
            <w:tcBorders>
              <w:left w:val="single" w:sz="4" w:space="0" w:color="00000A"/>
              <w:right w:val="single" w:sz="4" w:space="0" w:color="00000A"/>
              <w:insideV w:val="single" w:sz="4" w:space="0" w:color="00000A"/>
            </w:tcBorders>
            <w:shd w:color="auto" w:fill="auto" w:val="clear"/>
            <w:tcMar>
              <w:left w:w="50" w:type="dxa"/>
            </w:tcMar>
            <w:vAlign w:val="center"/>
          </w:tcPr>
          <w:p>
            <w:pPr>
              <w:pStyle w:val="Normal"/>
              <w:suppressAutoHyphens w:val="false"/>
              <w:overflowPunct w:val="true"/>
              <w:spacing w:lineRule="auto" w:line="247" w:before="0" w:after="0"/>
              <w:jc w:val="center"/>
              <w:textAlignment w:val="auto"/>
              <w:rPr>
                <w:rFonts w:eastAsia="Times New Roman"/>
                <w:bCs w:val="false"/>
                <w:lang w:eastAsia="ja-JP"/>
              </w:rPr>
            </w:pPr>
            <w:r>
              <w:rPr/>
              <w:t>C2</w:t>
            </w:r>
          </w:p>
        </w:tc>
        <w:tc>
          <w:tcPr>
            <w:tcW w:w="6359"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7" w:before="60" w:after="60"/>
              <w:textAlignment w:val="auto"/>
              <w:rPr>
                <w:rFonts w:eastAsia="Times New Roman"/>
                <w:bCs w:val="false"/>
                <w:lang w:eastAsia="ja-JP"/>
              </w:rPr>
            </w:pPr>
            <w:r>
              <w:rPr/>
              <w:t>¿En qué grado los resúmenes lingüísticos que se obtienen muestran información relevante, novedosa? **</w:t>
            </w:r>
          </w:p>
        </w:tc>
        <w:tc>
          <w:tcPr>
            <w:tcW w:w="411"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3</w:t>
            </w:r>
          </w:p>
        </w:tc>
        <w:tc>
          <w:tcPr>
            <w:tcW w:w="413"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3</w:t>
            </w:r>
          </w:p>
        </w:tc>
        <w:tc>
          <w:tcPr>
            <w:tcW w:w="410"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3</w:t>
            </w:r>
          </w:p>
        </w:tc>
        <w:tc>
          <w:tcPr>
            <w:tcW w:w="411"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2</w:t>
            </w:r>
          </w:p>
        </w:tc>
        <w:tc>
          <w:tcPr>
            <w:tcW w:w="430"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t>3</w:t>
            </w:r>
          </w:p>
        </w:tc>
      </w:tr>
      <w:tr>
        <w:trPr>
          <w:trHeight w:val="66" w:hRule="atLeast"/>
        </w:trPr>
        <w:tc>
          <w:tcPr>
            <w:tcW w:w="544" w:type="dxa"/>
            <w:tcBorders>
              <w:left w:val="single" w:sz="4" w:space="0" w:color="00000A"/>
              <w:right w:val="single" w:sz="4" w:space="0" w:color="00000A"/>
              <w:insideV w:val="single" w:sz="4" w:space="0" w:color="00000A"/>
            </w:tcBorders>
            <w:shd w:color="auto" w:fill="auto" w:val="clear"/>
            <w:tcMar>
              <w:left w:w="50" w:type="dxa"/>
            </w:tcMar>
            <w:vAlign w:val="center"/>
          </w:tcPr>
          <w:p>
            <w:pPr>
              <w:pStyle w:val="Normal"/>
              <w:suppressAutoHyphens w:val="false"/>
              <w:overflowPunct w:val="true"/>
              <w:spacing w:lineRule="auto" w:line="247" w:before="0" w:after="0"/>
              <w:jc w:val="center"/>
              <w:textAlignment w:val="auto"/>
              <w:rPr>
                <w:rFonts w:eastAsia="Times New Roman"/>
                <w:bCs w:val="false"/>
                <w:lang w:eastAsia="ja-JP"/>
              </w:rPr>
            </w:pPr>
            <w:r>
              <w:rPr/>
              <w:t>C3</w:t>
            </w:r>
          </w:p>
        </w:tc>
        <w:tc>
          <w:tcPr>
            <w:tcW w:w="6359"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7" w:before="60" w:after="60"/>
              <w:textAlignment w:val="auto"/>
              <w:rPr>
                <w:rFonts w:eastAsia="Times New Roman"/>
                <w:bCs w:val="false"/>
                <w:lang w:eastAsia="ja-JP"/>
              </w:rPr>
            </w:pPr>
            <w:r>
              <w:rPr/>
              <w:t>¿En qué grado consideran los decisores que los resúmenes lingüísticos son interpretables? *</w:t>
            </w:r>
          </w:p>
        </w:tc>
        <w:tc>
          <w:tcPr>
            <w:tcW w:w="411"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413"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410"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411"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430"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t>3</w:t>
            </w:r>
          </w:p>
        </w:tc>
      </w:tr>
      <w:tr>
        <w:trPr>
          <w:trHeight w:val="66" w:hRule="atLeast"/>
        </w:trPr>
        <w:tc>
          <w:tcPr>
            <w:tcW w:w="544" w:type="dxa"/>
            <w:tcBorders>
              <w:left w:val="single" w:sz="4" w:space="0" w:color="00000A"/>
              <w:right w:val="single" w:sz="4" w:space="0" w:color="00000A"/>
              <w:insideV w:val="single" w:sz="4" w:space="0" w:color="00000A"/>
            </w:tcBorders>
            <w:shd w:color="auto" w:fill="auto" w:val="clear"/>
            <w:tcMar>
              <w:left w:w="50" w:type="dxa"/>
            </w:tcMar>
            <w:vAlign w:val="center"/>
          </w:tcPr>
          <w:p>
            <w:pPr>
              <w:pStyle w:val="Normal"/>
              <w:suppressAutoHyphens w:val="false"/>
              <w:overflowPunct w:val="true"/>
              <w:spacing w:lineRule="auto" w:line="247" w:before="0" w:after="0"/>
              <w:jc w:val="center"/>
              <w:textAlignment w:val="auto"/>
              <w:rPr>
                <w:rFonts w:eastAsia="Times New Roman"/>
                <w:bCs w:val="false"/>
                <w:lang w:eastAsia="ja-JP"/>
              </w:rPr>
            </w:pPr>
            <w:r>
              <w:rPr/>
              <w:t>C4</w:t>
            </w:r>
          </w:p>
        </w:tc>
        <w:tc>
          <w:tcPr>
            <w:tcW w:w="6359"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7" w:before="60" w:after="60"/>
              <w:textAlignment w:val="auto"/>
              <w:rPr>
                <w:rFonts w:eastAsia="Times New Roman"/>
                <w:bCs w:val="false"/>
                <w:lang w:eastAsia="ja-JP"/>
              </w:rPr>
            </w:pPr>
            <w:r>
              <w:rPr/>
              <w:t>¿En qué medida el uso de los resúmenes lingüísticos permite a los decisores obtener información sobre los proyectos rápidamente? **</w:t>
            </w:r>
          </w:p>
        </w:tc>
        <w:tc>
          <w:tcPr>
            <w:tcW w:w="411"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3</w:t>
            </w:r>
          </w:p>
        </w:tc>
        <w:tc>
          <w:tcPr>
            <w:tcW w:w="413"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410"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411"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2</w:t>
            </w:r>
          </w:p>
        </w:tc>
        <w:tc>
          <w:tcPr>
            <w:tcW w:w="430"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t>4</w:t>
            </w:r>
          </w:p>
        </w:tc>
      </w:tr>
      <w:tr>
        <w:trPr>
          <w:trHeight w:val="204" w:hRule="atLeast"/>
        </w:trPr>
        <w:tc>
          <w:tcPr>
            <w:tcW w:w="544" w:type="dxa"/>
            <w:tcBorders>
              <w:left w:val="single" w:sz="4" w:space="0" w:color="00000A"/>
              <w:right w:val="single" w:sz="4" w:space="0" w:color="00000A"/>
              <w:insideV w:val="single" w:sz="4" w:space="0" w:color="00000A"/>
            </w:tcBorders>
            <w:shd w:color="auto" w:fill="auto" w:val="clear"/>
            <w:tcMar>
              <w:left w:w="50" w:type="dxa"/>
            </w:tcMar>
            <w:vAlign w:val="center"/>
          </w:tcPr>
          <w:p>
            <w:pPr>
              <w:pStyle w:val="Normal"/>
              <w:suppressAutoHyphens w:val="false"/>
              <w:overflowPunct w:val="true"/>
              <w:spacing w:lineRule="auto" w:line="247" w:before="0" w:after="0"/>
              <w:jc w:val="center"/>
              <w:textAlignment w:val="auto"/>
              <w:rPr>
                <w:rFonts w:eastAsia="Times New Roman"/>
                <w:bCs w:val="false"/>
                <w:lang w:eastAsia="ja-JP"/>
              </w:rPr>
            </w:pPr>
            <w:r>
              <w:rPr/>
              <w:t>C5</w:t>
            </w:r>
          </w:p>
        </w:tc>
        <w:tc>
          <w:tcPr>
            <w:tcW w:w="6359"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7" w:before="60" w:after="60"/>
              <w:textAlignment w:val="auto"/>
              <w:rPr>
                <w:rFonts w:eastAsia="Times New Roman"/>
                <w:bCs w:val="false"/>
                <w:lang w:eastAsia="ja-JP"/>
              </w:rPr>
            </w:pPr>
            <w:r>
              <w:rPr/>
              <w:t>¿En qué medida el uso de resúmenes lingüísticos puede contribuir a ofrecer una mejor explicación de las decisiones tomadas? **</w:t>
            </w:r>
          </w:p>
        </w:tc>
        <w:tc>
          <w:tcPr>
            <w:tcW w:w="411"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413"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410"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3</w:t>
            </w:r>
          </w:p>
        </w:tc>
        <w:tc>
          <w:tcPr>
            <w:tcW w:w="411"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3</w:t>
            </w:r>
          </w:p>
        </w:tc>
        <w:tc>
          <w:tcPr>
            <w:tcW w:w="430"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t>4</w:t>
            </w:r>
          </w:p>
        </w:tc>
      </w:tr>
      <w:tr>
        <w:trPr>
          <w:trHeight w:val="66" w:hRule="atLeast"/>
        </w:trPr>
        <w:tc>
          <w:tcPr>
            <w:tcW w:w="544" w:type="dxa"/>
            <w:tcBorders>
              <w:left w:val="single" w:sz="4" w:space="0" w:color="00000A"/>
              <w:right w:val="single" w:sz="4" w:space="0" w:color="00000A"/>
              <w:insideV w:val="single" w:sz="4" w:space="0" w:color="00000A"/>
            </w:tcBorders>
            <w:shd w:color="auto" w:fill="auto" w:val="clear"/>
            <w:tcMar>
              <w:left w:w="50" w:type="dxa"/>
            </w:tcMar>
            <w:vAlign w:val="center"/>
          </w:tcPr>
          <w:p>
            <w:pPr>
              <w:pStyle w:val="Normal"/>
              <w:suppressAutoHyphens w:val="false"/>
              <w:overflowPunct w:val="true"/>
              <w:spacing w:lineRule="auto" w:line="247" w:before="0" w:after="0"/>
              <w:jc w:val="center"/>
              <w:textAlignment w:val="auto"/>
              <w:rPr>
                <w:rFonts w:eastAsia="Times New Roman"/>
                <w:bCs w:val="false"/>
                <w:lang w:eastAsia="ja-JP"/>
              </w:rPr>
            </w:pPr>
            <w:r>
              <w:rPr/>
              <w:t>C6</w:t>
            </w:r>
          </w:p>
        </w:tc>
        <w:tc>
          <w:tcPr>
            <w:tcW w:w="6359"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7" w:before="60" w:after="60"/>
              <w:textAlignment w:val="auto"/>
              <w:rPr>
                <w:rFonts w:eastAsia="Times New Roman"/>
                <w:bCs w:val="false"/>
                <w:lang w:eastAsia="ja-JP"/>
              </w:rPr>
            </w:pPr>
            <w:r>
              <w:rPr/>
              <w:t>¿En qué medida el uso de los resúmenes lingüísticos mejora la eficiencia de seguimiento y control de los proyectos? **</w:t>
            </w:r>
          </w:p>
        </w:tc>
        <w:tc>
          <w:tcPr>
            <w:tcW w:w="411"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3</w:t>
            </w:r>
          </w:p>
        </w:tc>
        <w:tc>
          <w:tcPr>
            <w:tcW w:w="413"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410"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3</w:t>
            </w:r>
          </w:p>
        </w:tc>
        <w:tc>
          <w:tcPr>
            <w:tcW w:w="411"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2</w:t>
            </w:r>
          </w:p>
        </w:tc>
        <w:tc>
          <w:tcPr>
            <w:tcW w:w="430"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t>3</w:t>
            </w:r>
          </w:p>
        </w:tc>
      </w:tr>
      <w:tr>
        <w:trPr>
          <w:trHeight w:val="254" w:hRule="atLeast"/>
        </w:trPr>
        <w:tc>
          <w:tcPr>
            <w:tcW w:w="544" w:type="dxa"/>
            <w:tcBorders>
              <w:left w:val="single" w:sz="4" w:space="0" w:color="00000A"/>
              <w:right w:val="single" w:sz="4" w:space="0" w:color="00000A"/>
              <w:insideV w:val="single" w:sz="4" w:space="0" w:color="00000A"/>
            </w:tcBorders>
            <w:shd w:color="auto" w:fill="auto" w:val="clear"/>
            <w:tcMar>
              <w:left w:w="50" w:type="dxa"/>
            </w:tcMar>
            <w:vAlign w:val="center"/>
          </w:tcPr>
          <w:p>
            <w:pPr>
              <w:pStyle w:val="Normal"/>
              <w:suppressAutoHyphens w:val="false"/>
              <w:overflowPunct w:val="true"/>
              <w:spacing w:lineRule="auto" w:line="247" w:before="0" w:after="0"/>
              <w:jc w:val="center"/>
              <w:textAlignment w:val="auto"/>
              <w:rPr>
                <w:rFonts w:eastAsia="Times New Roman"/>
                <w:bCs w:val="false"/>
                <w:lang w:eastAsia="ja-JP"/>
              </w:rPr>
            </w:pPr>
            <w:r>
              <w:rPr/>
              <w:t>C7</w:t>
            </w:r>
          </w:p>
        </w:tc>
        <w:tc>
          <w:tcPr>
            <w:tcW w:w="6359"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7" w:before="60" w:after="60"/>
              <w:textAlignment w:val="auto"/>
              <w:rPr>
                <w:rFonts w:eastAsia="Times New Roman"/>
                <w:bCs w:val="false"/>
                <w:lang w:eastAsia="ja-JP"/>
              </w:rPr>
            </w:pPr>
            <w:r>
              <w:rPr/>
              <w:t>¿En qué grado consideran los decisores que los resúmenes lingüísticos son legibles o entendibles, y fáciles de leer? *</w:t>
            </w:r>
          </w:p>
        </w:tc>
        <w:tc>
          <w:tcPr>
            <w:tcW w:w="411"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3</w:t>
            </w:r>
          </w:p>
        </w:tc>
        <w:tc>
          <w:tcPr>
            <w:tcW w:w="413"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410"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3</w:t>
            </w:r>
          </w:p>
        </w:tc>
        <w:tc>
          <w:tcPr>
            <w:tcW w:w="411"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3</w:t>
            </w:r>
          </w:p>
        </w:tc>
        <w:tc>
          <w:tcPr>
            <w:tcW w:w="430"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t>4</w:t>
            </w:r>
          </w:p>
        </w:tc>
      </w:tr>
      <w:tr>
        <w:trPr>
          <w:trHeight w:val="66" w:hRule="atLeast"/>
        </w:trPr>
        <w:tc>
          <w:tcPr>
            <w:tcW w:w="544" w:type="dxa"/>
            <w:tcBorders>
              <w:left w:val="single" w:sz="4" w:space="0" w:color="00000A"/>
              <w:right w:val="single" w:sz="4" w:space="0" w:color="00000A"/>
              <w:insideV w:val="single" w:sz="4" w:space="0" w:color="00000A"/>
            </w:tcBorders>
            <w:shd w:color="auto" w:fill="auto" w:val="clear"/>
            <w:tcMar>
              <w:left w:w="50" w:type="dxa"/>
            </w:tcMar>
            <w:vAlign w:val="center"/>
          </w:tcPr>
          <w:p>
            <w:pPr>
              <w:pStyle w:val="Normal"/>
              <w:suppressAutoHyphens w:val="false"/>
              <w:overflowPunct w:val="true"/>
              <w:spacing w:lineRule="auto" w:line="247" w:before="0" w:after="0"/>
              <w:jc w:val="center"/>
              <w:textAlignment w:val="auto"/>
              <w:rPr>
                <w:rFonts w:eastAsia="Times New Roman"/>
                <w:bCs w:val="false"/>
                <w:lang w:eastAsia="ja-JP"/>
              </w:rPr>
            </w:pPr>
            <w:r>
              <w:rPr/>
              <w:t>C8</w:t>
            </w:r>
          </w:p>
        </w:tc>
        <w:tc>
          <w:tcPr>
            <w:tcW w:w="6359"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7" w:before="60" w:after="60"/>
              <w:textAlignment w:val="auto"/>
              <w:rPr>
                <w:rFonts w:eastAsia="Times New Roman"/>
                <w:bCs w:val="false"/>
                <w:lang w:eastAsia="ja-JP"/>
              </w:rPr>
            </w:pPr>
            <w:r>
              <w:rPr/>
              <w:t>¿En qué grado los resúmenes lingüísticos le permiten realizar ajustes rápidos en la planificación de los proyectos? **</w:t>
            </w:r>
          </w:p>
        </w:tc>
        <w:tc>
          <w:tcPr>
            <w:tcW w:w="411"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3</w:t>
            </w:r>
          </w:p>
        </w:tc>
        <w:tc>
          <w:tcPr>
            <w:tcW w:w="413"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3</w:t>
            </w:r>
          </w:p>
        </w:tc>
        <w:tc>
          <w:tcPr>
            <w:tcW w:w="410"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3</w:t>
            </w:r>
          </w:p>
        </w:tc>
        <w:tc>
          <w:tcPr>
            <w:tcW w:w="411"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2</w:t>
            </w:r>
          </w:p>
        </w:tc>
        <w:tc>
          <w:tcPr>
            <w:tcW w:w="430"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t>3</w:t>
            </w:r>
          </w:p>
        </w:tc>
      </w:tr>
      <w:tr>
        <w:trPr>
          <w:trHeight w:val="66" w:hRule="atLeast"/>
        </w:trPr>
        <w:tc>
          <w:tcPr>
            <w:tcW w:w="544" w:type="dxa"/>
            <w:tcBorders>
              <w:left w:val="single" w:sz="4" w:space="0" w:color="00000A"/>
              <w:right w:val="single" w:sz="4" w:space="0" w:color="00000A"/>
              <w:insideV w:val="single" w:sz="4" w:space="0" w:color="00000A"/>
            </w:tcBorders>
            <w:shd w:color="auto" w:fill="auto" w:val="clear"/>
            <w:tcMar>
              <w:left w:w="50" w:type="dxa"/>
            </w:tcMar>
            <w:vAlign w:val="center"/>
          </w:tcPr>
          <w:p>
            <w:pPr>
              <w:pStyle w:val="Normal"/>
              <w:suppressAutoHyphens w:val="false"/>
              <w:overflowPunct w:val="true"/>
              <w:spacing w:lineRule="auto" w:line="247" w:before="0" w:after="0"/>
              <w:jc w:val="center"/>
              <w:textAlignment w:val="auto"/>
              <w:rPr>
                <w:rFonts w:eastAsia="Times New Roman"/>
                <w:bCs w:val="false"/>
                <w:lang w:eastAsia="ja-JP"/>
              </w:rPr>
            </w:pPr>
            <w:r>
              <w:rPr/>
              <w:t>C9</w:t>
            </w:r>
          </w:p>
        </w:tc>
        <w:tc>
          <w:tcPr>
            <w:tcW w:w="6359"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7" w:before="60" w:after="60"/>
              <w:textAlignment w:val="auto"/>
              <w:rPr>
                <w:rFonts w:eastAsia="Times New Roman"/>
                <w:bCs w:val="false"/>
                <w:lang w:eastAsia="ja-JP"/>
              </w:rPr>
            </w:pPr>
            <w:r>
              <w:rPr/>
              <w:t>¿En qué grado recomienda el uso de los resúmenes lingüísticos a otros decisores?</w:t>
            </w:r>
          </w:p>
        </w:tc>
        <w:tc>
          <w:tcPr>
            <w:tcW w:w="411"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413"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410"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411"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3</w:t>
            </w:r>
          </w:p>
        </w:tc>
        <w:tc>
          <w:tcPr>
            <w:tcW w:w="430"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t>4</w:t>
            </w:r>
          </w:p>
        </w:tc>
      </w:tr>
      <w:tr>
        <w:trPr>
          <w:trHeight w:val="353" w:hRule="atLeast"/>
        </w:trPr>
        <w:tc>
          <w:tcPr>
            <w:tcW w:w="544" w:type="dxa"/>
            <w:tcBorders>
              <w:left w:val="single" w:sz="4" w:space="0" w:color="00000A"/>
              <w:right w:val="single" w:sz="4" w:space="0" w:color="00000A"/>
              <w:insideV w:val="single" w:sz="4" w:space="0" w:color="00000A"/>
            </w:tcBorders>
            <w:shd w:color="auto" w:fill="auto" w:val="clear"/>
            <w:tcMar>
              <w:left w:w="50" w:type="dxa"/>
            </w:tcMar>
            <w:vAlign w:val="center"/>
          </w:tcPr>
          <w:p>
            <w:pPr>
              <w:pStyle w:val="Normal"/>
              <w:suppressAutoHyphens w:val="false"/>
              <w:overflowPunct w:val="true"/>
              <w:spacing w:lineRule="auto" w:line="247" w:before="0" w:after="0"/>
              <w:jc w:val="center"/>
              <w:textAlignment w:val="auto"/>
              <w:rPr>
                <w:rFonts w:eastAsia="Times New Roman"/>
                <w:bCs w:val="false"/>
                <w:lang w:eastAsia="ja-JP"/>
              </w:rPr>
            </w:pPr>
            <w:r>
              <w:rPr/>
              <w:t>C10</w:t>
            </w:r>
          </w:p>
        </w:tc>
        <w:tc>
          <w:tcPr>
            <w:tcW w:w="6359"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7" w:before="60" w:after="60"/>
              <w:textAlignment w:val="auto"/>
              <w:rPr>
                <w:rFonts w:eastAsia="Times New Roman"/>
                <w:bCs w:val="false"/>
                <w:lang w:eastAsia="ja-JP"/>
              </w:rPr>
            </w:pPr>
            <w:r>
              <w:rPr/>
              <w:t>¿En qué grado los resúmenes lingüísticos que se obtienen facilitan la toma de decisiones en los proyectos? **</w:t>
            </w:r>
          </w:p>
        </w:tc>
        <w:tc>
          <w:tcPr>
            <w:tcW w:w="411"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413"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410"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411"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430" w:type="dxa"/>
            <w:tcBorders>
              <w:left w:val="single" w:sz="4" w:space="0" w:color="00000A"/>
              <w:right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t>4</w:t>
            </w:r>
          </w:p>
        </w:tc>
      </w:tr>
      <w:tr>
        <w:trPr>
          <w:trHeight w:val="66" w:hRule="atLeast"/>
        </w:trPr>
        <w:tc>
          <w:tcPr>
            <w:tcW w:w="5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center"/>
          </w:tcPr>
          <w:p>
            <w:pPr>
              <w:pStyle w:val="Normal"/>
              <w:suppressAutoHyphens w:val="false"/>
              <w:overflowPunct w:val="true"/>
              <w:spacing w:lineRule="auto" w:line="247" w:before="0" w:after="0"/>
              <w:jc w:val="center"/>
              <w:textAlignment w:val="auto"/>
              <w:rPr>
                <w:rFonts w:eastAsia="Times New Roman"/>
                <w:bCs w:val="false"/>
                <w:lang w:eastAsia="ja-JP"/>
              </w:rPr>
            </w:pPr>
            <w:r>
              <w:rPr/>
              <w:t>C11</w:t>
            </w:r>
          </w:p>
        </w:tc>
        <w:tc>
          <w:tcPr>
            <w:tcW w:w="63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overflowPunct w:val="true"/>
              <w:spacing w:lineRule="auto" w:line="247" w:before="60" w:after="60"/>
              <w:textAlignment w:val="auto"/>
              <w:rPr>
                <w:rFonts w:eastAsia="Times New Roman"/>
                <w:bCs w:val="false"/>
                <w:lang w:eastAsia="ja-JP"/>
              </w:rPr>
            </w:pPr>
            <w:r>
              <w:rPr/>
              <w:t>¿En qué grado se siente confiable usando los resúmenes lingüísticos durante el proceso de toma de decisiones? **</w:t>
            </w:r>
          </w:p>
        </w:tc>
        <w:tc>
          <w:tcPr>
            <w:tcW w:w="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3</w:t>
            </w:r>
          </w:p>
        </w:tc>
        <w:tc>
          <w:tcPr>
            <w:tcW w:w="4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3</w:t>
            </w:r>
          </w:p>
        </w:tc>
        <w:tc>
          <w:tcPr>
            <w:tcW w:w="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4</w:t>
            </w:r>
          </w:p>
        </w:tc>
        <w:tc>
          <w:tcPr>
            <w:tcW w:w="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rFonts w:eastAsia="Times New Roman"/>
                <w:bCs w:val="false"/>
                <w:lang w:eastAsia="ja-JP"/>
              </w:rPr>
              <w:t>2</w:t>
            </w:r>
          </w:p>
        </w:tc>
        <w:tc>
          <w:tcPr>
            <w:tcW w:w="4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overflowPunct w:val="true"/>
              <w:spacing w:lineRule="auto" w:line="240" w:before="0" w:after="0"/>
              <w:jc w:val="center"/>
              <w:textAlignment w:val="auto"/>
              <w:rPr>
                <w:rFonts w:eastAsia="Times New Roman"/>
                <w:bCs w:val="false"/>
                <w:lang w:eastAsia="ja-JP"/>
              </w:rPr>
            </w:pPr>
            <w:r>
              <w:rPr/>
              <w:t>3</w:t>
            </w:r>
          </w:p>
        </w:tc>
      </w:tr>
    </w:tbl>
    <w:p>
      <w:pPr>
        <w:pStyle w:val="Normal"/>
        <w:rPr/>
      </w:pPr>
      <w:r>
        <w:rPr/>
        <w:t>* Estos criterios permiten conocer las preferencias respecto al indicador “Interpretabilidad de resúmenes”.</w:t>
      </w:r>
    </w:p>
    <w:p>
      <w:pPr>
        <w:pStyle w:val="Normal"/>
        <w:rPr/>
      </w:pPr>
      <w:r>
        <w:rPr/>
        <w:t>** Estos criterios permiten conocer las preferencias respecto al indicador “Facilidad para la toma de decisiones”.</w:t>
      </w:r>
    </w:p>
    <w:p>
      <w:pPr>
        <w:pStyle w:val="Heading2"/>
        <w:numPr>
          <w:ilvl w:val="1"/>
          <w:numId w:val="80"/>
        </w:numPr>
        <w:rPr/>
      </w:pPr>
      <w:bookmarkStart w:id="3824" w:name="_Ref79479494"/>
      <w:bookmarkStart w:id="3825" w:name="_Toc84598967"/>
      <w:bookmarkStart w:id="3826" w:name="_Ref79479501"/>
      <w:r>
        <w:rPr/>
        <w:t xml:space="preserve">Anexo </w:t>
      </w:r>
      <w:r>
        <w:rPr/>
        <w:fldChar w:fldCharType="begin"/>
      </w:r>
      <w:r>
        <w:instrText> SEQ Anexo \* ARABIC </w:instrText>
      </w:r>
      <w:r>
        <w:fldChar w:fldCharType="separate"/>
      </w:r>
      <w:r>
        <w:t>13</w:t>
      </w:r>
      <w:r>
        <w:fldChar w:fldCharType="end"/>
      </w:r>
      <w:bookmarkEnd w:id="3805"/>
      <w:bookmarkEnd w:id="3806"/>
      <w:bookmarkEnd w:id="3824"/>
      <w:bookmarkEnd w:id="3825"/>
      <w:bookmarkEnd w:id="3826"/>
      <w:r>
        <w:rPr/>
        <w:t>. Resultado de los algoritmos.</w:t>
      </w:r>
    </w:p>
    <w:p>
      <w:pPr>
        <w:pStyle w:val="Caption1"/>
        <w:keepNext/>
        <w:rPr/>
      </w:pPr>
      <w:bookmarkStart w:id="3827" w:name="_Toc84599000"/>
      <w:bookmarkStart w:id="3828" w:name="_Ref68937391"/>
      <w:r>
        <w:rPr/>
        <w:t xml:space="preserve">Tabla </w:t>
      </w:r>
      <w:r>
        <w:rPr/>
        <w:fldChar w:fldCharType="begin"/>
      </w:r>
      <w:r>
        <w:instrText> SEQ Tabla \* ARABIC </w:instrText>
      </w:r>
      <w:r>
        <w:fldChar w:fldCharType="separate"/>
      </w:r>
      <w:r>
        <w:t>30</w:t>
      </w:r>
      <w:r>
        <w:fldChar w:fldCharType="end"/>
      </w:r>
      <w:bookmarkEnd w:id="3827"/>
      <w:bookmarkEnd w:id="3828"/>
      <w:r>
        <w:rPr/>
        <w:t>: Resultado de los algoritmos respecto a la media y desviación estándar de los indicadores en las bases de datos sobre gestión de proyectos.</w:t>
      </w:r>
    </w:p>
    <w:tbl>
      <w:tblPr>
        <w:tblW w:w="4650" w:type="pct"/>
        <w:jc w:val="center"/>
        <w:tblInd w:w="0" w:type="dxa"/>
        <w:tblBorders>
          <w:top w:val="single" w:sz="8" w:space="0" w:color="A6A6A6"/>
          <w:left w:val="single" w:sz="8" w:space="0" w:color="AEAEAE"/>
          <w:bottom w:val="single" w:sz="8" w:space="0" w:color="AEAEAE"/>
          <w:right w:val="single" w:sz="8" w:space="0" w:color="E0E0E0"/>
          <w:insideH w:val="single" w:sz="8" w:space="0" w:color="AEAEAE"/>
          <w:insideV w:val="single" w:sz="8" w:space="0" w:color="E0E0E0"/>
        </w:tblBorders>
        <w:tblCellMar>
          <w:top w:w="0" w:type="dxa"/>
          <w:left w:w="-10" w:type="dxa"/>
          <w:bottom w:w="0" w:type="dxa"/>
          <w:right w:w="0" w:type="dxa"/>
        </w:tblCellMar>
        <w:tblLook w:val="0000" w:noVBand="0" w:noHBand="0" w:lastColumn="0" w:firstColumn="0" w:lastRow="0" w:firstRow="0"/>
      </w:tblPr>
      <w:tblGrid>
        <w:gridCol w:w="1670"/>
        <w:gridCol w:w="1030"/>
        <w:gridCol w:w="571"/>
        <w:gridCol w:w="570"/>
        <w:gridCol w:w="572"/>
        <w:gridCol w:w="571"/>
        <w:gridCol w:w="571"/>
        <w:gridCol w:w="574"/>
        <w:gridCol w:w="572"/>
        <w:gridCol w:w="570"/>
        <w:gridCol w:w="572"/>
        <w:gridCol w:w="506"/>
      </w:tblGrid>
      <w:tr>
        <w:trPr>
          <w:cantSplit w:val="true"/>
        </w:trPr>
        <w:tc>
          <w:tcPr>
            <w:tcW w:w="2700" w:type="dxa"/>
            <w:gridSpan w:val="2"/>
            <w:tcBorders>
              <w:top w:val="single" w:sz="8" w:space="0" w:color="A6A6A6"/>
              <w:left w:val="single" w:sz="8" w:space="0" w:color="AEAEAE"/>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Tabla"/>
              <w:spacing w:before="60" w:after="20"/>
              <w:jc w:val="center"/>
              <w:rPr>
                <w:b/>
                <w:b/>
                <w:color w:val="264A60"/>
                <w:szCs w:val="18"/>
                <w:lang w:eastAsia="en-US"/>
              </w:rPr>
            </w:pPr>
            <w:r>
              <w:rPr>
                <w:b/>
              </w:rPr>
              <w:t>Media y StdDev</w:t>
            </w:r>
          </w:p>
        </w:tc>
        <w:tc>
          <w:tcPr>
            <w:tcW w:w="571" w:type="dxa"/>
            <w:tcBorders>
              <w:top w:val="single" w:sz="8" w:space="0" w:color="A6A6A6"/>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tcPr>
          <w:p>
            <w:pPr>
              <w:pStyle w:val="Normal"/>
              <w:suppressAutoHyphens w:val="false"/>
              <w:overflowPunct w:val="true"/>
              <w:spacing w:lineRule="auto" w:line="240" w:before="80" w:after="20"/>
              <w:ind w:left="60" w:right="60" w:hanging="0"/>
              <w:jc w:val="center"/>
              <w:textAlignment w:val="auto"/>
              <w:rPr>
                <w:i/>
                <w:i/>
              </w:rPr>
            </w:pPr>
            <w:r>
              <w:rPr>
                <w:i/>
              </w:rPr>
              <w:t>T</w:t>
            </w:r>
            <w:r>
              <w:rPr>
                <w:i/>
                <w:vertAlign w:val="subscript"/>
              </w:rPr>
              <w:t>1</w:t>
            </w:r>
          </w:p>
        </w:tc>
        <w:tc>
          <w:tcPr>
            <w:tcW w:w="570" w:type="dxa"/>
            <w:tcBorders>
              <w:top w:val="single" w:sz="8" w:space="0" w:color="A6A6A6"/>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vAlign w:val="center"/>
          </w:tcPr>
          <w:p>
            <w:pPr>
              <w:pStyle w:val="Normal"/>
              <w:spacing w:lineRule="auto" w:line="240" w:before="80" w:after="20"/>
              <w:jc w:val="center"/>
              <w:rPr>
                <w:i/>
                <w:i/>
              </w:rPr>
            </w:pPr>
            <w:r>
              <w:rPr>
                <w:i/>
              </w:rPr>
              <w:t>T</w:t>
            </w:r>
            <w:r>
              <w:rPr>
                <w:i/>
                <w:vertAlign w:val="subscript"/>
              </w:rPr>
              <w:t>3</w:t>
            </w:r>
          </w:p>
        </w:tc>
        <w:tc>
          <w:tcPr>
            <w:tcW w:w="572" w:type="dxa"/>
            <w:tcBorders>
              <w:top w:val="single" w:sz="8" w:space="0" w:color="A6A6A6"/>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vAlign w:val="center"/>
          </w:tcPr>
          <w:p>
            <w:pPr>
              <w:pStyle w:val="Normal"/>
              <w:spacing w:lineRule="auto" w:line="240" w:before="80" w:after="20"/>
              <w:jc w:val="center"/>
              <w:rPr>
                <w:i/>
                <w:i/>
              </w:rPr>
            </w:pPr>
            <w:r>
              <w:rPr>
                <w:i/>
              </w:rPr>
              <w:t>T</w:t>
            </w:r>
            <w:r>
              <w:rPr>
                <w:i/>
                <w:vertAlign w:val="subscript"/>
              </w:rPr>
              <w:t>4</w:t>
            </w:r>
          </w:p>
        </w:tc>
        <w:tc>
          <w:tcPr>
            <w:tcW w:w="571" w:type="dxa"/>
            <w:tcBorders>
              <w:top w:val="single" w:sz="8" w:space="0" w:color="A6A6A6"/>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vAlign w:val="center"/>
          </w:tcPr>
          <w:p>
            <w:pPr>
              <w:pStyle w:val="Normal"/>
              <w:spacing w:lineRule="auto" w:line="240" w:before="80" w:after="20"/>
              <w:jc w:val="center"/>
              <w:rPr>
                <w:i/>
                <w:i/>
              </w:rPr>
            </w:pPr>
            <w:r>
              <w:rPr>
                <w:i/>
              </w:rPr>
              <w:t>T</w:t>
            </w:r>
            <w:r>
              <w:rPr>
                <w:i/>
                <w:vertAlign w:val="subscript"/>
              </w:rPr>
              <w:t>5</w:t>
            </w:r>
          </w:p>
        </w:tc>
        <w:tc>
          <w:tcPr>
            <w:tcW w:w="571" w:type="dxa"/>
            <w:tcBorders>
              <w:top w:val="single" w:sz="8" w:space="0" w:color="A6A6A6"/>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vAlign w:val="center"/>
          </w:tcPr>
          <w:p>
            <w:pPr>
              <w:pStyle w:val="Normal"/>
              <w:spacing w:lineRule="auto" w:line="240" w:before="80" w:after="20"/>
              <w:jc w:val="center"/>
              <w:rPr>
                <w:i/>
                <w:i/>
              </w:rPr>
            </w:pPr>
            <w:r>
              <w:rPr>
                <w:i/>
              </w:rPr>
              <w:t>Te</w:t>
            </w:r>
            <w:r>
              <w:rPr>
                <w:i/>
                <w:vertAlign w:val="subscript"/>
              </w:rPr>
              <w:t>1a</w:t>
            </w:r>
          </w:p>
        </w:tc>
        <w:tc>
          <w:tcPr>
            <w:tcW w:w="574" w:type="dxa"/>
            <w:tcBorders>
              <w:top w:val="single" w:sz="8" w:space="0" w:color="A6A6A6"/>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vAlign w:val="center"/>
          </w:tcPr>
          <w:p>
            <w:pPr>
              <w:pStyle w:val="Normal"/>
              <w:spacing w:lineRule="auto" w:line="240" w:before="80" w:after="20"/>
              <w:jc w:val="center"/>
              <w:rPr>
                <w:i/>
                <w:i/>
              </w:rPr>
            </w:pPr>
            <w:r>
              <w:rPr>
                <w:i/>
              </w:rPr>
              <w:t>Te</w:t>
            </w:r>
            <w:r>
              <w:rPr>
                <w:i/>
                <w:vertAlign w:val="subscript"/>
              </w:rPr>
              <w:t>1b</w:t>
            </w:r>
          </w:p>
        </w:tc>
        <w:tc>
          <w:tcPr>
            <w:tcW w:w="572" w:type="dxa"/>
            <w:tcBorders>
              <w:top w:val="single" w:sz="8" w:space="0" w:color="A6A6A6"/>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tcPr>
          <w:p>
            <w:pPr>
              <w:pStyle w:val="Normal"/>
              <w:spacing w:lineRule="auto" w:line="240" w:before="80" w:after="20"/>
              <w:jc w:val="center"/>
              <w:rPr>
                <w:i/>
                <w:i/>
                <w:vertAlign w:val="subscript"/>
              </w:rPr>
            </w:pPr>
            <w:r>
              <w:rPr>
                <w:i/>
              </w:rPr>
              <w:t>Te</w:t>
            </w:r>
            <w:r>
              <w:rPr>
                <w:i/>
                <w:vertAlign w:val="subscript"/>
              </w:rPr>
              <w:t>2a</w:t>
            </w:r>
          </w:p>
        </w:tc>
        <w:tc>
          <w:tcPr>
            <w:tcW w:w="570" w:type="dxa"/>
            <w:tcBorders>
              <w:top w:val="single" w:sz="8" w:space="0" w:color="A6A6A6"/>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vAlign w:val="center"/>
          </w:tcPr>
          <w:p>
            <w:pPr>
              <w:pStyle w:val="Normal"/>
              <w:spacing w:lineRule="auto" w:line="240" w:before="80" w:after="20"/>
              <w:jc w:val="center"/>
              <w:rPr>
                <w:i/>
                <w:i/>
              </w:rPr>
            </w:pPr>
            <w:r>
              <w:rPr>
                <w:i/>
              </w:rPr>
              <w:t>Te</w:t>
            </w:r>
            <w:r>
              <w:rPr>
                <w:i/>
                <w:vertAlign w:val="subscript"/>
              </w:rPr>
              <w:t>3</w:t>
            </w:r>
          </w:p>
        </w:tc>
        <w:tc>
          <w:tcPr>
            <w:tcW w:w="572" w:type="dxa"/>
            <w:tcBorders>
              <w:top w:val="single" w:sz="8" w:space="0" w:color="A6A6A6"/>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vAlign w:val="center"/>
          </w:tcPr>
          <w:p>
            <w:pPr>
              <w:pStyle w:val="Normal"/>
              <w:spacing w:lineRule="auto" w:line="240" w:before="80" w:after="20"/>
              <w:jc w:val="center"/>
              <w:rPr>
                <w:i/>
                <w:i/>
              </w:rPr>
            </w:pPr>
            <w:r>
              <w:rPr>
                <w:i/>
              </w:rPr>
              <w:t>Te</w:t>
            </w:r>
            <w:r>
              <w:rPr>
                <w:i/>
                <w:vertAlign w:val="subscript"/>
              </w:rPr>
              <w:t>4</w:t>
            </w:r>
          </w:p>
        </w:tc>
        <w:tc>
          <w:tcPr>
            <w:tcW w:w="506" w:type="dxa"/>
            <w:tcBorders>
              <w:top w:val="single" w:sz="8" w:space="0" w:color="A6A6A6"/>
              <w:left w:val="single" w:sz="8" w:space="0" w:color="E0E0E0"/>
              <w:bottom w:val="single" w:sz="8" w:space="0" w:color="152935"/>
              <w:right w:val="single" w:sz="8" w:space="0" w:color="AEAEAE"/>
              <w:insideH w:val="single" w:sz="8" w:space="0" w:color="152935"/>
              <w:insideV w:val="single" w:sz="8" w:space="0" w:color="AEAEAE"/>
            </w:tcBorders>
            <w:shd w:color="auto" w:fill="FFFFFF" w:val="clear"/>
            <w:tcMar>
              <w:left w:w="-10" w:type="dxa"/>
            </w:tcMar>
          </w:tcPr>
          <w:p>
            <w:pPr>
              <w:pStyle w:val="Normal"/>
              <w:spacing w:lineRule="auto" w:line="240" w:before="80" w:after="20"/>
              <w:jc w:val="center"/>
              <w:rPr>
                <w:i/>
                <w:i/>
              </w:rPr>
            </w:pPr>
            <w:r>
              <w:rPr>
                <w:i/>
              </w:rPr>
              <w:t>Te</w:t>
            </w:r>
            <w:r>
              <w:rPr>
                <w:i/>
                <w:vertAlign w:val="subscript"/>
              </w:rPr>
              <w:t>5</w:t>
            </w:r>
          </w:p>
        </w:tc>
      </w:tr>
      <w:tr>
        <w:trPr>
          <w:trHeight w:val="195" w:hRule="atLeast"/>
          <w:cantSplit w:val="true"/>
        </w:trPr>
        <w:tc>
          <w:tcPr>
            <w:tcW w:w="2700" w:type="dxa"/>
            <w:gridSpan w:val="2"/>
            <w:tcBorders>
              <w:top w:val="single" w:sz="8" w:space="0" w:color="152935"/>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jc w:val="center"/>
              <w:rPr>
                <w:color w:val="010205"/>
                <w:szCs w:val="18"/>
                <w:lang w:val="en-US" w:eastAsia="en-US"/>
              </w:rPr>
            </w:pPr>
            <w:r>
              <w:rPr>
                <w:b/>
                <w:color w:val="264A60"/>
                <w:szCs w:val="18"/>
                <w:lang w:val="en-US" w:eastAsia="en-US"/>
              </w:rPr>
              <w:t>BD_gp_eval_proy_hard</w:t>
            </w:r>
          </w:p>
        </w:tc>
        <w:tc>
          <w:tcPr>
            <w:tcW w:w="571" w:type="dxa"/>
            <w:tcBorders>
              <w:top w:val="single" w:sz="8" w:space="0" w:color="152935"/>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0" w:type="dxa"/>
            <w:tcBorders>
              <w:top w:val="single" w:sz="8" w:space="0" w:color="152935"/>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2" w:type="dxa"/>
            <w:tcBorders>
              <w:top w:val="single" w:sz="8" w:space="0" w:color="152935"/>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1" w:type="dxa"/>
            <w:tcBorders>
              <w:top w:val="single" w:sz="8" w:space="0" w:color="152935"/>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1" w:type="dxa"/>
            <w:tcBorders>
              <w:top w:val="single" w:sz="8" w:space="0" w:color="152935"/>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4" w:type="dxa"/>
            <w:tcBorders>
              <w:top w:val="single" w:sz="8" w:space="0" w:color="152935"/>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2" w:type="dxa"/>
            <w:tcBorders>
              <w:top w:val="single" w:sz="8" w:space="0" w:color="152935"/>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0" w:type="dxa"/>
            <w:tcBorders>
              <w:top w:val="single" w:sz="8" w:space="0" w:color="152935"/>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2" w:type="dxa"/>
            <w:tcBorders>
              <w:top w:val="single" w:sz="8" w:space="0" w:color="152935"/>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06" w:type="dxa"/>
            <w:tcBorders>
              <w:top w:val="single" w:sz="8" w:space="0" w:color="152935"/>
              <w:left w:val="single" w:sz="8" w:space="0" w:color="E0E0E0"/>
              <w:bottom w:val="single" w:sz="8" w:space="0" w:color="AEAEAE"/>
              <w:right w:val="single" w:sz="8" w:space="0" w:color="AEAEAE"/>
              <w:insideH w:val="single" w:sz="8" w:space="0" w:color="AEAEAE"/>
              <w:insideV w:val="single" w:sz="8" w:space="0" w:color="AEAEAE"/>
            </w:tcBorders>
            <w:shd w:color="auto" w:fill="FFFFFF" w:val="clear"/>
            <w:tcMar>
              <w:left w:w="-10" w:type="dxa"/>
            </w:tcMa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r>
      <w:tr>
        <w:trPr>
          <w:trHeight w:val="195" w:hRule="atLeast"/>
          <w:cantSplit w:val="true"/>
        </w:trPr>
        <w:tc>
          <w:tcPr>
            <w:tcW w:w="1670"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spacing w:beforeAutospacing="1" w:after="60"/>
              <w:jc w:val="center"/>
              <w:rPr>
                <w:color w:val="264A60"/>
                <w:sz w:val="18"/>
                <w:szCs w:val="18"/>
                <w:lang w:eastAsia="en-US"/>
              </w:rPr>
            </w:pPr>
            <w:r>
              <w:rPr>
                <w:color w:val="264A60"/>
                <w:sz w:val="18"/>
                <w:szCs w:val="18"/>
                <w:lang w:eastAsia="en-US"/>
              </w:rPr>
              <w:t>RST_LDS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spacing w:beforeAutospacing="1" w:after="60"/>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bottom"/>
          </w:tcPr>
          <w:p>
            <w:pPr>
              <w:pStyle w:val="Normal"/>
              <w:spacing w:lineRule="auto" w:line="240" w:before="0" w:after="0"/>
              <w:jc w:val="center"/>
              <w:rPr>
                <w:sz w:val="18"/>
                <w:szCs w:val="18"/>
              </w:rPr>
            </w:pPr>
            <w:r>
              <w:rPr>
                <w:sz w:val="18"/>
                <w:szCs w:val="18"/>
              </w:rPr>
              <w:t>0.90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bottom"/>
          </w:tcPr>
          <w:p>
            <w:pPr>
              <w:pStyle w:val="Normal"/>
              <w:spacing w:lineRule="auto" w:line="240" w:before="0" w:after="0"/>
              <w:jc w:val="center"/>
              <w:rPr>
                <w:sz w:val="18"/>
                <w:szCs w:val="18"/>
              </w:rPr>
            </w:pPr>
            <w:r>
              <w:rPr>
                <w:sz w:val="18"/>
                <w:szCs w:val="18"/>
              </w:rPr>
              <w:t>0.60</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bottom"/>
          </w:tcPr>
          <w:p>
            <w:pPr>
              <w:pStyle w:val="Normal"/>
              <w:spacing w:lineRule="auto" w:line="240" w:before="0" w:after="0"/>
              <w:jc w:val="center"/>
              <w:rPr>
                <w:sz w:val="18"/>
                <w:szCs w:val="18"/>
              </w:rPr>
            </w:pPr>
            <w:r>
              <w:rPr>
                <w:sz w:val="18"/>
                <w:szCs w:val="18"/>
              </w:rPr>
              <w:t>0.50</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bottom"/>
          </w:tcPr>
          <w:p>
            <w:pPr>
              <w:pStyle w:val="Normal"/>
              <w:spacing w:lineRule="auto" w:line="240" w:before="0" w:after="0"/>
              <w:jc w:val="center"/>
              <w:rPr>
                <w:sz w:val="18"/>
                <w:szCs w:val="18"/>
              </w:rPr>
            </w:pPr>
            <w:r>
              <w:rPr>
                <w:sz w:val="18"/>
                <w:szCs w:val="18"/>
              </w:rPr>
              <w:t>0.61</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bottom"/>
          </w:tcPr>
          <w:p>
            <w:pPr>
              <w:pStyle w:val="Normal"/>
              <w:spacing w:lineRule="auto" w:line="240" w:before="0" w:after="0"/>
              <w:jc w:val="center"/>
              <w:rPr>
                <w:sz w:val="18"/>
                <w:szCs w:val="18"/>
              </w:rPr>
            </w:pPr>
            <w:r>
              <w:rPr>
                <w:sz w:val="18"/>
                <w:szCs w:val="18"/>
              </w:rPr>
              <w:t>1.00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bottom"/>
          </w:tcPr>
          <w:p>
            <w:pPr>
              <w:pStyle w:val="Normal"/>
              <w:spacing w:lineRule="auto" w:line="240" w:before="0" w:after="0"/>
              <w:jc w:val="center"/>
              <w:rPr>
                <w:sz w:val="18"/>
                <w:szCs w:val="18"/>
              </w:rPr>
            </w:pPr>
            <w:r>
              <w:rPr>
                <w:sz w:val="18"/>
                <w:szCs w:val="18"/>
              </w:rPr>
              <w:t>0.02</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bottom"/>
          </w:tcPr>
          <w:p>
            <w:pPr>
              <w:pStyle w:val="Normal"/>
              <w:spacing w:lineRule="auto" w:line="240" w:before="0" w:after="0"/>
              <w:jc w:val="center"/>
              <w:rPr>
                <w:sz w:val="18"/>
                <w:szCs w:val="18"/>
              </w:rPr>
            </w:pPr>
            <w:r>
              <w:rPr>
                <w:sz w:val="18"/>
                <w:szCs w:val="18"/>
              </w:rPr>
              <w:t>0.35</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bottom"/>
          </w:tcPr>
          <w:p>
            <w:pPr>
              <w:pStyle w:val="Normal"/>
              <w:spacing w:lineRule="auto" w:line="240" w:before="0" w:after="0"/>
              <w:jc w:val="center"/>
              <w:rPr>
                <w:sz w:val="18"/>
                <w:szCs w:val="18"/>
              </w:rPr>
            </w:pPr>
            <w:r>
              <w:rPr>
                <w:sz w:val="18"/>
                <w:szCs w:val="18"/>
              </w:rPr>
              <w:t>0.97</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FFFFFF" w:val="clear"/>
            <w:tcMar>
              <w:left w:w="-10" w:type="dxa"/>
            </w:tcMar>
            <w:vAlign w:val="bottom"/>
          </w:tcPr>
          <w:p>
            <w:pPr>
              <w:pStyle w:val="Normal"/>
              <w:spacing w:lineRule="auto" w:line="240" w:before="0" w:after="0"/>
              <w:jc w:val="center"/>
              <w:rPr>
                <w:sz w:val="18"/>
                <w:szCs w:val="18"/>
              </w:rPr>
            </w:pPr>
            <w:r>
              <w:rPr>
                <w:sz w:val="18"/>
                <w:szCs w:val="18"/>
              </w:rPr>
              <w:t>0.97</w:t>
            </w:r>
          </w:p>
        </w:tc>
      </w:tr>
      <w:tr>
        <w:trPr>
          <w:trHeight w:val="263" w:hRule="atLeast"/>
          <w:cantSplit w:val="true"/>
        </w:trPr>
        <w:tc>
          <w:tcPr>
            <w:tcW w:w="1670"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spacing w:beforeAutospacing="1" w:after="60"/>
              <w:jc w:val="center"/>
              <w:rPr>
                <w:color w:val="264A60"/>
                <w:szCs w:val="18"/>
                <w:lang w:val="en-US" w:eastAsia="en-US"/>
              </w:rPr>
            </w:pPr>
            <w:r>
              <w:rPr>
                <w:color w:val="264A60"/>
                <w:szCs w:val="18"/>
                <w:lang w:val="en-US" w:eastAsia="en-US"/>
              </w:rPr>
            </w:r>
          </w:p>
        </w:tc>
        <w:tc>
          <w:tcPr>
            <w:tcW w:w="103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spacing w:beforeAutospacing="1" w:after="60"/>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0.14</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0.34</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0.27</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0.26</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0.01</w:t>
            </w:r>
          </w:p>
        </w:tc>
        <w:tc>
          <w:tcPr>
            <w:tcW w:w="506"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r>
      <w:tr>
        <w:trPr>
          <w:cantSplit w:val="true"/>
        </w:trPr>
        <w:tc>
          <w:tcPr>
            <w:tcW w:w="1670"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jc w:val="center"/>
              <w:rPr>
                <w:color w:val="264A60"/>
                <w:sz w:val="18"/>
                <w:szCs w:val="18"/>
                <w:lang w:eastAsia="en-US"/>
              </w:rPr>
            </w:pPr>
            <w:r>
              <w:rPr>
                <w:color w:val="264A60"/>
                <w:sz w:val="18"/>
                <w:szCs w:val="18"/>
                <w:lang w:eastAsia="en-US"/>
              </w:rPr>
              <w:t>LPA_LDS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0.01</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0.91</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0.70</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0.65</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1.00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0.33</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trHeight w:val="203" w:hRule="atLeast"/>
          <w:cantSplit w:val="true"/>
        </w:trPr>
        <w:tc>
          <w:tcPr>
            <w:tcW w:w="1670" w:type="dxa"/>
            <w:vMerge w:val="continue"/>
            <w:tcBorders>
              <w:top w:val="single" w:sz="8" w:space="0" w:color="000001"/>
              <w:left w:val="single" w:sz="8" w:space="0" w:color="E0E0E0"/>
              <w:bottom w:val="single" w:sz="2" w:space="0" w:color="AEAEAE"/>
              <w:right w:val="single" w:sz="8" w:space="0" w:color="E0E0E0"/>
              <w:insideH w:val="single" w:sz="2" w:space="0" w:color="AEAEAE"/>
              <w:insideV w:val="single" w:sz="8" w:space="0" w:color="E0E0E0"/>
            </w:tcBorders>
            <w:shd w:color="auto" w:fill="E0E0E0" w:val="clear"/>
            <w:tcMar>
              <w:left w:w="-10" w:type="dxa"/>
            </w:tcMar>
            <w:vAlign w:val="center"/>
          </w:tcPr>
          <w:p>
            <w:pPr>
              <w:pStyle w:val="NormalTabla"/>
              <w:jc w:val="center"/>
              <w:rPr>
                <w:color w:val="264A60"/>
                <w:sz w:val="18"/>
                <w:szCs w:val="18"/>
                <w:lang w:eastAsia="en-US"/>
              </w:rPr>
            </w:pPr>
            <w:r>
              <w:rPr>
                <w:color w:val="264A60"/>
                <w:sz w:val="18"/>
                <w:szCs w:val="18"/>
                <w:lang w:eastAsia="en-US"/>
              </w:rPr>
            </w:r>
          </w:p>
        </w:tc>
        <w:tc>
          <w:tcPr>
            <w:tcW w:w="103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0.07</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0.19</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0.30</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0.23</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06"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r>
      <w:tr>
        <w:trPr>
          <w:cantSplit w:val="true"/>
        </w:trPr>
        <w:tc>
          <w:tcPr>
            <w:tcW w:w="1670" w:type="dxa"/>
            <w:vMerge w:val="restart"/>
            <w:tcBorders>
              <w:top w:val="single" w:sz="2" w:space="0" w:color="AEAEAE"/>
              <w:left w:val="single" w:sz="8" w:space="0" w:color="E0E0E0"/>
              <w:bottom w:val="single" w:sz="2" w:space="0" w:color="AEAEAE"/>
              <w:right w:val="single" w:sz="8" w:space="0" w:color="E0E0E0"/>
              <w:insideH w:val="single" w:sz="2" w:space="0" w:color="AEAEAE"/>
              <w:insideV w:val="single" w:sz="8" w:space="0" w:color="E0E0E0"/>
            </w:tcBorders>
            <w:shd w:color="auto" w:fill="E0E0E0" w:val="clear"/>
            <w:tcMar>
              <w:left w:w="-10" w:type="dxa"/>
            </w:tcMar>
            <w:vAlign w:val="center"/>
          </w:tcPr>
          <w:p>
            <w:pPr>
              <w:pStyle w:val="NormalTabla"/>
              <w:jc w:val="center"/>
              <w:rPr>
                <w:color w:val="264A60"/>
                <w:szCs w:val="18"/>
                <w:lang w:val="en-US" w:eastAsia="en-US"/>
              </w:rPr>
            </w:pPr>
            <w:r>
              <w:rPr>
                <w:color w:val="264A60"/>
                <w:sz w:val="18"/>
                <w:szCs w:val="18"/>
                <w:lang w:eastAsia="en-US"/>
              </w:rPr>
              <w:t>Apriori_LDS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0.84</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0.31</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0.53</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1.00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cantSplit w:val="true"/>
        </w:trPr>
        <w:tc>
          <w:tcPr>
            <w:tcW w:w="1670" w:type="dxa"/>
            <w:vMerge w:val="continue"/>
            <w:tcBorders>
              <w:top w:val="single" w:sz="2" w:space="0" w:color="AEAEAE"/>
              <w:left w:val="single" w:sz="8" w:space="0" w:color="E0E0E0"/>
              <w:bottom w:val="single" w:sz="2" w:space="0" w:color="AEAEAE"/>
              <w:right w:val="single" w:sz="8" w:space="0" w:color="E0E0E0"/>
              <w:insideH w:val="single" w:sz="2" w:space="0" w:color="AEAEAE"/>
              <w:insideV w:val="single" w:sz="8" w:space="0" w:color="E0E0E0"/>
            </w:tcBorders>
            <w:shd w:color="auto" w:fill="E0E0E0" w:val="clear"/>
            <w:tcMar>
              <w:left w:w="-10" w:type="dxa"/>
            </w:tcMar>
            <w:vAlign w:val="center"/>
          </w:tcPr>
          <w:p>
            <w:pPr>
              <w:pStyle w:val="NormalTabla"/>
              <w:jc w:val="center"/>
              <w:rPr>
                <w:color w:val="264A60"/>
                <w:sz w:val="18"/>
                <w:szCs w:val="18"/>
                <w:lang w:eastAsia="en-US"/>
              </w:rPr>
            </w:pPr>
            <w:r>
              <w:rPr>
                <w:color w:val="264A60"/>
                <w:sz w:val="18"/>
                <w:szCs w:val="18"/>
                <w:lang w:eastAsia="en-US"/>
              </w:rPr>
            </w:r>
          </w:p>
        </w:tc>
        <w:tc>
          <w:tcPr>
            <w:tcW w:w="103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0.13</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0.22</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0.29</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0.09</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06"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r>
      <w:tr>
        <w:trPr>
          <w:cantSplit w:val="true"/>
        </w:trPr>
        <w:tc>
          <w:tcPr>
            <w:tcW w:w="1670" w:type="dxa"/>
            <w:vMerge w:val="restart"/>
            <w:tcBorders>
              <w:top w:val="single" w:sz="2" w:space="0" w:color="AEAEAE"/>
              <w:left w:val="single" w:sz="8" w:space="0" w:color="E0E0E0"/>
              <w:bottom w:val="single" w:sz="2" w:space="0" w:color="AEAEAE"/>
              <w:right w:val="single" w:sz="8" w:space="0" w:color="E0E0E0"/>
              <w:insideH w:val="single" w:sz="2" w:space="0" w:color="AEAEAE"/>
              <w:insideV w:val="single" w:sz="8" w:space="0" w:color="E0E0E0"/>
            </w:tcBorders>
            <w:shd w:color="auto" w:fill="E0E0E0" w:val="clear"/>
            <w:tcMar>
              <w:left w:w="-10" w:type="dxa"/>
            </w:tcMar>
            <w:vAlign w:val="center"/>
          </w:tcPr>
          <w:p>
            <w:pPr>
              <w:pStyle w:val="NormalTabla"/>
              <w:jc w:val="center"/>
              <w:rPr>
                <w:color w:val="264A60"/>
                <w:sz w:val="18"/>
                <w:szCs w:val="18"/>
                <w:lang w:eastAsia="en-US"/>
              </w:rPr>
            </w:pPr>
            <w:r>
              <w:rPr>
                <w:color w:val="264A60"/>
                <w:sz w:val="18"/>
                <w:szCs w:val="18"/>
                <w:lang w:eastAsia="en-US"/>
              </w:rPr>
              <w:t>ACO_LDS</w:t>
            </w:r>
          </w:p>
        </w:tc>
        <w:tc>
          <w:tcPr>
            <w:tcW w:w="1030"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0.07</w:t>
            </w:r>
          </w:p>
        </w:tc>
        <w:tc>
          <w:tcPr>
            <w:tcW w:w="570"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0.80</w:t>
            </w:r>
          </w:p>
        </w:tc>
        <w:tc>
          <w:tcPr>
            <w:tcW w:w="572"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0.75</w:t>
            </w:r>
          </w:p>
        </w:tc>
        <w:tc>
          <w:tcPr>
            <w:tcW w:w="571"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0.37</w:t>
            </w:r>
          </w:p>
        </w:tc>
        <w:tc>
          <w:tcPr>
            <w:tcW w:w="571"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0.11</w:t>
            </w:r>
          </w:p>
        </w:tc>
        <w:tc>
          <w:tcPr>
            <w:tcW w:w="574"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0.88</w:t>
            </w:r>
          </w:p>
        </w:tc>
        <w:tc>
          <w:tcPr>
            <w:tcW w:w="572"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0.06</w:t>
            </w:r>
          </w:p>
        </w:tc>
        <w:tc>
          <w:tcPr>
            <w:tcW w:w="570"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0.20</w:t>
            </w:r>
          </w:p>
        </w:tc>
        <w:tc>
          <w:tcPr>
            <w:tcW w:w="572"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0.91</w:t>
            </w:r>
          </w:p>
        </w:tc>
        <w:tc>
          <w:tcPr>
            <w:tcW w:w="506" w:type="dxa"/>
            <w:tcBorders>
              <w:top w:val="single" w:sz="8" w:space="0" w:color="AEAEAE"/>
              <w:left w:val="single" w:sz="8" w:space="0" w:color="E0E0E0"/>
              <w:bottom w:val="dashed" w:sz="4" w:space="0" w:color="D9D9D9"/>
              <w:right w:val="single" w:sz="8" w:space="0" w:color="AEAEAE"/>
              <w:insideH w:val="dashed" w:sz="4" w:space="0" w:color="D9D9D9"/>
              <w:insideV w:val="single" w:sz="8" w:space="0" w:color="AEAEAE"/>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0.97</w:t>
            </w:r>
          </w:p>
        </w:tc>
      </w:tr>
      <w:tr>
        <w:trPr>
          <w:cantSplit w:val="true"/>
        </w:trPr>
        <w:tc>
          <w:tcPr>
            <w:tcW w:w="1670" w:type="dxa"/>
            <w:vMerge w:val="continue"/>
            <w:tcBorders>
              <w:top w:val="single" w:sz="2" w:space="0" w:color="AEAEAE"/>
              <w:left w:val="single" w:sz="8" w:space="0" w:color="E0E0E0"/>
              <w:bottom w:val="single" w:sz="2" w:space="0" w:color="AEAEAE"/>
              <w:right w:val="single" w:sz="8" w:space="0" w:color="E0E0E0"/>
              <w:insideH w:val="single" w:sz="2" w:space="0" w:color="AEAEAE"/>
              <w:insideV w:val="single" w:sz="8" w:space="0" w:color="E0E0E0"/>
            </w:tcBorders>
            <w:shd w:color="auto" w:fill="E0E0E0" w:val="clear"/>
            <w:tcMar>
              <w:left w:w="-10" w:type="dxa"/>
            </w:tcMar>
            <w:vAlign w:val="center"/>
          </w:tcPr>
          <w:p>
            <w:pPr>
              <w:pStyle w:val="NormalTabla"/>
              <w:jc w:val="center"/>
              <w:rPr>
                <w:color w:val="264A60"/>
                <w:sz w:val="18"/>
                <w:szCs w:val="18"/>
                <w:lang w:eastAsia="en-US"/>
              </w:rPr>
            </w:pPr>
            <w:r>
              <w:rPr>
                <w:color w:val="264A60"/>
                <w:sz w:val="18"/>
                <w:szCs w:val="18"/>
                <w:lang w:eastAsia="en-US"/>
              </w:rPr>
            </w:r>
          </w:p>
        </w:tc>
        <w:tc>
          <w:tcPr>
            <w:tcW w:w="1030"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0.26</w:t>
            </w:r>
          </w:p>
        </w:tc>
        <w:tc>
          <w:tcPr>
            <w:tcW w:w="570"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0.34</w:t>
            </w:r>
          </w:p>
        </w:tc>
        <w:tc>
          <w:tcPr>
            <w:tcW w:w="572"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0.35</w:t>
            </w:r>
          </w:p>
        </w:tc>
        <w:tc>
          <w:tcPr>
            <w:tcW w:w="571"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0.13</w:t>
            </w:r>
          </w:p>
        </w:tc>
        <w:tc>
          <w:tcPr>
            <w:tcW w:w="571"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0.25</w:t>
            </w:r>
          </w:p>
        </w:tc>
        <w:tc>
          <w:tcPr>
            <w:tcW w:w="574"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0.12</w:t>
            </w:r>
          </w:p>
        </w:tc>
        <w:tc>
          <w:tcPr>
            <w:tcW w:w="572"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0.04</w:t>
            </w:r>
          </w:p>
        </w:tc>
        <w:tc>
          <w:tcPr>
            <w:tcW w:w="570"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0.20</w:t>
            </w:r>
          </w:p>
        </w:tc>
        <w:tc>
          <w:tcPr>
            <w:tcW w:w="572"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0.06</w:t>
            </w:r>
          </w:p>
        </w:tc>
        <w:tc>
          <w:tcPr>
            <w:tcW w:w="506" w:type="dxa"/>
            <w:tcBorders>
              <w:top w:val="dashed" w:sz="4" w:space="0" w:color="D9D9D9"/>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r>
      <w:tr>
        <w:trPr>
          <w:cantSplit w:val="true"/>
        </w:trPr>
        <w:tc>
          <w:tcPr>
            <w:tcW w:w="1670" w:type="dxa"/>
            <w:vMerge w:val="restart"/>
            <w:tcBorders>
              <w:top w:val="single" w:sz="2"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jc w:val="center"/>
              <w:rPr>
                <w:color w:val="264A60"/>
                <w:szCs w:val="18"/>
                <w:lang w:val="en-US" w:eastAsia="en-US"/>
              </w:rPr>
            </w:pPr>
            <w:r>
              <w:rPr>
                <w:color w:val="264A60"/>
                <w:sz w:val="18"/>
                <w:szCs w:val="18"/>
                <w:lang w:eastAsia="en-US"/>
              </w:rPr>
              <w:t>GA_LDS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1.00</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0.86</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0.70</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1.00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0.21</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0.96</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cantSplit w:val="true"/>
        </w:trPr>
        <w:tc>
          <w:tcPr>
            <w:tcW w:w="1670"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jc w:val="center"/>
              <w:rPr>
                <w:color w:val="264A60"/>
                <w:sz w:val="18"/>
                <w:szCs w:val="18"/>
                <w:lang w:eastAsia="en-US"/>
              </w:rPr>
            </w:pPr>
            <w:r>
              <w:rPr>
                <w:color w:val="264A60"/>
                <w:sz w:val="18"/>
                <w:szCs w:val="18"/>
                <w:lang w:eastAsia="en-US"/>
              </w:rPr>
            </w:r>
          </w:p>
        </w:tc>
        <w:tc>
          <w:tcPr>
            <w:tcW w:w="103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0.04</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0.13</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0.17</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0.04</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0.18</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06"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r>
      <w:tr>
        <w:trPr>
          <w:cantSplit w:val="true"/>
        </w:trPr>
        <w:tc>
          <w:tcPr>
            <w:tcW w:w="1670"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jc w:val="center"/>
              <w:rPr>
                <w:color w:val="264A60"/>
                <w:sz w:val="18"/>
                <w:szCs w:val="18"/>
                <w:lang w:eastAsia="en-US"/>
              </w:rPr>
            </w:pPr>
            <w:r>
              <w:rPr>
                <w:color w:val="264A60"/>
                <w:sz w:val="18"/>
                <w:szCs w:val="18"/>
                <w:lang w:eastAsia="en-US"/>
              </w:rPr>
              <w:t>PCA_LDS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0.01</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0.84</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0.31</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0.53</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1.00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cantSplit w:val="true"/>
        </w:trPr>
        <w:tc>
          <w:tcPr>
            <w:tcW w:w="1670"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jc w:val="center"/>
              <w:rPr>
                <w:color w:val="264A60"/>
                <w:szCs w:val="18"/>
                <w:lang w:val="en-US" w:eastAsia="en-US"/>
              </w:rPr>
            </w:pPr>
            <w:r>
              <w:rPr>
                <w:color w:val="264A60"/>
                <w:szCs w:val="18"/>
                <w:lang w:val="en-US" w:eastAsia="en-US"/>
              </w:rPr>
            </w:r>
          </w:p>
        </w:tc>
        <w:tc>
          <w:tcPr>
            <w:tcW w:w="103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0.13</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0.22</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0.29</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0.09</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06"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r>
      <w:tr>
        <w:trPr>
          <w:cantSplit w:val="true"/>
        </w:trPr>
        <w:tc>
          <w:tcPr>
            <w:tcW w:w="2700"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jc w:val="center"/>
              <w:rPr/>
            </w:pPr>
            <w:r>
              <w:rPr>
                <w:b/>
                <w:color w:val="264A60"/>
                <w:szCs w:val="18"/>
                <w:lang w:eastAsia="en-US"/>
              </w:rPr>
              <w:t>BD_gp_eval_proy_integral</w:t>
            </w:r>
          </w:p>
        </w:tc>
        <w:tc>
          <w:tcPr>
            <w:tcW w:w="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70"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7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74"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7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70"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7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06" w:type="dxa"/>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r>
      <w:tr>
        <w:trPr>
          <w:trHeight w:val="333" w:hRule="atLeast"/>
          <w:cantSplit w:val="true"/>
        </w:trPr>
        <w:tc>
          <w:tcPr>
            <w:tcW w:w="1670"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RST_LDS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0.18</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0.95</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0.59</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0.76</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0.89</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0.12</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0.37</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0.75</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trHeight w:val="267" w:hRule="atLeast"/>
          <w:cantSplit w:val="true"/>
        </w:trPr>
        <w:tc>
          <w:tcPr>
            <w:tcW w:w="1670"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0.38</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0.12</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0.34</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0.21</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0.09</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0.09</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0.35</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0.21</w:t>
            </w:r>
          </w:p>
        </w:tc>
        <w:tc>
          <w:tcPr>
            <w:tcW w:w="506"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trHeight w:val="267" w:hRule="atLeast"/>
          <w:cantSplit w:val="true"/>
        </w:trPr>
        <w:tc>
          <w:tcPr>
            <w:tcW w:w="1670"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LPA_LDS</w:t>
            </w:r>
          </w:p>
        </w:tc>
        <w:tc>
          <w:tcPr>
            <w:tcW w:w="1030"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0"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0.88</w:t>
            </w:r>
          </w:p>
        </w:tc>
        <w:tc>
          <w:tcPr>
            <w:tcW w:w="572"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0.76</w:t>
            </w:r>
          </w:p>
        </w:tc>
        <w:tc>
          <w:tcPr>
            <w:tcW w:w="571"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71"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0.82</w:t>
            </w:r>
          </w:p>
        </w:tc>
        <w:tc>
          <w:tcPr>
            <w:tcW w:w="574"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0.88</w:t>
            </w:r>
          </w:p>
        </w:tc>
        <w:tc>
          <w:tcPr>
            <w:tcW w:w="572"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0.13</w:t>
            </w:r>
          </w:p>
        </w:tc>
        <w:tc>
          <w:tcPr>
            <w:tcW w:w="570"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0.17</w:t>
            </w:r>
          </w:p>
        </w:tc>
        <w:tc>
          <w:tcPr>
            <w:tcW w:w="572"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0.65</w:t>
            </w:r>
          </w:p>
        </w:tc>
        <w:tc>
          <w:tcPr>
            <w:tcW w:w="506" w:type="dxa"/>
            <w:tcBorders>
              <w:top w:val="single" w:sz="8" w:space="0" w:color="AEAEAE"/>
              <w:left w:val="single" w:sz="8" w:space="0" w:color="E0E0E0"/>
              <w:bottom w:val="dashed" w:sz="4" w:space="0" w:color="D9D9D9"/>
              <w:right w:val="single" w:sz="8" w:space="0" w:color="AEAEAE"/>
              <w:insideH w:val="dashed" w:sz="4" w:space="0" w:color="D9D9D9"/>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trHeight w:val="271" w:hRule="atLeast"/>
          <w:cantSplit w:val="true"/>
        </w:trPr>
        <w:tc>
          <w:tcPr>
            <w:tcW w:w="1670"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0"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0"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0.19</w:t>
            </w:r>
          </w:p>
        </w:tc>
        <w:tc>
          <w:tcPr>
            <w:tcW w:w="572"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0.23</w:t>
            </w:r>
          </w:p>
        </w:tc>
        <w:tc>
          <w:tcPr>
            <w:tcW w:w="571"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1"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0.21</w:t>
            </w:r>
          </w:p>
        </w:tc>
        <w:tc>
          <w:tcPr>
            <w:tcW w:w="574"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0.08</w:t>
            </w:r>
          </w:p>
        </w:tc>
        <w:tc>
          <w:tcPr>
            <w:tcW w:w="572"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0.08</w:t>
            </w:r>
          </w:p>
        </w:tc>
        <w:tc>
          <w:tcPr>
            <w:tcW w:w="570"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0.16</w:t>
            </w:r>
          </w:p>
        </w:tc>
        <w:tc>
          <w:tcPr>
            <w:tcW w:w="572"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0.26</w:t>
            </w:r>
          </w:p>
        </w:tc>
        <w:tc>
          <w:tcPr>
            <w:tcW w:w="506" w:type="dxa"/>
            <w:tcBorders>
              <w:top w:val="dashed" w:sz="4" w:space="0" w:color="D9D9D9"/>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trHeight w:val="271" w:hRule="atLeast"/>
          <w:cantSplit w:val="true"/>
        </w:trPr>
        <w:tc>
          <w:tcPr>
            <w:tcW w:w="1670"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Apriori_LDS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0.21</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0.87</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0.21</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0.47</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0.75</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0.95</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0.07</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0.73</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0.88</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0.96</w:t>
            </w:r>
          </w:p>
        </w:tc>
      </w:tr>
      <w:tr>
        <w:trPr>
          <w:trHeight w:val="271" w:hRule="atLeast"/>
          <w:cantSplit w:val="true"/>
        </w:trPr>
        <w:tc>
          <w:tcPr>
            <w:tcW w:w="1670"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0.39</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0.16</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0.23</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0.09</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0.23</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0.03</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0.03</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0.17</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0.05</w:t>
            </w:r>
          </w:p>
        </w:tc>
        <w:tc>
          <w:tcPr>
            <w:tcW w:w="506"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0.04</w:t>
            </w:r>
          </w:p>
        </w:tc>
      </w:tr>
      <w:tr>
        <w:trPr>
          <w:trHeight w:val="271" w:hRule="atLeast"/>
          <w:cantSplit w:val="true"/>
        </w:trPr>
        <w:tc>
          <w:tcPr>
            <w:tcW w:w="1670" w:type="dxa"/>
            <w:vMerge w:val="restart"/>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 w:val="18"/>
                <w:szCs w:val="18"/>
                <w:lang w:eastAsia="en-US"/>
              </w:rPr>
            </w:pPr>
            <w:r>
              <w:rPr>
                <w:color w:val="264A60"/>
                <w:sz w:val="18"/>
                <w:szCs w:val="18"/>
                <w:lang w:eastAsia="en-US"/>
              </w:rPr>
              <w:t>ACO_LDS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0.03</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0.62</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0.55</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0.40</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0.13</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0.69</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0.26</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0.17</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0.61</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trHeight w:val="271" w:hRule="atLeast"/>
          <w:cantSplit w:val="true"/>
        </w:trPr>
        <w:tc>
          <w:tcPr>
            <w:tcW w:w="1670" w:type="dxa"/>
            <w:vMerge w:val="continue"/>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 w:val="18"/>
                <w:szCs w:val="18"/>
                <w:lang w:eastAsia="en-US"/>
              </w:rPr>
            </w:pPr>
            <w:r>
              <w:rPr>
                <w:color w:val="264A60"/>
                <w:sz w:val="18"/>
                <w:szCs w:val="18"/>
                <w:lang w:eastAsia="en-US"/>
              </w:rPr>
            </w:r>
          </w:p>
        </w:tc>
        <w:tc>
          <w:tcPr>
            <w:tcW w:w="103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0.07</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0.44</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0.45</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0.12</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0.21</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0.08</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0.04</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0.16</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0.07</w:t>
            </w:r>
          </w:p>
        </w:tc>
        <w:tc>
          <w:tcPr>
            <w:tcW w:w="506"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trHeight w:val="271" w:hRule="atLeast"/>
          <w:cantSplit w:val="true"/>
        </w:trPr>
        <w:tc>
          <w:tcPr>
            <w:tcW w:w="1670" w:type="dxa"/>
            <w:vMerge w:val="restart"/>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 w:val="18"/>
                <w:szCs w:val="18"/>
                <w:lang w:eastAsia="en-US"/>
              </w:rPr>
            </w:pPr>
            <w:r>
              <w:rPr>
                <w:color w:val="264A60"/>
                <w:sz w:val="18"/>
                <w:szCs w:val="18"/>
                <w:lang w:eastAsia="en-US"/>
              </w:rPr>
              <w:t>GA_LDS</w:t>
            </w:r>
          </w:p>
        </w:tc>
        <w:tc>
          <w:tcPr>
            <w:tcW w:w="1030"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FFFFFF" w:val="clear"/>
            <w:tcMar>
              <w:left w:w="-10" w:type="dxa"/>
            </w:tcM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0.94</w:t>
            </w:r>
          </w:p>
        </w:tc>
        <w:tc>
          <w:tcPr>
            <w:tcW w:w="570"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0.96</w:t>
            </w:r>
          </w:p>
        </w:tc>
        <w:tc>
          <w:tcPr>
            <w:tcW w:w="572"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0.80</w:t>
            </w:r>
          </w:p>
        </w:tc>
        <w:tc>
          <w:tcPr>
            <w:tcW w:w="571"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71"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0.01</w:t>
            </w:r>
          </w:p>
        </w:tc>
        <w:tc>
          <w:tcPr>
            <w:tcW w:w="574"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0.96</w:t>
            </w:r>
          </w:p>
        </w:tc>
        <w:tc>
          <w:tcPr>
            <w:tcW w:w="572"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0.06</w:t>
            </w:r>
          </w:p>
        </w:tc>
        <w:tc>
          <w:tcPr>
            <w:tcW w:w="570"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0.17</w:t>
            </w:r>
          </w:p>
        </w:tc>
        <w:tc>
          <w:tcPr>
            <w:tcW w:w="572"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0.86</w:t>
            </w:r>
          </w:p>
        </w:tc>
        <w:tc>
          <w:tcPr>
            <w:tcW w:w="506" w:type="dxa"/>
            <w:tcBorders>
              <w:top w:val="single" w:sz="8" w:space="0" w:color="AEAEAE"/>
              <w:left w:val="single" w:sz="8" w:space="0" w:color="E0E0E0"/>
              <w:bottom w:val="dashed" w:sz="4" w:space="0" w:color="D9D9D9"/>
              <w:right w:val="single" w:sz="8" w:space="0" w:color="AEAEAE"/>
              <w:insideH w:val="dashed" w:sz="4" w:space="0" w:color="D9D9D9"/>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trHeight w:val="271" w:hRule="atLeast"/>
          <w:cantSplit w:val="true"/>
        </w:trPr>
        <w:tc>
          <w:tcPr>
            <w:tcW w:w="1670" w:type="dxa"/>
            <w:vMerge w:val="continue"/>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 w:val="18"/>
                <w:szCs w:val="18"/>
                <w:lang w:eastAsia="en-US"/>
              </w:rPr>
            </w:pPr>
            <w:r>
              <w:rPr>
                <w:color w:val="264A60"/>
                <w:sz w:val="18"/>
                <w:szCs w:val="18"/>
                <w:lang w:eastAsia="en-US"/>
              </w:rPr>
            </w:r>
          </w:p>
        </w:tc>
        <w:tc>
          <w:tcPr>
            <w:tcW w:w="1030"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0.11</w:t>
            </w:r>
          </w:p>
        </w:tc>
        <w:tc>
          <w:tcPr>
            <w:tcW w:w="570"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0.08</w:t>
            </w:r>
          </w:p>
        </w:tc>
        <w:tc>
          <w:tcPr>
            <w:tcW w:w="572"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0.20</w:t>
            </w:r>
          </w:p>
        </w:tc>
        <w:tc>
          <w:tcPr>
            <w:tcW w:w="571"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1"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4"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0.07</w:t>
            </w:r>
          </w:p>
        </w:tc>
        <w:tc>
          <w:tcPr>
            <w:tcW w:w="572"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0.07</w:t>
            </w:r>
          </w:p>
        </w:tc>
        <w:tc>
          <w:tcPr>
            <w:tcW w:w="570"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0.18</w:t>
            </w:r>
          </w:p>
        </w:tc>
        <w:tc>
          <w:tcPr>
            <w:tcW w:w="572"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0.19</w:t>
            </w:r>
          </w:p>
        </w:tc>
        <w:tc>
          <w:tcPr>
            <w:tcW w:w="506" w:type="dxa"/>
            <w:tcBorders>
              <w:top w:val="dashed" w:sz="4" w:space="0" w:color="D9D9D9"/>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trHeight w:val="271" w:hRule="atLeast"/>
          <w:cantSplit w:val="true"/>
        </w:trPr>
        <w:tc>
          <w:tcPr>
            <w:tcW w:w="1670"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 w:val="18"/>
                <w:szCs w:val="18"/>
                <w:lang w:eastAsia="en-US"/>
              </w:rPr>
            </w:pPr>
            <w:r>
              <w:rPr>
                <w:color w:val="264A60"/>
                <w:sz w:val="18"/>
                <w:szCs w:val="18"/>
                <w:lang w:eastAsia="en-US"/>
              </w:rPr>
              <w:t>PCA_LDS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0.22</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0.87</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0.21</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0.47</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0.73</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0.95</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0.07</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0.74</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0.89</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0.96</w:t>
            </w:r>
          </w:p>
        </w:tc>
      </w:tr>
      <w:tr>
        <w:trPr>
          <w:trHeight w:val="247" w:hRule="atLeast"/>
          <w:cantSplit w:val="true"/>
        </w:trPr>
        <w:tc>
          <w:tcPr>
            <w:tcW w:w="1670"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0.39</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0.16</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0.23</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0.09</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0.23</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0.03</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0.03</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0.17</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0.05</w:t>
            </w:r>
          </w:p>
        </w:tc>
        <w:tc>
          <w:tcPr>
            <w:tcW w:w="506"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0.04</w:t>
            </w:r>
          </w:p>
        </w:tc>
      </w:tr>
      <w:tr>
        <w:trPr>
          <w:cantSplit w:val="true"/>
        </w:trPr>
        <w:tc>
          <w:tcPr>
            <w:tcW w:w="2700" w:type="dxa"/>
            <w:gridSpan w:val="2"/>
            <w:tcBorders>
              <w:top w:val="single" w:sz="8" w:space="0" w:color="AEAEAE"/>
              <w:left w:val="single" w:sz="8" w:space="0" w:color="E0E0E0"/>
              <w:bottom w:val="single" w:sz="4" w:space="0" w:color="AEAEAE"/>
              <w:right w:val="single" w:sz="8" w:space="0" w:color="E0E0E0"/>
              <w:insideH w:val="single" w:sz="4" w:space="0" w:color="AEAEAE"/>
              <w:insideV w:val="single" w:sz="8" w:space="0" w:color="E0E0E0"/>
            </w:tcBorders>
            <w:shd w:color="auto" w:fill="E0E0E0" w:val="clear"/>
            <w:tcMar>
              <w:left w:w="-10" w:type="dxa"/>
            </w:tcMar>
            <w:vAlign w:val="center"/>
          </w:tcPr>
          <w:p>
            <w:pPr>
              <w:pStyle w:val="NormalTabla"/>
              <w:jc w:val="center"/>
              <w:rPr>
                <w:b/>
                <w:b/>
              </w:rPr>
            </w:pPr>
            <w:r>
              <w:rPr>
                <w:b/>
                <w:color w:val="264A60"/>
                <w:szCs w:val="18"/>
                <w:lang w:val="en-US" w:eastAsia="en-US"/>
              </w:rPr>
              <w:t>BD_gp_indicadores</w:t>
            </w:r>
          </w:p>
        </w:tc>
        <w:tc>
          <w:tcPr>
            <w:tcW w:w="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70"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7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74"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7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70"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7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06" w:type="dxa"/>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r>
      <w:tr>
        <w:trPr>
          <w:cantSplit w:val="true"/>
        </w:trPr>
        <w:tc>
          <w:tcPr>
            <w:tcW w:w="1670"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RST_LDS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0.09</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0.99</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0.60</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0.71</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0.86</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0.16</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0.34</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0.66</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cantSplit w:val="true"/>
        </w:trPr>
        <w:tc>
          <w:tcPr>
            <w:tcW w:w="1670" w:type="dxa"/>
            <w:vMerge w:val="continue"/>
            <w:tcBorders>
              <w:top w:val="single" w:sz="8" w:space="0" w:color="000001"/>
              <w:left w:val="single" w:sz="8" w:space="0" w:color="E0E0E0"/>
              <w:bottom w:val="single" w:sz="4" w:space="0" w:color="AEAEAE"/>
              <w:right w:val="single" w:sz="8" w:space="0" w:color="E0E0E0"/>
              <w:insideH w:val="single" w:sz="4"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0.28</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0.29</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0.23</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0.10</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0.28</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0.21</w:t>
            </w:r>
          </w:p>
        </w:tc>
        <w:tc>
          <w:tcPr>
            <w:tcW w:w="506"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cantSplit w:val="true"/>
        </w:trPr>
        <w:tc>
          <w:tcPr>
            <w:tcW w:w="1670" w:type="dxa"/>
            <w:vMerge w:val="restart"/>
            <w:tcBorders>
              <w:top w:val="single" w:sz="4"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LPA_LDS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0.05</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0.89</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0.75</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0.66</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0.82</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0.19</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0.16</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0.57</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cantSplit w:val="true"/>
        </w:trPr>
        <w:tc>
          <w:tcPr>
            <w:tcW w:w="1670"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0.22</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0.18</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0.26</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0.15</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0.11</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0.11</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0.21</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0.30</w:t>
            </w:r>
          </w:p>
        </w:tc>
        <w:tc>
          <w:tcPr>
            <w:tcW w:w="506"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cantSplit w:val="true"/>
        </w:trPr>
        <w:tc>
          <w:tcPr>
            <w:tcW w:w="1670" w:type="dxa"/>
            <w:vMerge w:val="restart"/>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Apriori_LDS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0.61</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0.95</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0.21</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0.34</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0.75</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0.95</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0.07</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0.89</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0.90</w:t>
            </w:r>
          </w:p>
        </w:tc>
      </w:tr>
      <w:tr>
        <w:trPr>
          <w:cantSplit w:val="true"/>
        </w:trPr>
        <w:tc>
          <w:tcPr>
            <w:tcW w:w="1670" w:type="dxa"/>
            <w:vMerge w:val="continue"/>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0.42</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0.09</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0.14</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0.17</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0.27</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0.05</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0.05</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0.14</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0.10</w:t>
            </w:r>
          </w:p>
        </w:tc>
        <w:tc>
          <w:tcPr>
            <w:tcW w:w="506"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0.14</w:t>
            </w:r>
          </w:p>
        </w:tc>
      </w:tr>
      <w:tr>
        <w:trPr>
          <w:cantSplit w:val="true"/>
        </w:trPr>
        <w:tc>
          <w:tcPr>
            <w:tcW w:w="1670" w:type="dxa"/>
            <w:vMerge w:val="restart"/>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ACO_LDS</w:t>
            </w:r>
          </w:p>
        </w:tc>
        <w:tc>
          <w:tcPr>
            <w:tcW w:w="1030"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0.06</w:t>
            </w:r>
          </w:p>
        </w:tc>
        <w:tc>
          <w:tcPr>
            <w:tcW w:w="570"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0.27</w:t>
            </w:r>
          </w:p>
        </w:tc>
        <w:tc>
          <w:tcPr>
            <w:tcW w:w="572"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0.24</w:t>
            </w:r>
          </w:p>
        </w:tc>
        <w:tc>
          <w:tcPr>
            <w:tcW w:w="571"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0.37</w:t>
            </w:r>
          </w:p>
        </w:tc>
        <w:tc>
          <w:tcPr>
            <w:tcW w:w="571"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0.10</w:t>
            </w:r>
          </w:p>
        </w:tc>
        <w:tc>
          <w:tcPr>
            <w:tcW w:w="574"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0.29</w:t>
            </w:r>
          </w:p>
        </w:tc>
        <w:tc>
          <w:tcPr>
            <w:tcW w:w="572"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0.25</w:t>
            </w:r>
          </w:p>
        </w:tc>
        <w:tc>
          <w:tcPr>
            <w:tcW w:w="570"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0.10</w:t>
            </w:r>
          </w:p>
        </w:tc>
        <w:tc>
          <w:tcPr>
            <w:tcW w:w="572"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0.23</w:t>
            </w:r>
          </w:p>
        </w:tc>
        <w:tc>
          <w:tcPr>
            <w:tcW w:w="506" w:type="dxa"/>
            <w:tcBorders>
              <w:top w:val="single" w:sz="8" w:space="0" w:color="AEAEAE"/>
              <w:left w:val="single" w:sz="8" w:space="0" w:color="E0E0E0"/>
              <w:bottom w:val="dashed" w:sz="4" w:space="0" w:color="D9D9D9"/>
              <w:right w:val="single" w:sz="8" w:space="0" w:color="AEAEAE"/>
              <w:insideH w:val="dashed" w:sz="4" w:space="0" w:color="D9D9D9"/>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cantSplit w:val="true"/>
        </w:trPr>
        <w:tc>
          <w:tcPr>
            <w:tcW w:w="1670" w:type="dxa"/>
            <w:vMerge w:val="continue"/>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0"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0.21</w:t>
            </w:r>
          </w:p>
        </w:tc>
        <w:tc>
          <w:tcPr>
            <w:tcW w:w="570"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0.39</w:t>
            </w:r>
          </w:p>
        </w:tc>
        <w:tc>
          <w:tcPr>
            <w:tcW w:w="572"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0.35</w:t>
            </w:r>
          </w:p>
        </w:tc>
        <w:tc>
          <w:tcPr>
            <w:tcW w:w="571"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0.13</w:t>
            </w:r>
          </w:p>
        </w:tc>
        <w:tc>
          <w:tcPr>
            <w:tcW w:w="571"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0.24</w:t>
            </w:r>
          </w:p>
        </w:tc>
        <w:tc>
          <w:tcPr>
            <w:tcW w:w="574"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0.25</w:t>
            </w:r>
          </w:p>
        </w:tc>
        <w:tc>
          <w:tcPr>
            <w:tcW w:w="572"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0.21</w:t>
            </w:r>
          </w:p>
        </w:tc>
        <w:tc>
          <w:tcPr>
            <w:tcW w:w="570"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0.10</w:t>
            </w:r>
          </w:p>
        </w:tc>
        <w:tc>
          <w:tcPr>
            <w:tcW w:w="572"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0.20</w:t>
            </w:r>
          </w:p>
        </w:tc>
        <w:tc>
          <w:tcPr>
            <w:tcW w:w="506" w:type="dxa"/>
            <w:tcBorders>
              <w:top w:val="dashed" w:sz="4" w:space="0" w:color="D9D9D9"/>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cantSplit w:val="true"/>
        </w:trPr>
        <w:tc>
          <w:tcPr>
            <w:tcW w:w="1670"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GA_LDS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0.92</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0.94</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0.81</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0.49</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0.87</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0.12</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0.14</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0.75</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cantSplit w:val="true"/>
        </w:trPr>
        <w:tc>
          <w:tcPr>
            <w:tcW w:w="1670"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0.15</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0.13</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0.27</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0.05</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0.09</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0.17</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0.12</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0.23</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0.26</w:t>
            </w:r>
          </w:p>
        </w:tc>
        <w:tc>
          <w:tcPr>
            <w:tcW w:w="506"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cantSplit w:val="true"/>
        </w:trPr>
        <w:tc>
          <w:tcPr>
            <w:tcW w:w="1670"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 w:val="18"/>
                <w:szCs w:val="18"/>
                <w:lang w:eastAsia="en-US"/>
              </w:rPr>
            </w:pPr>
            <w:r>
              <w:rPr>
                <w:color w:val="264A60"/>
                <w:sz w:val="18"/>
                <w:szCs w:val="18"/>
                <w:lang w:eastAsia="en-US"/>
              </w:rPr>
              <w:t>PCA_LDS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0.61</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0.95</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0.21</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0.34</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0.75</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0.95</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0.07</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0.89</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0.90</w:t>
            </w:r>
          </w:p>
        </w:tc>
      </w:tr>
      <w:tr>
        <w:trPr>
          <w:cantSplit w:val="true"/>
        </w:trPr>
        <w:tc>
          <w:tcPr>
            <w:tcW w:w="1670"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 w:val="18"/>
                <w:szCs w:val="18"/>
                <w:lang w:eastAsia="en-US"/>
              </w:rPr>
            </w:pPr>
            <w:r>
              <w:rPr>
                <w:color w:val="264A60"/>
                <w:sz w:val="18"/>
                <w:szCs w:val="18"/>
                <w:lang w:eastAsia="en-US"/>
              </w:rPr>
            </w:r>
          </w:p>
        </w:tc>
        <w:tc>
          <w:tcPr>
            <w:tcW w:w="103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0.42</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0.09</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0.14</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0.17</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0.27</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0.05</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0.05</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0.14</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0.10</w:t>
            </w:r>
          </w:p>
        </w:tc>
        <w:tc>
          <w:tcPr>
            <w:tcW w:w="506"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0.14</w:t>
            </w:r>
          </w:p>
        </w:tc>
      </w:tr>
      <w:tr>
        <w:trPr>
          <w:cantSplit w:val="true"/>
        </w:trPr>
        <w:tc>
          <w:tcPr>
            <w:tcW w:w="2700"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jc w:val="center"/>
              <w:rPr>
                <w:color w:val="264A60"/>
                <w:szCs w:val="18"/>
                <w:lang w:val="en-US" w:eastAsia="en-US"/>
              </w:rPr>
            </w:pPr>
            <w:r>
              <w:rPr>
                <w:b/>
                <w:color w:val="264A60"/>
                <w:szCs w:val="18"/>
                <w:lang w:val="en-US" w:eastAsia="en-US"/>
              </w:rPr>
              <w:t>BD_gp_competencias</w:t>
            </w:r>
          </w:p>
        </w:tc>
        <w:tc>
          <w:tcPr>
            <w:tcW w:w="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0"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4"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0"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06" w:type="dxa"/>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r>
      <w:tr>
        <w:trPr>
          <w:cantSplit w:val="true"/>
        </w:trPr>
        <w:tc>
          <w:tcPr>
            <w:tcW w:w="1670"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RST_LDS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0.09</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0.99</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0.53</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0.50</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0.65</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0.86</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0.15</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0.43</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0.70</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0.97</w:t>
            </w:r>
          </w:p>
        </w:tc>
      </w:tr>
      <w:tr>
        <w:trPr>
          <w:cantSplit w:val="true"/>
        </w:trPr>
        <w:tc>
          <w:tcPr>
            <w:tcW w:w="1670"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0.27</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0.01</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0.37</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0.00</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0.27</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0.10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0.10</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0.36</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0.22</w:t>
            </w:r>
          </w:p>
        </w:tc>
        <w:tc>
          <w:tcPr>
            <w:tcW w:w="506"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0.00</w:t>
            </w:r>
          </w:p>
        </w:tc>
      </w:tr>
      <w:tr>
        <w:trPr>
          <w:cantSplit w:val="true"/>
        </w:trPr>
        <w:tc>
          <w:tcPr>
            <w:tcW w:w="1670"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LPA_LDS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0.00</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0.84</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0.55</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0.50</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0.54</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0.84</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0.18</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0.29</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0.65</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0.97</w:t>
            </w:r>
          </w:p>
        </w:tc>
      </w:tr>
      <w:tr>
        <w:trPr>
          <w:cantSplit w:val="true"/>
        </w:trPr>
        <w:tc>
          <w:tcPr>
            <w:tcW w:w="1670"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0.00</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0.26</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0.35</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0.00</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0.26</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0.11</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0.11</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0.25</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0.22</w:t>
            </w:r>
          </w:p>
        </w:tc>
        <w:tc>
          <w:tcPr>
            <w:tcW w:w="506"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0.00</w:t>
            </w:r>
          </w:p>
        </w:tc>
      </w:tr>
      <w:tr>
        <w:trPr>
          <w:cantSplit w:val="true"/>
        </w:trPr>
        <w:tc>
          <w:tcPr>
            <w:tcW w:w="1670" w:type="dxa"/>
            <w:vMerge w:val="restart"/>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Apriori_LDS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0.08</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0.87</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0.12</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0.49</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0.64</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0.79</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0.23</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0.65</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0.58</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0.97</w:t>
            </w:r>
          </w:p>
        </w:tc>
      </w:tr>
      <w:tr>
        <w:trPr>
          <w:cantSplit w:val="true"/>
        </w:trPr>
        <w:tc>
          <w:tcPr>
            <w:tcW w:w="1670" w:type="dxa"/>
            <w:vMerge w:val="continue"/>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0.24</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0.11</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0.09</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0.05</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0.26</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0.08</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0.08</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0.16</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0.18</w:t>
            </w:r>
          </w:p>
        </w:tc>
        <w:tc>
          <w:tcPr>
            <w:tcW w:w="506"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0.00</w:t>
            </w:r>
          </w:p>
        </w:tc>
      </w:tr>
      <w:tr>
        <w:trPr>
          <w:cantSplit w:val="true"/>
        </w:trPr>
        <w:tc>
          <w:tcPr>
            <w:tcW w:w="1670" w:type="dxa"/>
            <w:vMerge w:val="restart"/>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ACO_LDS</w:t>
            </w:r>
          </w:p>
        </w:tc>
        <w:tc>
          <w:tcPr>
            <w:tcW w:w="1030"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0.02</w:t>
            </w:r>
          </w:p>
        </w:tc>
        <w:tc>
          <w:tcPr>
            <w:tcW w:w="570"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0.82</w:t>
            </w:r>
          </w:p>
        </w:tc>
        <w:tc>
          <w:tcPr>
            <w:tcW w:w="572"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0.24</w:t>
            </w:r>
          </w:p>
        </w:tc>
        <w:tc>
          <w:tcPr>
            <w:tcW w:w="571"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0.38</w:t>
            </w:r>
          </w:p>
        </w:tc>
        <w:tc>
          <w:tcPr>
            <w:tcW w:w="571"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0.08</w:t>
            </w:r>
          </w:p>
        </w:tc>
        <w:tc>
          <w:tcPr>
            <w:tcW w:w="574"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0.36</w:t>
            </w:r>
          </w:p>
        </w:tc>
        <w:tc>
          <w:tcPr>
            <w:tcW w:w="572"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0.61</w:t>
            </w:r>
          </w:p>
        </w:tc>
        <w:tc>
          <w:tcPr>
            <w:tcW w:w="570"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0.68</w:t>
            </w:r>
          </w:p>
        </w:tc>
        <w:tc>
          <w:tcPr>
            <w:tcW w:w="572"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0.09</w:t>
            </w:r>
          </w:p>
        </w:tc>
        <w:tc>
          <w:tcPr>
            <w:tcW w:w="506" w:type="dxa"/>
            <w:tcBorders>
              <w:top w:val="single" w:sz="8" w:space="0" w:color="AEAEAE"/>
              <w:left w:val="single" w:sz="8" w:space="0" w:color="E0E0E0"/>
              <w:bottom w:val="dashed" w:sz="4" w:space="0" w:color="D9D9D9"/>
              <w:right w:val="single" w:sz="8" w:space="0" w:color="AEAEAE"/>
              <w:insideH w:val="dashed" w:sz="4" w:space="0" w:color="D9D9D9"/>
              <w:insideV w:val="single" w:sz="8" w:space="0" w:color="AEAEAE"/>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0.97</w:t>
            </w:r>
          </w:p>
        </w:tc>
      </w:tr>
      <w:tr>
        <w:trPr>
          <w:cantSplit w:val="true"/>
        </w:trPr>
        <w:tc>
          <w:tcPr>
            <w:tcW w:w="1670" w:type="dxa"/>
            <w:vMerge w:val="continue"/>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0"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0.11</w:t>
            </w:r>
          </w:p>
        </w:tc>
        <w:tc>
          <w:tcPr>
            <w:tcW w:w="570"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0.27</w:t>
            </w:r>
          </w:p>
        </w:tc>
        <w:tc>
          <w:tcPr>
            <w:tcW w:w="572"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0.23</w:t>
            </w:r>
          </w:p>
        </w:tc>
        <w:tc>
          <w:tcPr>
            <w:tcW w:w="571"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0.13</w:t>
            </w:r>
          </w:p>
        </w:tc>
        <w:tc>
          <w:tcPr>
            <w:tcW w:w="571"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0.25</w:t>
            </w:r>
          </w:p>
        </w:tc>
        <w:tc>
          <w:tcPr>
            <w:tcW w:w="574"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0.11</w:t>
            </w:r>
          </w:p>
        </w:tc>
        <w:tc>
          <w:tcPr>
            <w:tcW w:w="572"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0.10</w:t>
            </w:r>
          </w:p>
        </w:tc>
        <w:tc>
          <w:tcPr>
            <w:tcW w:w="570"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0.28</w:t>
            </w:r>
          </w:p>
        </w:tc>
        <w:tc>
          <w:tcPr>
            <w:tcW w:w="572"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0.14</w:t>
            </w:r>
          </w:p>
        </w:tc>
        <w:tc>
          <w:tcPr>
            <w:tcW w:w="506" w:type="dxa"/>
            <w:tcBorders>
              <w:top w:val="dashed" w:sz="4" w:space="0" w:color="D9D9D9"/>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0.00</w:t>
            </w:r>
          </w:p>
        </w:tc>
      </w:tr>
      <w:tr>
        <w:trPr>
          <w:cantSplit w:val="true"/>
        </w:trPr>
        <w:tc>
          <w:tcPr>
            <w:tcW w:w="1670"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GA_LDS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0.87</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0.93</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0.82</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0.46</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0.00</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0.73</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0.22</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0.09</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0.47</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0.97</w:t>
            </w:r>
          </w:p>
        </w:tc>
      </w:tr>
      <w:tr>
        <w:trPr>
          <w:cantSplit w:val="true"/>
        </w:trPr>
        <w:tc>
          <w:tcPr>
            <w:tcW w:w="1670"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0.14</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0.09</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0.15</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0.10</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0.00</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0.22</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0.12</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0.13</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0.34</w:t>
            </w:r>
          </w:p>
        </w:tc>
        <w:tc>
          <w:tcPr>
            <w:tcW w:w="506"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0.00</w:t>
            </w:r>
          </w:p>
        </w:tc>
      </w:tr>
      <w:tr>
        <w:trPr>
          <w:cantSplit w:val="true"/>
        </w:trPr>
        <w:tc>
          <w:tcPr>
            <w:tcW w:w="1670"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 w:val="18"/>
                <w:szCs w:val="18"/>
                <w:lang w:eastAsia="en-US"/>
              </w:rPr>
            </w:pPr>
            <w:r>
              <w:rPr>
                <w:color w:val="264A60"/>
                <w:sz w:val="18"/>
                <w:szCs w:val="18"/>
                <w:lang w:eastAsia="en-US"/>
              </w:rPr>
              <w:t>PCA_LDS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0.08</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0.87</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0.12</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0.49</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0.64</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0.78</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0.24</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0.71</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0.61</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0.97</w:t>
            </w:r>
          </w:p>
        </w:tc>
      </w:tr>
      <w:tr>
        <w:trPr>
          <w:cantSplit w:val="true"/>
        </w:trPr>
        <w:tc>
          <w:tcPr>
            <w:tcW w:w="1670"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 w:val="18"/>
                <w:szCs w:val="18"/>
                <w:lang w:eastAsia="en-US"/>
              </w:rPr>
            </w:pPr>
            <w:r>
              <w:rPr>
                <w:color w:val="264A60"/>
                <w:sz w:val="18"/>
                <w:szCs w:val="18"/>
                <w:lang w:eastAsia="en-US"/>
              </w:rPr>
            </w:r>
          </w:p>
        </w:tc>
        <w:tc>
          <w:tcPr>
            <w:tcW w:w="103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0.24</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0.11</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0.09</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0.05</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0.25</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0.09</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0.09</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0.13</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0.15</w:t>
            </w:r>
          </w:p>
        </w:tc>
        <w:tc>
          <w:tcPr>
            <w:tcW w:w="506"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rFonts w:ascii="Calibri" w:hAnsi="Calibri"/>
                <w:sz w:val="18"/>
              </w:rPr>
            </w:pPr>
            <w:r>
              <w:rPr>
                <w:sz w:val="18"/>
                <w:szCs w:val="18"/>
              </w:rPr>
              <w:t>0.00</w:t>
            </w:r>
          </w:p>
        </w:tc>
      </w:tr>
      <w:tr>
        <w:trPr>
          <w:cantSplit w:val="true"/>
        </w:trPr>
        <w:tc>
          <w:tcPr>
            <w:tcW w:w="2700"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jc w:val="center"/>
              <w:rPr>
                <w:color w:val="264A60"/>
                <w:szCs w:val="18"/>
                <w:lang w:val="en-US" w:eastAsia="en-US"/>
              </w:rPr>
            </w:pPr>
            <w:r>
              <w:rPr>
                <w:b/>
                <w:color w:val="264A60"/>
                <w:szCs w:val="18"/>
                <w:lang w:val="en-US" w:eastAsia="en-US"/>
              </w:rPr>
              <w:t>BD_gp_requerimientos</w:t>
            </w:r>
          </w:p>
        </w:tc>
        <w:tc>
          <w:tcPr>
            <w:tcW w:w="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0"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4"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0"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06" w:type="dxa"/>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r>
      <w:tr>
        <w:trPr>
          <w:cantSplit w:val="true"/>
        </w:trPr>
        <w:tc>
          <w:tcPr>
            <w:tcW w:w="1670"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RST_LDS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0.45</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0.99</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0.33</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0.87</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0.99</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0.03</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0.66</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0.96</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cantSplit w:val="true"/>
        </w:trPr>
        <w:tc>
          <w:tcPr>
            <w:tcW w:w="1670"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0.53</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0.03</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0.38</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0.24</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0.38</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06"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cantSplit w:val="true"/>
        </w:trPr>
        <w:tc>
          <w:tcPr>
            <w:tcW w:w="1670" w:type="dxa"/>
            <w:vMerge w:val="restart"/>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LPA_LDS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0.95</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0.81</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0.87</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1.00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0.03</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0.19</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0.96</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cantSplit w:val="true"/>
        </w:trPr>
        <w:tc>
          <w:tcPr>
            <w:tcW w:w="1670" w:type="dxa"/>
            <w:vMerge w:val="continue"/>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0.05</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0.15</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0.20</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0.14</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06"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cantSplit w:val="true"/>
        </w:trPr>
        <w:tc>
          <w:tcPr>
            <w:tcW w:w="1670" w:type="dxa"/>
            <w:vMerge w:val="restart"/>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Apriori_LDS</w:t>
            </w:r>
          </w:p>
        </w:tc>
        <w:tc>
          <w:tcPr>
            <w:tcW w:w="1030"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0.86</w:t>
            </w:r>
          </w:p>
        </w:tc>
        <w:tc>
          <w:tcPr>
            <w:tcW w:w="570"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0.98</w:t>
            </w:r>
          </w:p>
        </w:tc>
        <w:tc>
          <w:tcPr>
            <w:tcW w:w="572"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0.26</w:t>
            </w:r>
          </w:p>
        </w:tc>
        <w:tc>
          <w:tcPr>
            <w:tcW w:w="571"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0.25</w:t>
            </w:r>
          </w:p>
        </w:tc>
        <w:tc>
          <w:tcPr>
            <w:tcW w:w="571"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0.96</w:t>
            </w:r>
          </w:p>
        </w:tc>
        <w:tc>
          <w:tcPr>
            <w:tcW w:w="574"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0.99</w:t>
            </w:r>
          </w:p>
        </w:tc>
        <w:tc>
          <w:tcPr>
            <w:tcW w:w="572"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0.03</w:t>
            </w:r>
          </w:p>
        </w:tc>
        <w:tc>
          <w:tcPr>
            <w:tcW w:w="570"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0.96</w:t>
            </w:r>
          </w:p>
        </w:tc>
        <w:tc>
          <w:tcPr>
            <w:tcW w:w="572"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0.96</w:t>
            </w:r>
          </w:p>
        </w:tc>
        <w:tc>
          <w:tcPr>
            <w:tcW w:w="506" w:type="dxa"/>
            <w:tcBorders>
              <w:top w:val="single" w:sz="8" w:space="0" w:color="AEAEAE"/>
              <w:left w:val="single" w:sz="8" w:space="0" w:color="E0E0E0"/>
              <w:bottom w:val="dashed" w:sz="4" w:space="0" w:color="D9D9D9"/>
              <w:right w:val="single" w:sz="8" w:space="0" w:color="AEAEAE"/>
              <w:insideH w:val="dashed" w:sz="4" w:space="0" w:color="D9D9D9"/>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0.79</w:t>
            </w:r>
          </w:p>
        </w:tc>
      </w:tr>
      <w:tr>
        <w:trPr>
          <w:cantSplit w:val="true"/>
        </w:trPr>
        <w:tc>
          <w:tcPr>
            <w:tcW w:w="1670" w:type="dxa"/>
            <w:vMerge w:val="continue"/>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0"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0.35</w:t>
            </w:r>
          </w:p>
        </w:tc>
        <w:tc>
          <w:tcPr>
            <w:tcW w:w="570"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0.08</w:t>
            </w:r>
          </w:p>
        </w:tc>
        <w:tc>
          <w:tcPr>
            <w:tcW w:w="572"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0.12</w:t>
            </w:r>
          </w:p>
        </w:tc>
        <w:tc>
          <w:tcPr>
            <w:tcW w:w="571"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0.18</w:t>
            </w:r>
          </w:p>
        </w:tc>
        <w:tc>
          <w:tcPr>
            <w:tcW w:w="571"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0.16</w:t>
            </w:r>
          </w:p>
        </w:tc>
        <w:tc>
          <w:tcPr>
            <w:tcW w:w="574"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2"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0"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0.11</w:t>
            </w:r>
          </w:p>
        </w:tc>
        <w:tc>
          <w:tcPr>
            <w:tcW w:w="572"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06" w:type="dxa"/>
            <w:tcBorders>
              <w:top w:val="dashed" w:sz="4" w:space="0" w:color="D9D9D9"/>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0.23</w:t>
            </w:r>
          </w:p>
        </w:tc>
      </w:tr>
      <w:tr>
        <w:trPr>
          <w:cantSplit w:val="true"/>
        </w:trPr>
        <w:tc>
          <w:tcPr>
            <w:tcW w:w="1670"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ACO_LDS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0.13</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0.44</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0.38</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0.37</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0.10</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0.66</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0.05</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0.17</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0.69</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cantSplit w:val="true"/>
        </w:trPr>
        <w:tc>
          <w:tcPr>
            <w:tcW w:w="1670"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0.34</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0.46</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0.45</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0.13</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0.25</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0.39</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0.04</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0.26</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0.39</w:t>
            </w:r>
          </w:p>
        </w:tc>
        <w:tc>
          <w:tcPr>
            <w:tcW w:w="506"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cantSplit w:val="true"/>
        </w:trPr>
        <w:tc>
          <w:tcPr>
            <w:tcW w:w="1670"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GA_LDS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0.62</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0.95</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0.59</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0.39</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0.30</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0.05</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0.92</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cantSplit w:val="true"/>
        </w:trPr>
        <w:tc>
          <w:tcPr>
            <w:tcW w:w="1670"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0.48</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0.12</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0.13</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0.46</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0.12</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0.04</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0.35</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0.06</w:t>
            </w:r>
          </w:p>
        </w:tc>
        <w:tc>
          <w:tcPr>
            <w:tcW w:w="506"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cantSplit w:val="true"/>
        </w:trPr>
        <w:tc>
          <w:tcPr>
            <w:tcW w:w="1670"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 w:val="18"/>
                <w:szCs w:val="18"/>
                <w:lang w:eastAsia="en-US"/>
              </w:rPr>
            </w:pPr>
            <w:r>
              <w:rPr>
                <w:color w:val="264A60"/>
                <w:sz w:val="18"/>
                <w:szCs w:val="18"/>
                <w:lang w:eastAsia="en-US"/>
              </w:rPr>
              <w:t>PCA_LDS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0.86</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0.98</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0.26</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0.25</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0.96</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0.99</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0.03</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0.96</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0.96</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0.79</w:t>
            </w:r>
          </w:p>
        </w:tc>
      </w:tr>
      <w:tr>
        <w:trPr>
          <w:cantSplit w:val="true"/>
        </w:trPr>
        <w:tc>
          <w:tcPr>
            <w:tcW w:w="1670"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 w:val="18"/>
                <w:szCs w:val="18"/>
                <w:lang w:eastAsia="en-US"/>
              </w:rPr>
            </w:pPr>
            <w:r>
              <w:rPr>
                <w:color w:val="264A60"/>
                <w:sz w:val="18"/>
                <w:szCs w:val="18"/>
                <w:lang w:eastAsia="en-US"/>
              </w:rPr>
            </w:r>
          </w:p>
        </w:tc>
        <w:tc>
          <w:tcPr>
            <w:tcW w:w="103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0.35</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0.08</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0.12</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0.18</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0.16</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0.11</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06"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0.23</w:t>
            </w:r>
          </w:p>
        </w:tc>
      </w:tr>
      <w:tr>
        <w:trPr>
          <w:cantSplit w:val="true"/>
        </w:trPr>
        <w:tc>
          <w:tcPr>
            <w:tcW w:w="2700"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jc w:val="center"/>
              <w:rPr>
                <w:b/>
                <w:b/>
                <w:color w:val="264A60"/>
                <w:szCs w:val="18"/>
                <w:lang w:val="en-US" w:eastAsia="en-US"/>
              </w:rPr>
            </w:pPr>
            <w:r>
              <w:rPr>
                <w:b/>
                <w:color w:val="264A60"/>
                <w:szCs w:val="18"/>
                <w:lang w:val="en-US" w:eastAsia="en-US"/>
              </w:rPr>
              <w:t>BD_gp_toma_decisiones</w:t>
            </w:r>
          </w:p>
        </w:tc>
        <w:tc>
          <w:tcPr>
            <w:tcW w:w="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0"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4"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0"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06" w:type="dxa"/>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r>
      <w:tr>
        <w:trPr>
          <w:cantSplit w:val="true"/>
        </w:trPr>
        <w:tc>
          <w:tcPr>
            <w:tcW w:w="1670"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RST_LDS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0.01</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0.70</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0.73</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0.05</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0.22</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0.89</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cantSplit w:val="true"/>
        </w:trPr>
        <w:tc>
          <w:tcPr>
            <w:tcW w:w="1670"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0.15</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0.37</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0.27</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0.06</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0.06</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0.28</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0.17</w:t>
            </w:r>
          </w:p>
        </w:tc>
        <w:tc>
          <w:tcPr>
            <w:tcW w:w="506"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cantSplit w:val="true"/>
        </w:trPr>
        <w:tc>
          <w:tcPr>
            <w:tcW w:w="1670"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LPA_LDS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0.93</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0.83</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0.70</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0.93</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0.09</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0.15</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0.74</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cantSplit w:val="true"/>
        </w:trPr>
        <w:tc>
          <w:tcPr>
            <w:tcW w:w="1670"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0.06</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0.15</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0.24</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0.09</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0.09</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0.19</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0.29</w:t>
            </w:r>
          </w:p>
        </w:tc>
        <w:tc>
          <w:tcPr>
            <w:tcW w:w="506"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cantSplit w:val="true"/>
        </w:trPr>
        <w:tc>
          <w:tcPr>
            <w:tcW w:w="1670" w:type="dxa"/>
            <w:vMerge w:val="restart"/>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Apriori_LDS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0.83</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0.28</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0.46</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0.98</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0.04</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0.92</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cantSplit w:val="true"/>
        </w:trPr>
        <w:tc>
          <w:tcPr>
            <w:tcW w:w="1670" w:type="dxa"/>
            <w:vMerge w:val="continue"/>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0.12</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0.13</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0.21</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0.01</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0.01</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0.08</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0.05</w:t>
            </w:r>
          </w:p>
        </w:tc>
        <w:tc>
          <w:tcPr>
            <w:tcW w:w="506"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cantSplit w:val="true"/>
        </w:trPr>
        <w:tc>
          <w:tcPr>
            <w:tcW w:w="1670" w:type="dxa"/>
            <w:vMerge w:val="restart"/>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ACO_LDS</w:t>
            </w:r>
          </w:p>
        </w:tc>
        <w:tc>
          <w:tcPr>
            <w:tcW w:w="1030" w:type="dxa"/>
            <w:tcBorders>
              <w:top w:val="single" w:sz="8" w:space="0" w:color="AEAEAE"/>
              <w:left w:val="single" w:sz="8" w:space="0" w:color="D9D9D9"/>
              <w:bottom w:val="dashed" w:sz="4" w:space="0" w:color="D9D9D9"/>
              <w:right w:val="single" w:sz="8" w:space="0" w:color="D9D9D9"/>
              <w:insideH w:val="dashed" w:sz="4" w:space="0" w:color="D9D9D9"/>
              <w:insideV w:val="single" w:sz="8" w:space="0" w:color="D9D9D9"/>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D9D9D9"/>
              <w:bottom w:val="dashed" w:sz="4" w:space="0" w:color="D9D9D9"/>
              <w:right w:val="single" w:sz="8" w:space="0" w:color="D9D9D9"/>
              <w:insideH w:val="dashed" w:sz="4" w:space="0" w:color="D9D9D9"/>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0.12</w:t>
            </w:r>
          </w:p>
        </w:tc>
        <w:tc>
          <w:tcPr>
            <w:tcW w:w="570" w:type="dxa"/>
            <w:tcBorders>
              <w:top w:val="single" w:sz="8" w:space="0" w:color="AEAEAE"/>
              <w:left w:val="single" w:sz="8" w:space="0" w:color="D9D9D9"/>
              <w:bottom w:val="dashed" w:sz="4" w:space="0" w:color="D9D9D9"/>
              <w:right w:val="single" w:sz="8" w:space="0" w:color="D9D9D9"/>
              <w:insideH w:val="dashed" w:sz="4" w:space="0" w:color="D9D9D9"/>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0.24</w:t>
            </w:r>
          </w:p>
        </w:tc>
        <w:tc>
          <w:tcPr>
            <w:tcW w:w="572" w:type="dxa"/>
            <w:tcBorders>
              <w:top w:val="single" w:sz="8" w:space="0" w:color="AEAEAE"/>
              <w:left w:val="single" w:sz="8" w:space="0" w:color="D9D9D9"/>
              <w:bottom w:val="dashed" w:sz="4" w:space="0" w:color="D9D9D9"/>
              <w:right w:val="single" w:sz="8" w:space="0" w:color="D9D9D9"/>
              <w:insideH w:val="dashed" w:sz="4" w:space="0" w:color="D9D9D9"/>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0.23</w:t>
            </w:r>
          </w:p>
        </w:tc>
        <w:tc>
          <w:tcPr>
            <w:tcW w:w="571" w:type="dxa"/>
            <w:tcBorders>
              <w:top w:val="single" w:sz="8" w:space="0" w:color="AEAEAE"/>
              <w:left w:val="single" w:sz="8" w:space="0" w:color="D9D9D9"/>
              <w:bottom w:val="dashed" w:sz="4" w:space="0" w:color="D9D9D9"/>
              <w:right w:val="single" w:sz="8" w:space="0" w:color="D9D9D9"/>
              <w:insideH w:val="dashed" w:sz="4" w:space="0" w:color="D9D9D9"/>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0.38</w:t>
            </w:r>
          </w:p>
        </w:tc>
        <w:tc>
          <w:tcPr>
            <w:tcW w:w="571" w:type="dxa"/>
            <w:tcBorders>
              <w:top w:val="single" w:sz="8" w:space="0" w:color="AEAEAE"/>
              <w:left w:val="single" w:sz="8" w:space="0" w:color="D9D9D9"/>
              <w:bottom w:val="dashed" w:sz="4" w:space="0" w:color="D9D9D9"/>
              <w:right w:val="single" w:sz="8" w:space="0" w:color="D9D9D9"/>
              <w:insideH w:val="dashed" w:sz="4" w:space="0" w:color="D9D9D9"/>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0.17</w:t>
            </w:r>
          </w:p>
        </w:tc>
        <w:tc>
          <w:tcPr>
            <w:tcW w:w="574" w:type="dxa"/>
            <w:tcBorders>
              <w:top w:val="single" w:sz="8" w:space="0" w:color="AEAEAE"/>
              <w:left w:val="single" w:sz="8" w:space="0" w:color="D9D9D9"/>
              <w:bottom w:val="dashed" w:sz="4" w:space="0" w:color="D9D9D9"/>
              <w:right w:val="single" w:sz="8" w:space="0" w:color="D9D9D9"/>
              <w:insideH w:val="dashed" w:sz="4" w:space="0" w:color="D9D9D9"/>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0.88</w:t>
            </w:r>
          </w:p>
        </w:tc>
        <w:tc>
          <w:tcPr>
            <w:tcW w:w="572" w:type="dxa"/>
            <w:tcBorders>
              <w:top w:val="single" w:sz="8" w:space="0" w:color="AEAEAE"/>
              <w:left w:val="single" w:sz="8" w:space="0" w:color="D9D9D9"/>
              <w:bottom w:val="dashed" w:sz="4" w:space="0" w:color="D9D9D9"/>
              <w:right w:val="single" w:sz="8" w:space="0" w:color="D9D9D9"/>
              <w:insideH w:val="dashed" w:sz="4" w:space="0" w:color="D9D9D9"/>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0.06</w:t>
            </w:r>
          </w:p>
        </w:tc>
        <w:tc>
          <w:tcPr>
            <w:tcW w:w="570" w:type="dxa"/>
            <w:tcBorders>
              <w:top w:val="single" w:sz="8" w:space="0" w:color="AEAEAE"/>
              <w:left w:val="single" w:sz="8" w:space="0" w:color="D9D9D9"/>
              <w:bottom w:val="dashed" w:sz="4" w:space="0" w:color="D9D9D9"/>
              <w:right w:val="single" w:sz="8" w:space="0" w:color="D9D9D9"/>
              <w:insideH w:val="dashed" w:sz="4" w:space="0" w:color="D9D9D9"/>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72" w:type="dxa"/>
            <w:tcBorders>
              <w:top w:val="single" w:sz="8" w:space="0" w:color="AEAEAE"/>
              <w:left w:val="single" w:sz="8" w:space="0" w:color="D9D9D9"/>
              <w:bottom w:val="dashed" w:sz="4" w:space="0" w:color="D9D9D9"/>
              <w:right w:val="single" w:sz="8" w:space="0" w:color="D9D9D9"/>
              <w:insideH w:val="dashed" w:sz="4" w:space="0" w:color="D9D9D9"/>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0.91</w:t>
            </w:r>
          </w:p>
        </w:tc>
        <w:tc>
          <w:tcPr>
            <w:tcW w:w="506" w:type="dxa"/>
            <w:tcBorders>
              <w:top w:val="single" w:sz="8" w:space="0" w:color="AEAEAE"/>
              <w:left w:val="single" w:sz="8" w:space="0" w:color="D9D9D9"/>
              <w:bottom w:val="dashed" w:sz="4" w:space="0" w:color="D9D9D9"/>
              <w:right w:val="single" w:sz="8" w:space="0" w:color="AEAEAE"/>
              <w:insideH w:val="dashed" w:sz="4" w:space="0" w:color="D9D9D9"/>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cantSplit w:val="true"/>
        </w:trPr>
        <w:tc>
          <w:tcPr>
            <w:tcW w:w="1670" w:type="dxa"/>
            <w:vMerge w:val="continue"/>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0" w:type="dxa"/>
            <w:tcBorders>
              <w:top w:val="dashed" w:sz="4" w:space="0" w:color="D9D9D9"/>
              <w:left w:val="single" w:sz="8" w:space="0" w:color="D9D9D9"/>
              <w:bottom w:val="single" w:sz="8" w:space="0" w:color="AEAEAE"/>
              <w:right w:val="single" w:sz="8" w:space="0" w:color="D9D9D9"/>
              <w:insideH w:val="single" w:sz="8" w:space="0" w:color="AEAEAE"/>
              <w:insideV w:val="single" w:sz="8" w:space="0" w:color="D9D9D9"/>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D9D9D9"/>
              <w:left w:val="single" w:sz="8" w:space="0" w:color="D9D9D9"/>
              <w:bottom w:val="single" w:sz="8" w:space="0" w:color="AEAEAE"/>
              <w:right w:val="single" w:sz="8" w:space="0" w:color="D9D9D9"/>
              <w:insideH w:val="single" w:sz="8" w:space="0" w:color="AEAEAE"/>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0.33</w:t>
            </w:r>
          </w:p>
        </w:tc>
        <w:tc>
          <w:tcPr>
            <w:tcW w:w="570" w:type="dxa"/>
            <w:tcBorders>
              <w:top w:val="dashed" w:sz="4" w:space="0" w:color="D9D9D9"/>
              <w:left w:val="single" w:sz="8" w:space="0" w:color="D9D9D9"/>
              <w:bottom w:val="single" w:sz="8" w:space="0" w:color="AEAEAE"/>
              <w:right w:val="single" w:sz="8" w:space="0" w:color="D9D9D9"/>
              <w:insideH w:val="single" w:sz="8" w:space="0" w:color="AEAEAE"/>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0.16</w:t>
            </w:r>
          </w:p>
        </w:tc>
        <w:tc>
          <w:tcPr>
            <w:tcW w:w="572" w:type="dxa"/>
            <w:tcBorders>
              <w:top w:val="dashed" w:sz="4" w:space="0" w:color="D9D9D9"/>
              <w:left w:val="single" w:sz="8" w:space="0" w:color="D9D9D9"/>
              <w:bottom w:val="single" w:sz="8" w:space="0" w:color="AEAEAE"/>
              <w:right w:val="single" w:sz="8" w:space="0" w:color="D9D9D9"/>
              <w:insideH w:val="single" w:sz="8" w:space="0" w:color="AEAEAE"/>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0.16</w:t>
            </w:r>
          </w:p>
        </w:tc>
        <w:tc>
          <w:tcPr>
            <w:tcW w:w="571" w:type="dxa"/>
            <w:tcBorders>
              <w:top w:val="dashed" w:sz="4" w:space="0" w:color="D9D9D9"/>
              <w:left w:val="single" w:sz="8" w:space="0" w:color="D9D9D9"/>
              <w:bottom w:val="single" w:sz="8" w:space="0" w:color="AEAEAE"/>
              <w:right w:val="single" w:sz="8" w:space="0" w:color="D9D9D9"/>
              <w:insideH w:val="single" w:sz="8" w:space="0" w:color="AEAEAE"/>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0.13</w:t>
            </w:r>
          </w:p>
        </w:tc>
        <w:tc>
          <w:tcPr>
            <w:tcW w:w="571" w:type="dxa"/>
            <w:tcBorders>
              <w:top w:val="dashed" w:sz="4" w:space="0" w:color="D9D9D9"/>
              <w:left w:val="single" w:sz="8" w:space="0" w:color="D9D9D9"/>
              <w:bottom w:val="single" w:sz="8" w:space="0" w:color="AEAEAE"/>
              <w:right w:val="single" w:sz="8" w:space="0" w:color="D9D9D9"/>
              <w:insideH w:val="single" w:sz="8" w:space="0" w:color="AEAEAE"/>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0.35</w:t>
            </w:r>
          </w:p>
        </w:tc>
        <w:tc>
          <w:tcPr>
            <w:tcW w:w="574" w:type="dxa"/>
            <w:tcBorders>
              <w:top w:val="dashed" w:sz="4" w:space="0" w:color="D9D9D9"/>
              <w:left w:val="single" w:sz="8" w:space="0" w:color="D9D9D9"/>
              <w:bottom w:val="single" w:sz="8" w:space="0" w:color="AEAEAE"/>
              <w:right w:val="single" w:sz="8" w:space="0" w:color="D9D9D9"/>
              <w:insideH w:val="single" w:sz="8" w:space="0" w:color="AEAEAE"/>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0.13</w:t>
            </w:r>
          </w:p>
        </w:tc>
        <w:tc>
          <w:tcPr>
            <w:tcW w:w="572" w:type="dxa"/>
            <w:tcBorders>
              <w:top w:val="dashed" w:sz="4" w:space="0" w:color="D9D9D9"/>
              <w:left w:val="single" w:sz="8" w:space="0" w:color="D9D9D9"/>
              <w:bottom w:val="single" w:sz="8" w:space="0" w:color="AEAEAE"/>
              <w:right w:val="single" w:sz="8" w:space="0" w:color="D9D9D9"/>
              <w:insideH w:val="single" w:sz="8" w:space="0" w:color="AEAEAE"/>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0.04</w:t>
            </w:r>
          </w:p>
        </w:tc>
        <w:tc>
          <w:tcPr>
            <w:tcW w:w="570" w:type="dxa"/>
            <w:tcBorders>
              <w:top w:val="dashed" w:sz="4" w:space="0" w:color="D9D9D9"/>
              <w:left w:val="single" w:sz="8" w:space="0" w:color="D9D9D9"/>
              <w:bottom w:val="single" w:sz="8" w:space="0" w:color="AEAEAE"/>
              <w:right w:val="single" w:sz="8" w:space="0" w:color="D9D9D9"/>
              <w:insideH w:val="single" w:sz="8" w:space="0" w:color="AEAEAE"/>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2" w:type="dxa"/>
            <w:tcBorders>
              <w:top w:val="dashed" w:sz="4" w:space="0" w:color="D9D9D9"/>
              <w:left w:val="single" w:sz="8" w:space="0" w:color="D9D9D9"/>
              <w:bottom w:val="single" w:sz="8" w:space="0" w:color="AEAEAE"/>
              <w:right w:val="single" w:sz="8" w:space="0" w:color="D9D9D9"/>
              <w:insideH w:val="single" w:sz="8" w:space="0" w:color="AEAEAE"/>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0.06</w:t>
            </w:r>
          </w:p>
        </w:tc>
        <w:tc>
          <w:tcPr>
            <w:tcW w:w="506" w:type="dxa"/>
            <w:tcBorders>
              <w:top w:val="dashed" w:sz="4" w:space="0" w:color="D9D9D9"/>
              <w:left w:val="single" w:sz="8" w:space="0" w:color="D9D9D9"/>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cantSplit w:val="true"/>
        </w:trPr>
        <w:tc>
          <w:tcPr>
            <w:tcW w:w="1670"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GA_LDS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0.98</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0.98</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0.96</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0.01</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0.99</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0.03</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0.03</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0.95</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cantSplit w:val="true"/>
        </w:trPr>
        <w:tc>
          <w:tcPr>
            <w:tcW w:w="1670"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0.03</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0.04</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0.05</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0.03</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06"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cantSplit w:val="true"/>
        </w:trPr>
        <w:tc>
          <w:tcPr>
            <w:tcW w:w="1670"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 w:val="18"/>
                <w:szCs w:val="18"/>
                <w:lang w:eastAsia="en-US"/>
              </w:rPr>
            </w:pPr>
            <w:r>
              <w:rPr>
                <w:color w:val="264A60"/>
                <w:sz w:val="18"/>
                <w:szCs w:val="18"/>
                <w:lang w:eastAsia="en-US"/>
              </w:rPr>
              <w:t>PCA_LDS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0.83</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0.28</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0.44</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0.98</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0.04</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0.92</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cantSplit w:val="true"/>
        </w:trPr>
        <w:tc>
          <w:tcPr>
            <w:tcW w:w="1670"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 w:val="18"/>
                <w:szCs w:val="18"/>
                <w:lang w:eastAsia="en-US"/>
              </w:rPr>
            </w:pPr>
            <w:r>
              <w:rPr>
                <w:color w:val="264A60"/>
                <w:sz w:val="18"/>
                <w:szCs w:val="18"/>
                <w:lang w:eastAsia="en-US"/>
              </w:rPr>
            </w:r>
          </w:p>
        </w:tc>
        <w:tc>
          <w:tcPr>
            <w:tcW w:w="103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0.12</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0.13</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0.22</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0.01</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0.01</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0.08</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0.05</w:t>
            </w:r>
          </w:p>
        </w:tc>
        <w:tc>
          <w:tcPr>
            <w:tcW w:w="506"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cantSplit w:val="true"/>
        </w:trPr>
        <w:tc>
          <w:tcPr>
            <w:tcW w:w="2700"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jc w:val="center"/>
              <w:rPr>
                <w:b/>
                <w:b/>
                <w:color w:val="264A60"/>
                <w:szCs w:val="18"/>
                <w:lang w:val="en-US" w:eastAsia="en-US"/>
              </w:rPr>
            </w:pPr>
            <w:r>
              <w:rPr>
                <w:b/>
                <w:color w:val="264A60"/>
                <w:szCs w:val="18"/>
                <w:lang w:val="en-US" w:eastAsia="en-US"/>
              </w:rPr>
              <w:t>BD_gp_rrhh</w:t>
            </w:r>
          </w:p>
        </w:tc>
        <w:tc>
          <w:tcPr>
            <w:tcW w:w="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0"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4"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0"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06" w:type="dxa"/>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r>
      <w:tr>
        <w:trPr>
          <w:cantSplit w:val="true"/>
        </w:trPr>
        <w:tc>
          <w:tcPr>
            <w:tcW w:w="1670"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RST_LDS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0.01</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0.95</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0.65</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0.72</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0.83</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0.19</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0.27</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0.59</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cantSplit w:val="true"/>
        </w:trPr>
        <w:tc>
          <w:tcPr>
            <w:tcW w:w="1670"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0.15</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0.24</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0.23</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0.08</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0.08</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0.21</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0.19</w:t>
            </w:r>
          </w:p>
        </w:tc>
        <w:tc>
          <w:tcPr>
            <w:tcW w:w="506"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cantSplit w:val="true"/>
        </w:trPr>
        <w:tc>
          <w:tcPr>
            <w:tcW w:w="1670" w:type="dxa"/>
            <w:vMerge w:val="restart"/>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LPA_LDS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0.75</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0.61</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0.68</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0.84</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0.17</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0.23</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0.60</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cantSplit w:val="true"/>
        </w:trPr>
        <w:tc>
          <w:tcPr>
            <w:tcW w:w="1670" w:type="dxa"/>
            <w:vMerge w:val="continue"/>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0.25</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0.29</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0.21</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0.07</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0.07</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0.18</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0.23</w:t>
            </w:r>
          </w:p>
        </w:tc>
        <w:tc>
          <w:tcPr>
            <w:tcW w:w="506"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cantSplit w:val="true"/>
        </w:trPr>
        <w:tc>
          <w:tcPr>
            <w:tcW w:w="1670" w:type="dxa"/>
            <w:vMerge w:val="restart"/>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Apriori_LDS</w:t>
            </w:r>
          </w:p>
        </w:tc>
        <w:tc>
          <w:tcPr>
            <w:tcW w:w="1030"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0.01</w:t>
            </w:r>
          </w:p>
        </w:tc>
        <w:tc>
          <w:tcPr>
            <w:tcW w:w="570"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0.84</w:t>
            </w:r>
          </w:p>
        </w:tc>
        <w:tc>
          <w:tcPr>
            <w:tcW w:w="572"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0.17</w:t>
            </w:r>
          </w:p>
        </w:tc>
        <w:tc>
          <w:tcPr>
            <w:tcW w:w="571"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71"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0.56</w:t>
            </w:r>
          </w:p>
        </w:tc>
        <w:tc>
          <w:tcPr>
            <w:tcW w:w="574"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0.84</w:t>
            </w:r>
          </w:p>
        </w:tc>
        <w:tc>
          <w:tcPr>
            <w:tcW w:w="572"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0.17</w:t>
            </w:r>
          </w:p>
        </w:tc>
        <w:tc>
          <w:tcPr>
            <w:tcW w:w="570"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0.62</w:t>
            </w:r>
          </w:p>
        </w:tc>
        <w:tc>
          <w:tcPr>
            <w:tcW w:w="572"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0.69</w:t>
            </w:r>
          </w:p>
        </w:tc>
        <w:tc>
          <w:tcPr>
            <w:tcW w:w="506" w:type="dxa"/>
            <w:tcBorders>
              <w:top w:val="single" w:sz="8" w:space="0" w:color="AEAEAE"/>
              <w:left w:val="single" w:sz="8" w:space="0" w:color="E0E0E0"/>
              <w:bottom w:val="dashed" w:sz="4" w:space="0" w:color="D9D9D9"/>
              <w:right w:val="single" w:sz="8" w:space="0" w:color="AEAEAE"/>
              <w:insideH w:val="dashed" w:sz="4" w:space="0" w:color="D9D9D9"/>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cantSplit w:val="true"/>
        </w:trPr>
        <w:tc>
          <w:tcPr>
            <w:tcW w:w="1670" w:type="dxa"/>
            <w:vMerge w:val="continue"/>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0"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0"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0.18</w:t>
            </w:r>
          </w:p>
        </w:tc>
        <w:tc>
          <w:tcPr>
            <w:tcW w:w="572"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0.18</w:t>
            </w:r>
          </w:p>
        </w:tc>
        <w:tc>
          <w:tcPr>
            <w:tcW w:w="571"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1"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0.27</w:t>
            </w:r>
          </w:p>
        </w:tc>
        <w:tc>
          <w:tcPr>
            <w:tcW w:w="574"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72"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70"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0.04</w:t>
            </w:r>
          </w:p>
        </w:tc>
        <w:tc>
          <w:tcPr>
            <w:tcW w:w="572"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0.03</w:t>
            </w:r>
          </w:p>
        </w:tc>
        <w:tc>
          <w:tcPr>
            <w:tcW w:w="506" w:type="dxa"/>
            <w:tcBorders>
              <w:top w:val="dashed" w:sz="4" w:space="0" w:color="D9D9D9"/>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cantSplit w:val="true"/>
        </w:trPr>
        <w:tc>
          <w:tcPr>
            <w:tcW w:w="1670"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ACO_LDS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0.07</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0.31</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0.31</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0.38</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0.08</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0.35</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0.12</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0.04</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0.35</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cantSplit w:val="true"/>
        </w:trPr>
        <w:tc>
          <w:tcPr>
            <w:tcW w:w="1670"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0.24</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0.38</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0.38</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0.13</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0.22</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0.34</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0.12</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0.04</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0.33</w:t>
            </w:r>
          </w:p>
        </w:tc>
        <w:tc>
          <w:tcPr>
            <w:tcW w:w="506"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cantSplit w:val="true"/>
        </w:trPr>
        <w:tc>
          <w:tcPr>
            <w:tcW w:w="1670"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GA_LDS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0.74</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0.73</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0.58</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0.43</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0.01</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0.77</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0.21</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0.17</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0.46</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cantSplit w:val="true"/>
        </w:trPr>
        <w:tc>
          <w:tcPr>
            <w:tcW w:w="1670"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0.33</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0.21</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0.23</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0.12</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0.05</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0.12</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0.09</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0.14</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0.28</w:t>
            </w:r>
          </w:p>
        </w:tc>
        <w:tc>
          <w:tcPr>
            <w:tcW w:w="506"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cantSplit w:val="true"/>
        </w:trPr>
        <w:tc>
          <w:tcPr>
            <w:tcW w:w="1670"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 w:val="18"/>
                <w:szCs w:val="18"/>
                <w:lang w:eastAsia="en-US"/>
              </w:rPr>
            </w:pPr>
            <w:r>
              <w:rPr>
                <w:color w:val="264A60"/>
                <w:sz w:val="18"/>
                <w:szCs w:val="18"/>
                <w:lang w:eastAsia="en-US"/>
              </w:rPr>
              <w:t>PCA_LDS</w:t>
            </w:r>
          </w:p>
        </w:tc>
        <w:tc>
          <w:tcPr>
            <w:tcW w:w="103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0.01</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0.84</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0.16</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0.61</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0.83</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0.18</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0.65</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0.71</w:t>
            </w:r>
          </w:p>
        </w:tc>
        <w:tc>
          <w:tcPr>
            <w:tcW w:w="506"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cantSplit w:val="true"/>
        </w:trPr>
        <w:tc>
          <w:tcPr>
            <w:tcW w:w="1670" w:type="dxa"/>
            <w:vMerge w:val="continue"/>
            <w:tcBorders>
              <w:top w:val="single" w:sz="8" w:space="0" w:color="000001"/>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 w:val="18"/>
                <w:szCs w:val="18"/>
                <w:lang w:eastAsia="en-US"/>
              </w:rPr>
            </w:pPr>
            <w:r>
              <w:rPr>
                <w:color w:val="264A60"/>
                <w:sz w:val="18"/>
                <w:szCs w:val="18"/>
                <w:lang w:eastAsia="en-US"/>
              </w:rPr>
            </w:r>
          </w:p>
        </w:tc>
        <w:tc>
          <w:tcPr>
            <w:tcW w:w="1030" w:type="dxa"/>
            <w:tcBorders>
              <w:top w:val="dashed" w:sz="4" w:space="0" w:color="E0E0E0"/>
              <w:left w:val="single" w:sz="8" w:space="0" w:color="E0E0E0"/>
              <w:bottom w:val="single" w:sz="8" w:space="0" w:color="000001"/>
              <w:right w:val="single" w:sz="8" w:space="0" w:color="E0E0E0"/>
              <w:insideH w:val="single" w:sz="8" w:space="0" w:color="000001"/>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000001"/>
              <w:right w:val="single" w:sz="8" w:space="0" w:color="E0E0E0"/>
              <w:insideH w:val="single" w:sz="8" w:space="0" w:color="000001"/>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0" w:type="dxa"/>
            <w:tcBorders>
              <w:top w:val="dashed" w:sz="4" w:space="0" w:color="E0E0E0"/>
              <w:left w:val="single" w:sz="8" w:space="0" w:color="E0E0E0"/>
              <w:bottom w:val="single" w:sz="8" w:space="0" w:color="000001"/>
              <w:right w:val="single" w:sz="8" w:space="0" w:color="E0E0E0"/>
              <w:insideH w:val="single" w:sz="8" w:space="0" w:color="000001"/>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0.18</w:t>
            </w:r>
          </w:p>
        </w:tc>
        <w:tc>
          <w:tcPr>
            <w:tcW w:w="572" w:type="dxa"/>
            <w:tcBorders>
              <w:top w:val="dashed" w:sz="4" w:space="0" w:color="E0E0E0"/>
              <w:left w:val="single" w:sz="8" w:space="0" w:color="E0E0E0"/>
              <w:bottom w:val="single" w:sz="8" w:space="0" w:color="000001"/>
              <w:right w:val="single" w:sz="8" w:space="0" w:color="E0E0E0"/>
              <w:insideH w:val="single" w:sz="8" w:space="0" w:color="000001"/>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0.18</w:t>
            </w:r>
          </w:p>
        </w:tc>
        <w:tc>
          <w:tcPr>
            <w:tcW w:w="571" w:type="dxa"/>
            <w:tcBorders>
              <w:top w:val="dashed" w:sz="4" w:space="0" w:color="E0E0E0"/>
              <w:left w:val="single" w:sz="8" w:space="0" w:color="E0E0E0"/>
              <w:bottom w:val="single" w:sz="8" w:space="0" w:color="000001"/>
              <w:right w:val="single" w:sz="8" w:space="0" w:color="E0E0E0"/>
              <w:insideH w:val="single" w:sz="8" w:space="0" w:color="000001"/>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1" w:type="dxa"/>
            <w:tcBorders>
              <w:top w:val="dashed" w:sz="4" w:space="0" w:color="E0E0E0"/>
              <w:left w:val="single" w:sz="8" w:space="0" w:color="E0E0E0"/>
              <w:bottom w:val="single" w:sz="8" w:space="0" w:color="000001"/>
              <w:right w:val="single" w:sz="8" w:space="0" w:color="E0E0E0"/>
              <w:insideH w:val="single" w:sz="8" w:space="0" w:color="000001"/>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0.25</w:t>
            </w:r>
          </w:p>
        </w:tc>
        <w:tc>
          <w:tcPr>
            <w:tcW w:w="574" w:type="dxa"/>
            <w:tcBorders>
              <w:top w:val="dashed" w:sz="4" w:space="0" w:color="E0E0E0"/>
              <w:left w:val="single" w:sz="8" w:space="0" w:color="E0E0E0"/>
              <w:bottom w:val="single" w:sz="8" w:space="0" w:color="000001"/>
              <w:right w:val="single" w:sz="8" w:space="0" w:color="E0E0E0"/>
              <w:insideH w:val="single" w:sz="8" w:space="0" w:color="000001"/>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72" w:type="dxa"/>
            <w:tcBorders>
              <w:top w:val="dashed" w:sz="4" w:space="0" w:color="E0E0E0"/>
              <w:left w:val="single" w:sz="8" w:space="0" w:color="E0E0E0"/>
              <w:bottom w:val="single" w:sz="8" w:space="0" w:color="000001"/>
              <w:right w:val="single" w:sz="8" w:space="0" w:color="E0E0E0"/>
              <w:insideH w:val="single" w:sz="8" w:space="0" w:color="000001"/>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70" w:type="dxa"/>
            <w:tcBorders>
              <w:top w:val="dashed" w:sz="4" w:space="0" w:color="E0E0E0"/>
              <w:left w:val="single" w:sz="8" w:space="0" w:color="E0E0E0"/>
              <w:bottom w:val="single" w:sz="8" w:space="0" w:color="000001"/>
              <w:right w:val="single" w:sz="8" w:space="0" w:color="E0E0E0"/>
              <w:insideH w:val="single" w:sz="8" w:space="0" w:color="000001"/>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0.05</w:t>
            </w:r>
          </w:p>
        </w:tc>
        <w:tc>
          <w:tcPr>
            <w:tcW w:w="572" w:type="dxa"/>
            <w:tcBorders>
              <w:top w:val="dashed" w:sz="4" w:space="0" w:color="E0E0E0"/>
              <w:left w:val="single" w:sz="8" w:space="0" w:color="E0E0E0"/>
              <w:bottom w:val="single" w:sz="8" w:space="0" w:color="000001"/>
              <w:right w:val="single" w:sz="8" w:space="0" w:color="E0E0E0"/>
              <w:insideH w:val="single" w:sz="8" w:space="0" w:color="000001"/>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0.03</w:t>
            </w:r>
          </w:p>
        </w:tc>
        <w:tc>
          <w:tcPr>
            <w:tcW w:w="506" w:type="dxa"/>
            <w:tcBorders>
              <w:top w:val="dashed" w:sz="4" w:space="0" w:color="E0E0E0"/>
              <w:left w:val="single" w:sz="8" w:space="0" w:color="E0E0E0"/>
              <w:bottom w:val="single" w:sz="8" w:space="0" w:color="000001"/>
              <w:right w:val="single" w:sz="8" w:space="0" w:color="AEAEAE"/>
              <w:insideH w:val="single" w:sz="8" w:space="0" w:color="000001"/>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bl>
    <w:p>
      <w:pPr>
        <w:pStyle w:val="Normal"/>
        <w:rPr/>
      </w:pPr>
      <w:r>
        <w:rPr/>
      </w:r>
    </w:p>
    <w:p>
      <w:pPr>
        <w:pStyle w:val="Caption1"/>
        <w:keepNext/>
        <w:rPr/>
      </w:pPr>
      <w:bookmarkStart w:id="3829" w:name="_Toc84599001"/>
      <w:bookmarkStart w:id="3830" w:name="_Ref68937394"/>
      <w:r>
        <w:rPr/>
        <w:t xml:space="preserve">Tabla </w:t>
      </w:r>
      <w:r>
        <w:rPr/>
        <w:fldChar w:fldCharType="begin"/>
      </w:r>
      <w:r>
        <w:instrText> SEQ Tabla \* ARABIC </w:instrText>
      </w:r>
      <w:r>
        <w:fldChar w:fldCharType="separate"/>
      </w:r>
      <w:r>
        <w:t>31</w:t>
      </w:r>
      <w:r>
        <w:fldChar w:fldCharType="end"/>
      </w:r>
      <w:bookmarkEnd w:id="3829"/>
      <w:bookmarkEnd w:id="3830"/>
      <w:r>
        <w:rPr/>
        <w:t>: Resultado de los algoritmos respecto a la media y desviación estándar de los indicadores en las bases de datos sobre auditorías.</w:t>
      </w:r>
    </w:p>
    <w:tbl>
      <w:tblPr>
        <w:tblW w:w="4650" w:type="pct"/>
        <w:jc w:val="center"/>
        <w:tblInd w:w="0" w:type="dxa"/>
        <w:tblBorders>
          <w:top w:val="single" w:sz="8" w:space="0" w:color="000001"/>
          <w:left w:val="single" w:sz="8" w:space="0" w:color="AEAEAE"/>
          <w:bottom w:val="single" w:sz="8" w:space="0" w:color="AEAEAE"/>
          <w:right w:val="single" w:sz="8" w:space="0" w:color="E0E0E0"/>
          <w:insideH w:val="single" w:sz="8" w:space="0" w:color="AEAEAE"/>
          <w:insideV w:val="single" w:sz="8" w:space="0" w:color="E0E0E0"/>
        </w:tblBorders>
        <w:tblCellMar>
          <w:top w:w="0" w:type="dxa"/>
          <w:left w:w="-10" w:type="dxa"/>
          <w:bottom w:w="0" w:type="dxa"/>
          <w:right w:w="0" w:type="dxa"/>
        </w:tblCellMar>
        <w:tblLook w:val="0000" w:noVBand="0" w:noHBand="0" w:lastColumn="0" w:firstColumn="0" w:lastRow="0" w:firstRow="0"/>
      </w:tblPr>
      <w:tblGrid>
        <w:gridCol w:w="1806"/>
        <w:gridCol w:w="999"/>
        <w:gridCol w:w="554"/>
        <w:gridCol w:w="553"/>
        <w:gridCol w:w="556"/>
        <w:gridCol w:w="556"/>
        <w:gridCol w:w="561"/>
        <w:gridCol w:w="561"/>
        <w:gridCol w:w="560"/>
        <w:gridCol w:w="554"/>
        <w:gridCol w:w="556"/>
        <w:gridCol w:w="533"/>
      </w:tblGrid>
      <w:tr>
        <w:trPr>
          <w:cantSplit w:val="true"/>
        </w:trPr>
        <w:tc>
          <w:tcPr>
            <w:tcW w:w="2805" w:type="dxa"/>
            <w:gridSpan w:val="2"/>
            <w:tcBorders>
              <w:top w:val="single" w:sz="8" w:space="0" w:color="000001"/>
              <w:left w:val="single" w:sz="8" w:space="0" w:color="AEAEAE"/>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Tabla"/>
              <w:spacing w:before="60" w:after="20"/>
              <w:jc w:val="center"/>
              <w:rPr>
                <w:b/>
                <w:b/>
                <w:color w:val="264A60"/>
                <w:szCs w:val="18"/>
                <w:lang w:eastAsia="en-US"/>
              </w:rPr>
            </w:pPr>
            <w:r>
              <w:rPr>
                <w:b/>
              </w:rPr>
              <w:t>Media y StdDev</w:t>
            </w:r>
          </w:p>
        </w:tc>
        <w:tc>
          <w:tcPr>
            <w:tcW w:w="554" w:type="dxa"/>
            <w:tcBorders>
              <w:top w:val="single" w:sz="8" w:space="0" w:color="000001"/>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tcPr>
          <w:p>
            <w:pPr>
              <w:pStyle w:val="Normal"/>
              <w:suppressAutoHyphens w:val="false"/>
              <w:overflowPunct w:val="true"/>
              <w:spacing w:lineRule="auto" w:line="240" w:before="80" w:after="20"/>
              <w:ind w:left="60" w:right="60" w:hanging="0"/>
              <w:jc w:val="center"/>
              <w:textAlignment w:val="auto"/>
              <w:rPr>
                <w:i/>
                <w:i/>
              </w:rPr>
            </w:pPr>
            <w:r>
              <w:rPr>
                <w:i/>
              </w:rPr>
              <w:t>T</w:t>
            </w:r>
            <w:r>
              <w:rPr>
                <w:i/>
                <w:vertAlign w:val="subscript"/>
              </w:rPr>
              <w:t>1</w:t>
            </w:r>
          </w:p>
        </w:tc>
        <w:tc>
          <w:tcPr>
            <w:tcW w:w="553" w:type="dxa"/>
            <w:tcBorders>
              <w:top w:val="single" w:sz="8" w:space="0" w:color="000001"/>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vAlign w:val="center"/>
          </w:tcPr>
          <w:p>
            <w:pPr>
              <w:pStyle w:val="Normal"/>
              <w:spacing w:lineRule="auto" w:line="240" w:before="80" w:after="20"/>
              <w:jc w:val="center"/>
              <w:rPr>
                <w:i/>
                <w:i/>
              </w:rPr>
            </w:pPr>
            <w:r>
              <w:rPr>
                <w:i/>
              </w:rPr>
              <w:t>T</w:t>
            </w:r>
            <w:r>
              <w:rPr>
                <w:i/>
                <w:vertAlign w:val="subscript"/>
              </w:rPr>
              <w:t>3</w:t>
            </w:r>
          </w:p>
        </w:tc>
        <w:tc>
          <w:tcPr>
            <w:tcW w:w="556" w:type="dxa"/>
            <w:tcBorders>
              <w:top w:val="single" w:sz="8" w:space="0" w:color="000001"/>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vAlign w:val="center"/>
          </w:tcPr>
          <w:p>
            <w:pPr>
              <w:pStyle w:val="Normal"/>
              <w:spacing w:lineRule="auto" w:line="240" w:before="80" w:after="20"/>
              <w:jc w:val="center"/>
              <w:rPr>
                <w:i/>
                <w:i/>
              </w:rPr>
            </w:pPr>
            <w:r>
              <w:rPr>
                <w:i/>
              </w:rPr>
              <w:t>T</w:t>
            </w:r>
            <w:r>
              <w:rPr>
                <w:i/>
                <w:vertAlign w:val="subscript"/>
              </w:rPr>
              <w:t>4</w:t>
            </w:r>
          </w:p>
        </w:tc>
        <w:tc>
          <w:tcPr>
            <w:tcW w:w="556" w:type="dxa"/>
            <w:tcBorders>
              <w:top w:val="single" w:sz="8" w:space="0" w:color="000001"/>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vAlign w:val="center"/>
          </w:tcPr>
          <w:p>
            <w:pPr>
              <w:pStyle w:val="Normal"/>
              <w:spacing w:lineRule="auto" w:line="240" w:before="80" w:after="20"/>
              <w:jc w:val="center"/>
              <w:rPr>
                <w:i/>
                <w:i/>
              </w:rPr>
            </w:pPr>
            <w:r>
              <w:rPr>
                <w:i/>
              </w:rPr>
              <w:t>T</w:t>
            </w:r>
            <w:r>
              <w:rPr>
                <w:i/>
                <w:vertAlign w:val="subscript"/>
              </w:rPr>
              <w:t>5</w:t>
            </w:r>
          </w:p>
        </w:tc>
        <w:tc>
          <w:tcPr>
            <w:tcW w:w="561" w:type="dxa"/>
            <w:tcBorders>
              <w:top w:val="single" w:sz="8" w:space="0" w:color="000001"/>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vAlign w:val="center"/>
          </w:tcPr>
          <w:p>
            <w:pPr>
              <w:pStyle w:val="Normal"/>
              <w:spacing w:lineRule="auto" w:line="240" w:before="80" w:after="20"/>
              <w:jc w:val="center"/>
              <w:rPr>
                <w:i/>
                <w:i/>
              </w:rPr>
            </w:pPr>
            <w:r>
              <w:rPr>
                <w:i/>
              </w:rPr>
              <w:t>Te</w:t>
            </w:r>
            <w:r>
              <w:rPr>
                <w:i/>
                <w:vertAlign w:val="subscript"/>
              </w:rPr>
              <w:t>1a</w:t>
            </w:r>
          </w:p>
        </w:tc>
        <w:tc>
          <w:tcPr>
            <w:tcW w:w="561" w:type="dxa"/>
            <w:tcBorders>
              <w:top w:val="single" w:sz="8" w:space="0" w:color="000001"/>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vAlign w:val="center"/>
          </w:tcPr>
          <w:p>
            <w:pPr>
              <w:pStyle w:val="Normal"/>
              <w:spacing w:lineRule="auto" w:line="240" w:before="80" w:after="20"/>
              <w:jc w:val="center"/>
              <w:rPr>
                <w:i/>
                <w:i/>
              </w:rPr>
            </w:pPr>
            <w:r>
              <w:rPr>
                <w:i/>
              </w:rPr>
              <w:t>Te</w:t>
            </w:r>
            <w:r>
              <w:rPr>
                <w:i/>
                <w:vertAlign w:val="subscript"/>
              </w:rPr>
              <w:t>1b</w:t>
            </w:r>
          </w:p>
        </w:tc>
        <w:tc>
          <w:tcPr>
            <w:tcW w:w="560" w:type="dxa"/>
            <w:tcBorders>
              <w:top w:val="single" w:sz="8" w:space="0" w:color="000001"/>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tcPr>
          <w:p>
            <w:pPr>
              <w:pStyle w:val="Normal"/>
              <w:spacing w:lineRule="auto" w:line="240" w:before="80" w:after="20"/>
              <w:jc w:val="center"/>
              <w:rPr>
                <w:i/>
                <w:i/>
              </w:rPr>
            </w:pPr>
            <w:r>
              <w:rPr>
                <w:i/>
              </w:rPr>
              <w:t>Te</w:t>
            </w:r>
            <w:r>
              <w:rPr>
                <w:i/>
                <w:vertAlign w:val="subscript"/>
              </w:rPr>
              <w:t>2a</w:t>
            </w:r>
          </w:p>
        </w:tc>
        <w:tc>
          <w:tcPr>
            <w:tcW w:w="554" w:type="dxa"/>
            <w:tcBorders>
              <w:top w:val="single" w:sz="8" w:space="0" w:color="000001"/>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vAlign w:val="center"/>
          </w:tcPr>
          <w:p>
            <w:pPr>
              <w:pStyle w:val="Normal"/>
              <w:spacing w:lineRule="auto" w:line="240" w:before="80" w:after="20"/>
              <w:jc w:val="center"/>
              <w:rPr>
                <w:i/>
                <w:i/>
              </w:rPr>
            </w:pPr>
            <w:r>
              <w:rPr>
                <w:i/>
              </w:rPr>
              <w:t>Te</w:t>
            </w:r>
            <w:r>
              <w:rPr>
                <w:i/>
                <w:vertAlign w:val="subscript"/>
              </w:rPr>
              <w:t>3</w:t>
            </w:r>
          </w:p>
        </w:tc>
        <w:tc>
          <w:tcPr>
            <w:tcW w:w="556" w:type="dxa"/>
            <w:tcBorders>
              <w:top w:val="single" w:sz="8" w:space="0" w:color="000001"/>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vAlign w:val="center"/>
          </w:tcPr>
          <w:p>
            <w:pPr>
              <w:pStyle w:val="Normal"/>
              <w:spacing w:lineRule="auto" w:line="240" w:before="80" w:after="20"/>
              <w:jc w:val="center"/>
              <w:rPr>
                <w:i/>
                <w:i/>
              </w:rPr>
            </w:pPr>
            <w:r>
              <w:rPr>
                <w:i/>
              </w:rPr>
              <w:t>Te</w:t>
            </w:r>
            <w:r>
              <w:rPr>
                <w:i/>
                <w:vertAlign w:val="subscript"/>
              </w:rPr>
              <w:t>4</w:t>
            </w:r>
          </w:p>
        </w:tc>
        <w:tc>
          <w:tcPr>
            <w:tcW w:w="533" w:type="dxa"/>
            <w:tcBorders>
              <w:top w:val="single" w:sz="8" w:space="0" w:color="000001"/>
              <w:left w:val="single" w:sz="8" w:space="0" w:color="E0E0E0"/>
              <w:bottom w:val="single" w:sz="8" w:space="0" w:color="152935"/>
              <w:right w:val="single" w:sz="8" w:space="0" w:color="AEAEAE"/>
              <w:insideH w:val="single" w:sz="8" w:space="0" w:color="152935"/>
              <w:insideV w:val="single" w:sz="8" w:space="0" w:color="AEAEAE"/>
            </w:tcBorders>
            <w:shd w:color="auto" w:fill="FFFFFF" w:val="clear"/>
            <w:tcMar>
              <w:left w:w="-10" w:type="dxa"/>
            </w:tcMar>
          </w:tcPr>
          <w:p>
            <w:pPr>
              <w:pStyle w:val="Normal"/>
              <w:spacing w:lineRule="auto" w:line="240" w:before="80" w:after="20"/>
              <w:jc w:val="center"/>
              <w:rPr>
                <w:i/>
                <w:i/>
              </w:rPr>
            </w:pPr>
            <w:r>
              <w:rPr>
                <w:i/>
              </w:rPr>
              <w:t>Te</w:t>
            </w:r>
            <w:r>
              <w:rPr>
                <w:i/>
                <w:vertAlign w:val="subscript"/>
              </w:rPr>
              <w:t>5</w:t>
            </w:r>
          </w:p>
        </w:tc>
      </w:tr>
      <w:tr>
        <w:trPr>
          <w:trHeight w:val="195" w:hRule="atLeast"/>
          <w:cantSplit w:val="true"/>
        </w:trPr>
        <w:tc>
          <w:tcPr>
            <w:tcW w:w="2805" w:type="dxa"/>
            <w:gridSpan w:val="2"/>
            <w:tcBorders>
              <w:top w:val="single" w:sz="8" w:space="0" w:color="152935"/>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jc w:val="center"/>
              <w:rPr>
                <w:color w:val="010205"/>
                <w:szCs w:val="18"/>
                <w:lang w:val="en-US" w:eastAsia="en-US"/>
              </w:rPr>
            </w:pPr>
            <w:r>
              <w:rPr>
                <w:b/>
                <w:color w:val="264A60"/>
                <w:szCs w:val="18"/>
                <w:lang w:val="en-US" w:eastAsia="en-US"/>
              </w:rPr>
              <w:t>BD_audit_sinOrganismos</w:t>
            </w:r>
          </w:p>
        </w:tc>
        <w:tc>
          <w:tcPr>
            <w:tcW w:w="554" w:type="dxa"/>
            <w:tcBorders>
              <w:top w:val="single" w:sz="8" w:space="0" w:color="152935"/>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53" w:type="dxa"/>
            <w:tcBorders>
              <w:top w:val="single" w:sz="8" w:space="0" w:color="152935"/>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56" w:type="dxa"/>
            <w:tcBorders>
              <w:top w:val="single" w:sz="8" w:space="0" w:color="152935"/>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56" w:type="dxa"/>
            <w:tcBorders>
              <w:top w:val="single" w:sz="8" w:space="0" w:color="152935"/>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61" w:type="dxa"/>
            <w:tcBorders>
              <w:top w:val="single" w:sz="8" w:space="0" w:color="152935"/>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61" w:type="dxa"/>
            <w:tcBorders>
              <w:top w:val="single" w:sz="8" w:space="0" w:color="152935"/>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60" w:type="dxa"/>
            <w:tcBorders>
              <w:top w:val="single" w:sz="8" w:space="0" w:color="152935"/>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54" w:type="dxa"/>
            <w:tcBorders>
              <w:top w:val="single" w:sz="8" w:space="0" w:color="152935"/>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56" w:type="dxa"/>
            <w:tcBorders>
              <w:top w:val="single" w:sz="8" w:space="0" w:color="152935"/>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33" w:type="dxa"/>
            <w:tcBorders>
              <w:top w:val="single" w:sz="8" w:space="0" w:color="152935"/>
              <w:left w:val="single" w:sz="8" w:space="0" w:color="E0E0E0"/>
              <w:bottom w:val="single" w:sz="8" w:space="0" w:color="AEAEAE"/>
              <w:right w:val="single" w:sz="8" w:space="0" w:color="AEAEAE"/>
              <w:insideH w:val="single" w:sz="8" w:space="0" w:color="AEAEAE"/>
              <w:insideV w:val="single" w:sz="8" w:space="0" w:color="AEAEAE"/>
            </w:tcBorders>
            <w:shd w:color="auto" w:fill="FFFFFF" w:val="clear"/>
            <w:tcMar>
              <w:left w:w="-10" w:type="dxa"/>
            </w:tcMa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r>
      <w:tr>
        <w:trPr>
          <w:trHeight w:val="195" w:hRule="atLeast"/>
          <w:cantSplit w:val="true"/>
        </w:trPr>
        <w:tc>
          <w:tcPr>
            <w:tcW w:w="1806"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jc w:val="center"/>
              <w:rPr>
                <w:color w:val="264A60"/>
                <w:sz w:val="18"/>
                <w:szCs w:val="18"/>
                <w:lang w:eastAsia="en-US"/>
              </w:rPr>
            </w:pPr>
            <w:r>
              <w:rPr>
                <w:color w:val="264A60"/>
                <w:sz w:val="18"/>
                <w:szCs w:val="18"/>
                <w:lang w:eastAsia="en-US"/>
              </w:rPr>
              <w:t>RST_LDS</w:t>
            </w:r>
          </w:p>
        </w:tc>
        <w:tc>
          <w:tcPr>
            <w:tcW w:w="999"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5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bottom"/>
          </w:tcPr>
          <w:p>
            <w:pPr>
              <w:pStyle w:val="Normal"/>
              <w:spacing w:lineRule="auto" w:line="240" w:before="0" w:after="0"/>
              <w:jc w:val="center"/>
              <w:rPr>
                <w:sz w:val="18"/>
                <w:szCs w:val="18"/>
              </w:rPr>
            </w:pPr>
            <w:r>
              <w:rPr>
                <w:sz w:val="18"/>
                <w:szCs w:val="18"/>
              </w:rPr>
              <w:t>0.08</w:t>
            </w:r>
          </w:p>
        </w:tc>
        <w:tc>
          <w:tcPr>
            <w:tcW w:w="553"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bottom"/>
          </w:tcPr>
          <w:p>
            <w:pPr>
              <w:pStyle w:val="Normal"/>
              <w:spacing w:lineRule="auto" w:line="240" w:before="0" w:after="0"/>
              <w:jc w:val="center"/>
              <w:rPr>
                <w:sz w:val="18"/>
                <w:szCs w:val="18"/>
              </w:rPr>
            </w:pPr>
            <w:r>
              <w:rPr>
                <w:sz w:val="18"/>
                <w:szCs w:val="18"/>
              </w:rPr>
              <w:t>1.00</w:t>
            </w:r>
          </w:p>
        </w:tc>
        <w:tc>
          <w:tcPr>
            <w:tcW w:w="556"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bottom"/>
          </w:tcPr>
          <w:p>
            <w:pPr>
              <w:pStyle w:val="Normal"/>
              <w:spacing w:lineRule="auto" w:line="240" w:before="0" w:after="0"/>
              <w:jc w:val="center"/>
              <w:rPr>
                <w:sz w:val="18"/>
                <w:szCs w:val="18"/>
              </w:rPr>
            </w:pPr>
            <w:r>
              <w:rPr>
                <w:sz w:val="18"/>
                <w:szCs w:val="18"/>
              </w:rPr>
              <w:t>0.81</w:t>
            </w:r>
          </w:p>
        </w:tc>
        <w:tc>
          <w:tcPr>
            <w:tcW w:w="556"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bottom"/>
          </w:tcPr>
          <w:p>
            <w:pPr>
              <w:pStyle w:val="Normal"/>
              <w:spacing w:lineRule="auto" w:line="240" w:before="0" w:after="0"/>
              <w:jc w:val="center"/>
              <w:rPr>
                <w:sz w:val="18"/>
                <w:szCs w:val="18"/>
              </w:rPr>
            </w:pPr>
            <w:r>
              <w:rPr>
                <w:sz w:val="18"/>
                <w:szCs w:val="18"/>
              </w:rPr>
              <w:t>0.50</w:t>
            </w:r>
          </w:p>
        </w:tc>
        <w:tc>
          <w:tcPr>
            <w:tcW w:w="56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bottom"/>
          </w:tcPr>
          <w:p>
            <w:pPr>
              <w:pStyle w:val="Normal"/>
              <w:spacing w:lineRule="auto" w:line="240" w:before="0" w:after="0"/>
              <w:jc w:val="center"/>
              <w:rPr>
                <w:sz w:val="18"/>
                <w:szCs w:val="18"/>
              </w:rPr>
            </w:pPr>
            <w:r>
              <w:rPr>
                <w:sz w:val="18"/>
                <w:szCs w:val="18"/>
              </w:rPr>
              <w:t>0.91</w:t>
            </w:r>
          </w:p>
        </w:tc>
        <w:tc>
          <w:tcPr>
            <w:tcW w:w="56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bottom"/>
          </w:tcPr>
          <w:p>
            <w:pPr>
              <w:pStyle w:val="Normal"/>
              <w:spacing w:lineRule="auto" w:line="240" w:before="0" w:after="0"/>
              <w:jc w:val="center"/>
              <w:rPr>
                <w:sz w:val="18"/>
                <w:szCs w:val="18"/>
              </w:rPr>
            </w:pPr>
            <w:r>
              <w:rPr>
                <w:sz w:val="18"/>
                <w:szCs w:val="18"/>
              </w:rPr>
              <w:t>0.97</w:t>
            </w:r>
          </w:p>
        </w:tc>
        <w:tc>
          <w:tcPr>
            <w:tcW w:w="56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bottom"/>
          </w:tcPr>
          <w:p>
            <w:pPr>
              <w:pStyle w:val="Normal"/>
              <w:spacing w:lineRule="auto" w:line="240" w:before="0" w:after="0"/>
              <w:jc w:val="center"/>
              <w:rPr>
                <w:sz w:val="18"/>
                <w:szCs w:val="18"/>
              </w:rPr>
            </w:pPr>
            <w:r>
              <w:rPr>
                <w:sz w:val="18"/>
                <w:szCs w:val="18"/>
              </w:rPr>
              <w:t>0.05</w:t>
            </w:r>
          </w:p>
        </w:tc>
        <w:tc>
          <w:tcPr>
            <w:tcW w:w="55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bottom"/>
          </w:tcPr>
          <w:p>
            <w:pPr>
              <w:pStyle w:val="Normal"/>
              <w:spacing w:lineRule="auto" w:line="240" w:before="0" w:after="0"/>
              <w:jc w:val="center"/>
              <w:rPr>
                <w:sz w:val="18"/>
                <w:szCs w:val="18"/>
              </w:rPr>
            </w:pPr>
            <w:r>
              <w:rPr>
                <w:sz w:val="18"/>
                <w:szCs w:val="18"/>
              </w:rPr>
              <w:t>0.18</w:t>
            </w:r>
          </w:p>
        </w:tc>
        <w:tc>
          <w:tcPr>
            <w:tcW w:w="556"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bottom"/>
          </w:tcPr>
          <w:p>
            <w:pPr>
              <w:pStyle w:val="Normal"/>
              <w:spacing w:lineRule="auto" w:line="240" w:before="0" w:after="0"/>
              <w:jc w:val="center"/>
              <w:rPr>
                <w:sz w:val="18"/>
                <w:szCs w:val="18"/>
              </w:rPr>
            </w:pPr>
            <w:r>
              <w:rPr>
                <w:sz w:val="18"/>
                <w:szCs w:val="18"/>
              </w:rPr>
              <w:t>0.91</w:t>
            </w:r>
          </w:p>
        </w:tc>
        <w:tc>
          <w:tcPr>
            <w:tcW w:w="533"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FFFFFF" w:val="clear"/>
            <w:tcMar>
              <w:left w:w="-10" w:type="dxa"/>
            </w:tcMar>
            <w:vAlign w:val="bottom"/>
          </w:tcPr>
          <w:p>
            <w:pPr>
              <w:pStyle w:val="Normal"/>
              <w:spacing w:lineRule="auto" w:line="240" w:before="0" w:after="0"/>
              <w:jc w:val="center"/>
              <w:rPr>
                <w:sz w:val="18"/>
                <w:szCs w:val="18"/>
              </w:rPr>
            </w:pPr>
            <w:r>
              <w:rPr>
                <w:sz w:val="18"/>
                <w:szCs w:val="18"/>
              </w:rPr>
              <w:t>0.97</w:t>
            </w:r>
          </w:p>
        </w:tc>
      </w:tr>
      <w:tr>
        <w:trPr>
          <w:cantSplit w:val="true"/>
        </w:trPr>
        <w:tc>
          <w:tcPr>
            <w:tcW w:w="1806"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jc w:val="center"/>
              <w:rPr>
                <w:color w:val="264A60"/>
                <w:szCs w:val="18"/>
                <w:lang w:val="en-US" w:eastAsia="en-US"/>
              </w:rPr>
            </w:pPr>
            <w:r>
              <w:rPr>
                <w:color w:val="264A60"/>
                <w:szCs w:val="18"/>
                <w:lang w:val="en-US" w:eastAsia="en-US"/>
              </w:rPr>
            </w:r>
          </w:p>
        </w:tc>
        <w:tc>
          <w:tcPr>
            <w:tcW w:w="999"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5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0.27</w:t>
            </w:r>
          </w:p>
        </w:tc>
        <w:tc>
          <w:tcPr>
            <w:tcW w:w="553"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0.01</w:t>
            </w:r>
          </w:p>
        </w:tc>
        <w:tc>
          <w:tcPr>
            <w:tcW w:w="556"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0.35</w:t>
            </w:r>
          </w:p>
        </w:tc>
        <w:tc>
          <w:tcPr>
            <w:tcW w:w="556"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6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0.17</w:t>
            </w:r>
          </w:p>
        </w:tc>
        <w:tc>
          <w:tcPr>
            <w:tcW w:w="56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0.08</w:t>
            </w:r>
          </w:p>
        </w:tc>
        <w:tc>
          <w:tcPr>
            <w:tcW w:w="56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0.08</w:t>
            </w:r>
          </w:p>
        </w:tc>
        <w:tc>
          <w:tcPr>
            <w:tcW w:w="55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0.34</w:t>
            </w:r>
          </w:p>
        </w:tc>
        <w:tc>
          <w:tcPr>
            <w:tcW w:w="556"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0.15</w:t>
            </w:r>
          </w:p>
        </w:tc>
        <w:tc>
          <w:tcPr>
            <w:tcW w:w="533"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cantSplit w:val="true"/>
        </w:trPr>
        <w:tc>
          <w:tcPr>
            <w:tcW w:w="1806"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jc w:val="center"/>
              <w:rPr>
                <w:color w:val="264A60"/>
                <w:sz w:val="18"/>
                <w:szCs w:val="18"/>
                <w:lang w:eastAsia="en-US"/>
              </w:rPr>
            </w:pPr>
            <w:r>
              <w:rPr>
                <w:color w:val="264A60"/>
                <w:sz w:val="18"/>
                <w:szCs w:val="18"/>
                <w:lang w:eastAsia="en-US"/>
              </w:rPr>
              <w:t>LPA_LDS</w:t>
            </w:r>
          </w:p>
        </w:tc>
        <w:tc>
          <w:tcPr>
            <w:tcW w:w="999"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5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0.01</w:t>
            </w:r>
          </w:p>
        </w:tc>
        <w:tc>
          <w:tcPr>
            <w:tcW w:w="553"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0.96</w:t>
            </w:r>
          </w:p>
        </w:tc>
        <w:tc>
          <w:tcPr>
            <w:tcW w:w="556"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0.93</w:t>
            </w:r>
          </w:p>
        </w:tc>
        <w:tc>
          <w:tcPr>
            <w:tcW w:w="556"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6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0.82</w:t>
            </w:r>
          </w:p>
        </w:tc>
        <w:tc>
          <w:tcPr>
            <w:tcW w:w="56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0.94</w:t>
            </w:r>
          </w:p>
        </w:tc>
        <w:tc>
          <w:tcPr>
            <w:tcW w:w="56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0.08</w:t>
            </w:r>
          </w:p>
        </w:tc>
        <w:tc>
          <w:tcPr>
            <w:tcW w:w="55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0.04</w:t>
            </w:r>
          </w:p>
        </w:tc>
        <w:tc>
          <w:tcPr>
            <w:tcW w:w="556"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0.88</w:t>
            </w:r>
          </w:p>
        </w:tc>
        <w:tc>
          <w:tcPr>
            <w:tcW w:w="533"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trHeight w:val="203" w:hRule="atLeast"/>
          <w:cantSplit w:val="true"/>
        </w:trPr>
        <w:tc>
          <w:tcPr>
            <w:tcW w:w="1806"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jc w:val="center"/>
              <w:rPr>
                <w:color w:val="264A60"/>
                <w:sz w:val="18"/>
                <w:szCs w:val="18"/>
                <w:lang w:eastAsia="en-US"/>
              </w:rPr>
            </w:pPr>
            <w:r>
              <w:rPr>
                <w:color w:val="264A60"/>
                <w:sz w:val="18"/>
                <w:szCs w:val="18"/>
                <w:lang w:eastAsia="en-US"/>
              </w:rPr>
            </w:r>
          </w:p>
        </w:tc>
        <w:tc>
          <w:tcPr>
            <w:tcW w:w="999"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5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53"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0.07</w:t>
            </w:r>
          </w:p>
        </w:tc>
        <w:tc>
          <w:tcPr>
            <w:tcW w:w="556"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0.08</w:t>
            </w:r>
          </w:p>
        </w:tc>
        <w:tc>
          <w:tcPr>
            <w:tcW w:w="556"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6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0.25</w:t>
            </w:r>
          </w:p>
        </w:tc>
        <w:tc>
          <w:tcPr>
            <w:tcW w:w="56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0.10</w:t>
            </w:r>
          </w:p>
        </w:tc>
        <w:tc>
          <w:tcPr>
            <w:tcW w:w="56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0.09</w:t>
            </w:r>
          </w:p>
        </w:tc>
        <w:tc>
          <w:tcPr>
            <w:tcW w:w="55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0.06</w:t>
            </w:r>
          </w:p>
        </w:tc>
        <w:tc>
          <w:tcPr>
            <w:tcW w:w="556"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0.14</w:t>
            </w:r>
          </w:p>
        </w:tc>
        <w:tc>
          <w:tcPr>
            <w:tcW w:w="533"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cantSplit w:val="true"/>
        </w:trPr>
        <w:tc>
          <w:tcPr>
            <w:tcW w:w="1806" w:type="dxa"/>
            <w:vMerge w:val="restart"/>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jc w:val="center"/>
              <w:rPr>
                <w:color w:val="264A60"/>
                <w:szCs w:val="18"/>
                <w:lang w:val="en-US" w:eastAsia="en-US"/>
              </w:rPr>
            </w:pPr>
            <w:r>
              <w:rPr>
                <w:color w:val="264A60"/>
                <w:sz w:val="18"/>
                <w:szCs w:val="18"/>
                <w:lang w:eastAsia="en-US"/>
              </w:rPr>
              <w:t>Apriori_LDS</w:t>
            </w:r>
          </w:p>
        </w:tc>
        <w:tc>
          <w:tcPr>
            <w:tcW w:w="999"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5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0.39</w:t>
            </w:r>
          </w:p>
        </w:tc>
        <w:tc>
          <w:tcPr>
            <w:tcW w:w="553"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0.95</w:t>
            </w:r>
          </w:p>
        </w:tc>
        <w:tc>
          <w:tcPr>
            <w:tcW w:w="556"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0.17</w:t>
            </w:r>
          </w:p>
        </w:tc>
        <w:tc>
          <w:tcPr>
            <w:tcW w:w="556"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0.33</w:t>
            </w:r>
          </w:p>
        </w:tc>
        <w:tc>
          <w:tcPr>
            <w:tcW w:w="56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0.87</w:t>
            </w:r>
          </w:p>
        </w:tc>
        <w:tc>
          <w:tcPr>
            <w:tcW w:w="56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0.89</w:t>
            </w:r>
          </w:p>
        </w:tc>
        <w:tc>
          <w:tcPr>
            <w:tcW w:w="56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0.13</w:t>
            </w:r>
          </w:p>
        </w:tc>
        <w:tc>
          <w:tcPr>
            <w:tcW w:w="55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0.88</w:t>
            </w:r>
          </w:p>
        </w:tc>
        <w:tc>
          <w:tcPr>
            <w:tcW w:w="556"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0.80</w:t>
            </w:r>
          </w:p>
        </w:tc>
        <w:tc>
          <w:tcPr>
            <w:tcW w:w="533"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0.85</w:t>
            </w:r>
          </w:p>
        </w:tc>
      </w:tr>
      <w:tr>
        <w:trPr>
          <w:cantSplit w:val="true"/>
        </w:trPr>
        <w:tc>
          <w:tcPr>
            <w:tcW w:w="1806" w:type="dxa"/>
            <w:vMerge w:val="continue"/>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jc w:val="center"/>
              <w:rPr>
                <w:color w:val="264A60"/>
                <w:sz w:val="18"/>
                <w:szCs w:val="18"/>
                <w:lang w:eastAsia="en-US"/>
              </w:rPr>
            </w:pPr>
            <w:r>
              <w:rPr>
                <w:color w:val="264A60"/>
                <w:sz w:val="18"/>
                <w:szCs w:val="18"/>
                <w:lang w:eastAsia="en-US"/>
              </w:rPr>
            </w:r>
          </w:p>
        </w:tc>
        <w:tc>
          <w:tcPr>
            <w:tcW w:w="999"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54" w:type="dxa"/>
            <w:tcBorders>
              <w:top w:val="dashed" w:sz="4" w:space="0" w:color="E0E0E0"/>
              <w:left w:val="single" w:sz="8" w:space="0" w:color="E0E0E0"/>
              <w:bottom w:val="single" w:sz="8" w:space="0" w:color="BFBFBF"/>
              <w:right w:val="single" w:sz="8" w:space="0" w:color="E0E0E0"/>
              <w:insideH w:val="single" w:sz="8" w:space="0" w:color="BFBFBF"/>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0.41</w:t>
            </w:r>
          </w:p>
        </w:tc>
        <w:tc>
          <w:tcPr>
            <w:tcW w:w="553" w:type="dxa"/>
            <w:tcBorders>
              <w:top w:val="dashed" w:sz="4" w:space="0" w:color="E0E0E0"/>
              <w:left w:val="single" w:sz="8" w:space="0" w:color="E0E0E0"/>
              <w:bottom w:val="single" w:sz="8" w:space="0" w:color="BFBFBF"/>
              <w:right w:val="single" w:sz="8" w:space="0" w:color="E0E0E0"/>
              <w:insideH w:val="single" w:sz="8" w:space="0" w:color="BFBFBF"/>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0.11</w:t>
            </w:r>
          </w:p>
        </w:tc>
        <w:tc>
          <w:tcPr>
            <w:tcW w:w="556" w:type="dxa"/>
            <w:tcBorders>
              <w:top w:val="dashed" w:sz="4" w:space="0" w:color="E0E0E0"/>
              <w:left w:val="single" w:sz="8" w:space="0" w:color="E0E0E0"/>
              <w:bottom w:val="single" w:sz="8" w:space="0" w:color="BFBFBF"/>
              <w:right w:val="single" w:sz="8" w:space="0" w:color="E0E0E0"/>
              <w:insideH w:val="single" w:sz="8" w:space="0" w:color="BFBFBF"/>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0.14</w:t>
            </w:r>
          </w:p>
        </w:tc>
        <w:tc>
          <w:tcPr>
            <w:tcW w:w="556" w:type="dxa"/>
            <w:tcBorders>
              <w:top w:val="dashed" w:sz="4" w:space="0" w:color="E0E0E0"/>
              <w:left w:val="single" w:sz="8" w:space="0" w:color="E0E0E0"/>
              <w:bottom w:val="single" w:sz="8" w:space="0" w:color="BFBFBF"/>
              <w:right w:val="single" w:sz="8" w:space="0" w:color="E0E0E0"/>
              <w:insideH w:val="single" w:sz="8" w:space="0" w:color="BFBFBF"/>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0.18</w:t>
            </w:r>
          </w:p>
        </w:tc>
        <w:tc>
          <w:tcPr>
            <w:tcW w:w="561" w:type="dxa"/>
            <w:tcBorders>
              <w:top w:val="dashed" w:sz="4" w:space="0" w:color="E0E0E0"/>
              <w:left w:val="single" w:sz="8" w:space="0" w:color="E0E0E0"/>
              <w:bottom w:val="single" w:sz="8" w:space="0" w:color="BFBFBF"/>
              <w:right w:val="single" w:sz="8" w:space="0" w:color="E0E0E0"/>
              <w:insideH w:val="single" w:sz="8" w:space="0" w:color="BFBFBF"/>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0.20</w:t>
            </w:r>
          </w:p>
        </w:tc>
        <w:tc>
          <w:tcPr>
            <w:tcW w:w="561" w:type="dxa"/>
            <w:tcBorders>
              <w:top w:val="dashed" w:sz="4" w:space="0" w:color="E0E0E0"/>
              <w:left w:val="single" w:sz="8" w:space="0" w:color="E0E0E0"/>
              <w:bottom w:val="single" w:sz="8" w:space="0" w:color="BFBFBF"/>
              <w:right w:val="single" w:sz="8" w:space="0" w:color="E0E0E0"/>
              <w:insideH w:val="single" w:sz="8" w:space="0" w:color="BFBFBF"/>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0.09</w:t>
            </w:r>
          </w:p>
        </w:tc>
        <w:tc>
          <w:tcPr>
            <w:tcW w:w="560" w:type="dxa"/>
            <w:tcBorders>
              <w:top w:val="dashed" w:sz="4" w:space="0" w:color="E0E0E0"/>
              <w:left w:val="single" w:sz="8" w:space="0" w:color="E0E0E0"/>
              <w:bottom w:val="single" w:sz="8" w:space="0" w:color="BFBFBF"/>
              <w:right w:val="single" w:sz="8" w:space="0" w:color="E0E0E0"/>
              <w:insideH w:val="single" w:sz="8" w:space="0" w:color="BFBFBF"/>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0.08</w:t>
            </w:r>
          </w:p>
        </w:tc>
        <w:tc>
          <w:tcPr>
            <w:tcW w:w="554" w:type="dxa"/>
            <w:tcBorders>
              <w:top w:val="dashed" w:sz="4" w:space="0" w:color="E0E0E0"/>
              <w:left w:val="single" w:sz="8" w:space="0" w:color="E0E0E0"/>
              <w:bottom w:val="single" w:sz="8" w:space="0" w:color="BFBFBF"/>
              <w:right w:val="single" w:sz="8" w:space="0" w:color="E0E0E0"/>
              <w:insideH w:val="single" w:sz="8" w:space="0" w:color="BFBFBF"/>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0.17</w:t>
            </w:r>
          </w:p>
        </w:tc>
        <w:tc>
          <w:tcPr>
            <w:tcW w:w="556" w:type="dxa"/>
            <w:tcBorders>
              <w:top w:val="dashed" w:sz="4" w:space="0" w:color="E0E0E0"/>
              <w:left w:val="single" w:sz="8" w:space="0" w:color="E0E0E0"/>
              <w:bottom w:val="single" w:sz="8" w:space="0" w:color="BFBFBF"/>
              <w:right w:val="single" w:sz="8" w:space="0" w:color="E0E0E0"/>
              <w:insideH w:val="single" w:sz="8" w:space="0" w:color="BFBFBF"/>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0.15</w:t>
            </w:r>
          </w:p>
        </w:tc>
        <w:tc>
          <w:tcPr>
            <w:tcW w:w="533" w:type="dxa"/>
            <w:tcBorders>
              <w:top w:val="dashed" w:sz="4" w:space="0" w:color="E0E0E0"/>
              <w:left w:val="single" w:sz="8" w:space="0" w:color="E0E0E0"/>
              <w:bottom w:val="single" w:sz="8" w:space="0" w:color="BFBFBF"/>
              <w:right w:val="single" w:sz="8" w:space="0" w:color="AEAEAE"/>
              <w:insideH w:val="single" w:sz="8" w:space="0" w:color="BFBFBF"/>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0.20</w:t>
            </w:r>
          </w:p>
        </w:tc>
      </w:tr>
      <w:tr>
        <w:trPr>
          <w:cantSplit w:val="true"/>
        </w:trPr>
        <w:tc>
          <w:tcPr>
            <w:tcW w:w="1806" w:type="dxa"/>
            <w:vMerge w:val="restart"/>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jc w:val="center"/>
              <w:rPr>
                <w:color w:val="264A60"/>
                <w:sz w:val="18"/>
                <w:szCs w:val="18"/>
                <w:lang w:eastAsia="en-US"/>
              </w:rPr>
            </w:pPr>
            <w:r>
              <w:rPr>
                <w:color w:val="264A60"/>
                <w:sz w:val="18"/>
                <w:szCs w:val="18"/>
                <w:lang w:eastAsia="en-US"/>
              </w:rPr>
              <w:t>ACO_LDS</w:t>
            </w:r>
          </w:p>
        </w:tc>
        <w:tc>
          <w:tcPr>
            <w:tcW w:w="999" w:type="dxa"/>
            <w:tcBorders>
              <w:top w:val="single" w:sz="8" w:space="0" w:color="AEAEAE"/>
              <w:left w:val="single" w:sz="8" w:space="0" w:color="D9D9D9"/>
              <w:bottom w:val="dashed" w:sz="4" w:space="0" w:color="D9D9D9"/>
              <w:right w:val="single" w:sz="8" w:space="0" w:color="D9D9D9"/>
              <w:insideH w:val="dashed" w:sz="4" w:space="0" w:color="D9D9D9"/>
              <w:insideV w:val="single" w:sz="8" w:space="0" w:color="D9D9D9"/>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54" w:type="dxa"/>
            <w:tcBorders>
              <w:top w:val="single" w:sz="8" w:space="0" w:color="BFBFBF"/>
              <w:left w:val="single" w:sz="8" w:space="0" w:color="D9D9D9"/>
              <w:bottom w:val="dashed" w:sz="4" w:space="0" w:color="D9D9D9"/>
              <w:right w:val="single" w:sz="8" w:space="0" w:color="D9D9D9"/>
              <w:insideH w:val="dashed" w:sz="4" w:space="0" w:color="D9D9D9"/>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0.11</w:t>
            </w:r>
          </w:p>
        </w:tc>
        <w:tc>
          <w:tcPr>
            <w:tcW w:w="553" w:type="dxa"/>
            <w:tcBorders>
              <w:top w:val="single" w:sz="8" w:space="0" w:color="BFBFBF"/>
              <w:left w:val="single" w:sz="8" w:space="0" w:color="D9D9D9"/>
              <w:bottom w:val="dashed" w:sz="4" w:space="0" w:color="D9D9D9"/>
              <w:right w:val="single" w:sz="8" w:space="0" w:color="D9D9D9"/>
              <w:insideH w:val="dashed" w:sz="4" w:space="0" w:color="D9D9D9"/>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0.39</w:t>
            </w:r>
          </w:p>
        </w:tc>
        <w:tc>
          <w:tcPr>
            <w:tcW w:w="556" w:type="dxa"/>
            <w:tcBorders>
              <w:top w:val="single" w:sz="8" w:space="0" w:color="BFBFBF"/>
              <w:left w:val="single" w:sz="8" w:space="0" w:color="D9D9D9"/>
              <w:bottom w:val="dashed" w:sz="4" w:space="0" w:color="D9D9D9"/>
              <w:right w:val="single" w:sz="8" w:space="0" w:color="D9D9D9"/>
              <w:insideH w:val="dashed" w:sz="4" w:space="0" w:color="D9D9D9"/>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0.29</w:t>
            </w:r>
          </w:p>
        </w:tc>
        <w:tc>
          <w:tcPr>
            <w:tcW w:w="556" w:type="dxa"/>
            <w:tcBorders>
              <w:top w:val="single" w:sz="8" w:space="0" w:color="BFBFBF"/>
              <w:left w:val="single" w:sz="8" w:space="0" w:color="D9D9D9"/>
              <w:bottom w:val="dashed" w:sz="4" w:space="0" w:color="D9D9D9"/>
              <w:right w:val="single" w:sz="8" w:space="0" w:color="D9D9D9"/>
              <w:insideH w:val="dashed" w:sz="4" w:space="0" w:color="D9D9D9"/>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0.36</w:t>
            </w:r>
          </w:p>
        </w:tc>
        <w:tc>
          <w:tcPr>
            <w:tcW w:w="561" w:type="dxa"/>
            <w:tcBorders>
              <w:top w:val="single" w:sz="8" w:space="0" w:color="BFBFBF"/>
              <w:left w:val="single" w:sz="8" w:space="0" w:color="D9D9D9"/>
              <w:bottom w:val="dashed" w:sz="4" w:space="0" w:color="D9D9D9"/>
              <w:right w:val="single" w:sz="8" w:space="0" w:color="D9D9D9"/>
              <w:insideH w:val="dashed" w:sz="4" w:space="0" w:color="D9D9D9"/>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0.11</w:t>
            </w:r>
          </w:p>
        </w:tc>
        <w:tc>
          <w:tcPr>
            <w:tcW w:w="561" w:type="dxa"/>
            <w:tcBorders>
              <w:top w:val="single" w:sz="8" w:space="0" w:color="BFBFBF"/>
              <w:left w:val="single" w:sz="8" w:space="0" w:color="D9D9D9"/>
              <w:bottom w:val="dashed" w:sz="4" w:space="0" w:color="D9D9D9"/>
              <w:right w:val="single" w:sz="8" w:space="0" w:color="D9D9D9"/>
              <w:insideH w:val="dashed" w:sz="4" w:space="0" w:color="D9D9D9"/>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0.56</w:t>
            </w:r>
          </w:p>
        </w:tc>
        <w:tc>
          <w:tcPr>
            <w:tcW w:w="560" w:type="dxa"/>
            <w:tcBorders>
              <w:top w:val="single" w:sz="8" w:space="0" w:color="BFBFBF"/>
              <w:left w:val="single" w:sz="8" w:space="0" w:color="D9D9D9"/>
              <w:bottom w:val="dashed" w:sz="4" w:space="0" w:color="D9D9D9"/>
              <w:right w:val="single" w:sz="8" w:space="0" w:color="D9D9D9"/>
              <w:insideH w:val="dashed" w:sz="4" w:space="0" w:color="D9D9D9"/>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0.05</w:t>
            </w:r>
          </w:p>
        </w:tc>
        <w:tc>
          <w:tcPr>
            <w:tcW w:w="554" w:type="dxa"/>
            <w:tcBorders>
              <w:top w:val="single" w:sz="8" w:space="0" w:color="BFBFBF"/>
              <w:left w:val="single" w:sz="8" w:space="0" w:color="D9D9D9"/>
              <w:bottom w:val="dashed" w:sz="4" w:space="0" w:color="D9D9D9"/>
              <w:right w:val="single" w:sz="8" w:space="0" w:color="D9D9D9"/>
              <w:insideH w:val="dashed" w:sz="4" w:space="0" w:color="D9D9D9"/>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0.22</w:t>
            </w:r>
          </w:p>
        </w:tc>
        <w:tc>
          <w:tcPr>
            <w:tcW w:w="556" w:type="dxa"/>
            <w:tcBorders>
              <w:top w:val="single" w:sz="8" w:space="0" w:color="BFBFBF"/>
              <w:left w:val="single" w:sz="8" w:space="0" w:color="D9D9D9"/>
              <w:bottom w:val="dashed" w:sz="4" w:space="0" w:color="D9D9D9"/>
              <w:right w:val="single" w:sz="8" w:space="0" w:color="D9D9D9"/>
              <w:insideH w:val="dashed" w:sz="4" w:space="0" w:color="D9D9D9"/>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0.59</w:t>
            </w:r>
          </w:p>
        </w:tc>
        <w:tc>
          <w:tcPr>
            <w:tcW w:w="533" w:type="dxa"/>
            <w:tcBorders>
              <w:top w:val="single" w:sz="8" w:space="0" w:color="BFBFBF"/>
              <w:left w:val="single" w:sz="8" w:space="0" w:color="D9D9D9"/>
              <w:bottom w:val="dashed" w:sz="4" w:space="0" w:color="D9D9D9"/>
              <w:right w:val="single" w:sz="8" w:space="0" w:color="AEAEAE"/>
              <w:insideH w:val="dashed" w:sz="4" w:space="0" w:color="D9D9D9"/>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cantSplit w:val="true"/>
        </w:trPr>
        <w:tc>
          <w:tcPr>
            <w:tcW w:w="1806" w:type="dxa"/>
            <w:vMerge w:val="continue"/>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jc w:val="center"/>
              <w:rPr>
                <w:color w:val="264A60"/>
                <w:sz w:val="18"/>
                <w:szCs w:val="18"/>
                <w:lang w:eastAsia="en-US"/>
              </w:rPr>
            </w:pPr>
            <w:r>
              <w:rPr>
                <w:color w:val="264A60"/>
                <w:sz w:val="18"/>
                <w:szCs w:val="18"/>
                <w:lang w:eastAsia="en-US"/>
              </w:rPr>
            </w:r>
          </w:p>
        </w:tc>
        <w:tc>
          <w:tcPr>
            <w:tcW w:w="999" w:type="dxa"/>
            <w:tcBorders>
              <w:top w:val="dashed" w:sz="4" w:space="0" w:color="D9D9D9"/>
              <w:left w:val="single" w:sz="8" w:space="0" w:color="D9D9D9"/>
              <w:bottom w:val="single" w:sz="8" w:space="0" w:color="AEAEAE"/>
              <w:right w:val="single" w:sz="8" w:space="0" w:color="D9D9D9"/>
              <w:insideH w:val="single" w:sz="8" w:space="0" w:color="AEAEAE"/>
              <w:insideV w:val="single" w:sz="8" w:space="0" w:color="D9D9D9"/>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54" w:type="dxa"/>
            <w:tcBorders>
              <w:top w:val="dashed" w:sz="4" w:space="0" w:color="D9D9D9"/>
              <w:left w:val="single" w:sz="8" w:space="0" w:color="D9D9D9"/>
              <w:bottom w:val="single" w:sz="8" w:space="0" w:color="AEAEAE"/>
              <w:right w:val="single" w:sz="8" w:space="0" w:color="D9D9D9"/>
              <w:insideH w:val="single" w:sz="8" w:space="0" w:color="AEAEAE"/>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0.31</w:t>
            </w:r>
          </w:p>
        </w:tc>
        <w:tc>
          <w:tcPr>
            <w:tcW w:w="553" w:type="dxa"/>
            <w:tcBorders>
              <w:top w:val="dashed" w:sz="4" w:space="0" w:color="D9D9D9"/>
              <w:left w:val="single" w:sz="8" w:space="0" w:color="D9D9D9"/>
              <w:bottom w:val="single" w:sz="8" w:space="0" w:color="AEAEAE"/>
              <w:right w:val="single" w:sz="8" w:space="0" w:color="D9D9D9"/>
              <w:insideH w:val="single" w:sz="8" w:space="0" w:color="AEAEAE"/>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0.46</w:t>
            </w:r>
          </w:p>
        </w:tc>
        <w:tc>
          <w:tcPr>
            <w:tcW w:w="556" w:type="dxa"/>
            <w:tcBorders>
              <w:top w:val="dashed" w:sz="4" w:space="0" w:color="D9D9D9"/>
              <w:left w:val="single" w:sz="8" w:space="0" w:color="D9D9D9"/>
              <w:bottom w:val="single" w:sz="8" w:space="0" w:color="AEAEAE"/>
              <w:right w:val="single" w:sz="8" w:space="0" w:color="D9D9D9"/>
              <w:insideH w:val="single" w:sz="8" w:space="0" w:color="AEAEAE"/>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0.42</w:t>
            </w:r>
          </w:p>
        </w:tc>
        <w:tc>
          <w:tcPr>
            <w:tcW w:w="556" w:type="dxa"/>
            <w:tcBorders>
              <w:top w:val="dashed" w:sz="4" w:space="0" w:color="D9D9D9"/>
              <w:left w:val="single" w:sz="8" w:space="0" w:color="D9D9D9"/>
              <w:bottom w:val="single" w:sz="8" w:space="0" w:color="AEAEAE"/>
              <w:right w:val="single" w:sz="8" w:space="0" w:color="D9D9D9"/>
              <w:insideH w:val="single" w:sz="8" w:space="0" w:color="AEAEAE"/>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0.12</w:t>
            </w:r>
          </w:p>
        </w:tc>
        <w:tc>
          <w:tcPr>
            <w:tcW w:w="561" w:type="dxa"/>
            <w:tcBorders>
              <w:top w:val="dashed" w:sz="4" w:space="0" w:color="D9D9D9"/>
              <w:left w:val="single" w:sz="8" w:space="0" w:color="D9D9D9"/>
              <w:bottom w:val="single" w:sz="8" w:space="0" w:color="AEAEAE"/>
              <w:right w:val="single" w:sz="8" w:space="0" w:color="D9D9D9"/>
              <w:insideH w:val="single" w:sz="8" w:space="0" w:color="AEAEAE"/>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0.27</w:t>
            </w:r>
          </w:p>
        </w:tc>
        <w:tc>
          <w:tcPr>
            <w:tcW w:w="561" w:type="dxa"/>
            <w:tcBorders>
              <w:top w:val="dashed" w:sz="4" w:space="0" w:color="D9D9D9"/>
              <w:left w:val="single" w:sz="8" w:space="0" w:color="D9D9D9"/>
              <w:bottom w:val="single" w:sz="8" w:space="0" w:color="AEAEAE"/>
              <w:right w:val="single" w:sz="8" w:space="0" w:color="D9D9D9"/>
              <w:insideH w:val="single" w:sz="8" w:space="0" w:color="AEAEAE"/>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0.41</w:t>
            </w:r>
          </w:p>
        </w:tc>
        <w:tc>
          <w:tcPr>
            <w:tcW w:w="560" w:type="dxa"/>
            <w:tcBorders>
              <w:top w:val="dashed" w:sz="4" w:space="0" w:color="D9D9D9"/>
              <w:left w:val="single" w:sz="8" w:space="0" w:color="D9D9D9"/>
              <w:bottom w:val="single" w:sz="8" w:space="0" w:color="AEAEAE"/>
              <w:right w:val="single" w:sz="8" w:space="0" w:color="D9D9D9"/>
              <w:insideH w:val="single" w:sz="8" w:space="0" w:color="AEAEAE"/>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0.07</w:t>
            </w:r>
          </w:p>
        </w:tc>
        <w:tc>
          <w:tcPr>
            <w:tcW w:w="554" w:type="dxa"/>
            <w:tcBorders>
              <w:top w:val="dashed" w:sz="4" w:space="0" w:color="D9D9D9"/>
              <w:left w:val="single" w:sz="8" w:space="0" w:color="D9D9D9"/>
              <w:bottom w:val="single" w:sz="8" w:space="0" w:color="AEAEAE"/>
              <w:right w:val="single" w:sz="8" w:space="0" w:color="D9D9D9"/>
              <w:insideH w:val="single" w:sz="8" w:space="0" w:color="AEAEAE"/>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0.36</w:t>
            </w:r>
          </w:p>
        </w:tc>
        <w:tc>
          <w:tcPr>
            <w:tcW w:w="556" w:type="dxa"/>
            <w:tcBorders>
              <w:top w:val="dashed" w:sz="4" w:space="0" w:color="D9D9D9"/>
              <w:left w:val="single" w:sz="8" w:space="0" w:color="D9D9D9"/>
              <w:bottom w:val="single" w:sz="8" w:space="0" w:color="AEAEAE"/>
              <w:right w:val="single" w:sz="8" w:space="0" w:color="D9D9D9"/>
              <w:insideH w:val="single" w:sz="8" w:space="0" w:color="AEAEAE"/>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0.43</w:t>
            </w:r>
          </w:p>
        </w:tc>
        <w:tc>
          <w:tcPr>
            <w:tcW w:w="533" w:type="dxa"/>
            <w:tcBorders>
              <w:top w:val="dashed" w:sz="4" w:space="0" w:color="D9D9D9"/>
              <w:left w:val="single" w:sz="8" w:space="0" w:color="D9D9D9"/>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cantSplit w:val="true"/>
        </w:trPr>
        <w:tc>
          <w:tcPr>
            <w:tcW w:w="1806"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jc w:val="center"/>
              <w:rPr>
                <w:color w:val="264A60"/>
                <w:szCs w:val="18"/>
                <w:lang w:val="en-US" w:eastAsia="en-US"/>
              </w:rPr>
            </w:pPr>
            <w:r>
              <w:rPr>
                <w:color w:val="264A60"/>
                <w:sz w:val="18"/>
                <w:szCs w:val="18"/>
                <w:lang w:eastAsia="en-US"/>
              </w:rPr>
              <w:t>GA_LDS</w:t>
            </w:r>
          </w:p>
        </w:tc>
        <w:tc>
          <w:tcPr>
            <w:tcW w:w="999"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5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0.99</w:t>
            </w:r>
          </w:p>
        </w:tc>
        <w:tc>
          <w:tcPr>
            <w:tcW w:w="553"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1.00</w:t>
            </w:r>
          </w:p>
        </w:tc>
        <w:tc>
          <w:tcPr>
            <w:tcW w:w="556"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c>
          <w:tcPr>
            <w:tcW w:w="556"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6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6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0.99</w:t>
            </w:r>
          </w:p>
        </w:tc>
        <w:tc>
          <w:tcPr>
            <w:tcW w:w="56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0.03</w:t>
            </w:r>
          </w:p>
        </w:tc>
        <w:tc>
          <w:tcPr>
            <w:tcW w:w="55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0.03</w:t>
            </w:r>
          </w:p>
        </w:tc>
        <w:tc>
          <w:tcPr>
            <w:tcW w:w="556"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0.96</w:t>
            </w:r>
          </w:p>
        </w:tc>
        <w:tc>
          <w:tcPr>
            <w:tcW w:w="533"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cantSplit w:val="true"/>
        </w:trPr>
        <w:tc>
          <w:tcPr>
            <w:tcW w:w="1806"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jc w:val="center"/>
              <w:rPr>
                <w:color w:val="264A60"/>
                <w:sz w:val="18"/>
                <w:szCs w:val="18"/>
                <w:lang w:eastAsia="en-US"/>
              </w:rPr>
            </w:pPr>
            <w:r>
              <w:rPr>
                <w:color w:val="264A60"/>
                <w:sz w:val="18"/>
                <w:szCs w:val="18"/>
                <w:lang w:eastAsia="en-US"/>
              </w:rPr>
            </w:r>
          </w:p>
        </w:tc>
        <w:tc>
          <w:tcPr>
            <w:tcW w:w="999"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5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0.01</w:t>
            </w:r>
          </w:p>
        </w:tc>
        <w:tc>
          <w:tcPr>
            <w:tcW w:w="553"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56"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0.04</w:t>
            </w:r>
          </w:p>
        </w:tc>
        <w:tc>
          <w:tcPr>
            <w:tcW w:w="556"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6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6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6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5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0.04</w:t>
            </w:r>
          </w:p>
        </w:tc>
        <w:tc>
          <w:tcPr>
            <w:tcW w:w="556"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33"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cantSplit w:val="true"/>
        </w:trPr>
        <w:tc>
          <w:tcPr>
            <w:tcW w:w="1806"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jc w:val="center"/>
              <w:rPr>
                <w:color w:val="264A60"/>
                <w:sz w:val="18"/>
                <w:szCs w:val="18"/>
                <w:lang w:eastAsia="en-US"/>
              </w:rPr>
            </w:pPr>
            <w:r>
              <w:rPr>
                <w:color w:val="264A60"/>
                <w:sz w:val="18"/>
                <w:szCs w:val="18"/>
                <w:lang w:eastAsia="en-US"/>
              </w:rPr>
              <w:t>PCA_LDS</w:t>
            </w:r>
          </w:p>
        </w:tc>
        <w:tc>
          <w:tcPr>
            <w:tcW w:w="999"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5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0.40</w:t>
            </w:r>
          </w:p>
        </w:tc>
        <w:tc>
          <w:tcPr>
            <w:tcW w:w="553"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0.95</w:t>
            </w:r>
          </w:p>
        </w:tc>
        <w:tc>
          <w:tcPr>
            <w:tcW w:w="556"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0.17</w:t>
            </w:r>
          </w:p>
        </w:tc>
        <w:tc>
          <w:tcPr>
            <w:tcW w:w="556"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0.33</w:t>
            </w:r>
          </w:p>
        </w:tc>
        <w:tc>
          <w:tcPr>
            <w:tcW w:w="56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0.87</w:t>
            </w:r>
          </w:p>
        </w:tc>
        <w:tc>
          <w:tcPr>
            <w:tcW w:w="56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0.88</w:t>
            </w:r>
          </w:p>
        </w:tc>
        <w:tc>
          <w:tcPr>
            <w:tcW w:w="56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0.13</w:t>
            </w:r>
          </w:p>
        </w:tc>
        <w:tc>
          <w:tcPr>
            <w:tcW w:w="55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0.89</w:t>
            </w:r>
          </w:p>
        </w:tc>
        <w:tc>
          <w:tcPr>
            <w:tcW w:w="556"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0.80</w:t>
            </w:r>
          </w:p>
        </w:tc>
        <w:tc>
          <w:tcPr>
            <w:tcW w:w="533"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0.85</w:t>
            </w:r>
          </w:p>
        </w:tc>
      </w:tr>
      <w:tr>
        <w:trPr>
          <w:cantSplit w:val="true"/>
        </w:trPr>
        <w:tc>
          <w:tcPr>
            <w:tcW w:w="1806"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jc w:val="center"/>
              <w:rPr>
                <w:color w:val="264A60"/>
                <w:szCs w:val="18"/>
                <w:lang w:val="en-US" w:eastAsia="en-US"/>
              </w:rPr>
            </w:pPr>
            <w:r>
              <w:rPr>
                <w:color w:val="264A60"/>
                <w:szCs w:val="18"/>
                <w:lang w:val="en-US" w:eastAsia="en-US"/>
              </w:rPr>
            </w:r>
          </w:p>
        </w:tc>
        <w:tc>
          <w:tcPr>
            <w:tcW w:w="999"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5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0.41</w:t>
            </w:r>
          </w:p>
        </w:tc>
        <w:tc>
          <w:tcPr>
            <w:tcW w:w="553"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0.11</w:t>
            </w:r>
          </w:p>
        </w:tc>
        <w:tc>
          <w:tcPr>
            <w:tcW w:w="556"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0.14</w:t>
            </w:r>
          </w:p>
        </w:tc>
        <w:tc>
          <w:tcPr>
            <w:tcW w:w="556"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0.18</w:t>
            </w:r>
          </w:p>
        </w:tc>
        <w:tc>
          <w:tcPr>
            <w:tcW w:w="56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0.20</w:t>
            </w:r>
          </w:p>
        </w:tc>
        <w:tc>
          <w:tcPr>
            <w:tcW w:w="56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0.09</w:t>
            </w:r>
          </w:p>
        </w:tc>
        <w:tc>
          <w:tcPr>
            <w:tcW w:w="56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0.09</w:t>
            </w:r>
          </w:p>
        </w:tc>
        <w:tc>
          <w:tcPr>
            <w:tcW w:w="55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0.16</w:t>
            </w:r>
          </w:p>
        </w:tc>
        <w:tc>
          <w:tcPr>
            <w:tcW w:w="556"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0.14</w:t>
            </w:r>
          </w:p>
        </w:tc>
        <w:tc>
          <w:tcPr>
            <w:tcW w:w="533"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0.20</w:t>
            </w:r>
          </w:p>
        </w:tc>
      </w:tr>
      <w:tr>
        <w:trPr>
          <w:cantSplit w:val="true"/>
        </w:trPr>
        <w:tc>
          <w:tcPr>
            <w:tcW w:w="2805"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jc w:val="center"/>
              <w:rPr>
                <w:b/>
                <w:b/>
                <w:color w:val="264A60"/>
                <w:szCs w:val="18"/>
                <w:lang w:val="en-US" w:eastAsia="en-US"/>
              </w:rPr>
            </w:pPr>
            <w:r>
              <w:rPr>
                <w:b/>
                <w:color w:val="264A60"/>
                <w:szCs w:val="18"/>
                <w:lang w:val="en-US" w:eastAsia="en-US"/>
              </w:rPr>
              <w:t>BD_audit_sinProvMinistInstit</w:t>
            </w:r>
          </w:p>
        </w:tc>
        <w:tc>
          <w:tcPr>
            <w:tcW w:w="554"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53"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56"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56"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6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6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60"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54"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56"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33" w:type="dxa"/>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r>
      <w:tr>
        <w:trPr>
          <w:trHeight w:val="333" w:hRule="atLeast"/>
          <w:cantSplit w:val="true"/>
        </w:trPr>
        <w:tc>
          <w:tcPr>
            <w:tcW w:w="1806"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RST_LDS</w:t>
            </w:r>
          </w:p>
        </w:tc>
        <w:tc>
          <w:tcPr>
            <w:tcW w:w="999"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5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0.04</w:t>
            </w:r>
          </w:p>
        </w:tc>
        <w:tc>
          <w:tcPr>
            <w:tcW w:w="553"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0.99</w:t>
            </w:r>
          </w:p>
        </w:tc>
        <w:tc>
          <w:tcPr>
            <w:tcW w:w="556"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0.76</w:t>
            </w:r>
          </w:p>
        </w:tc>
        <w:tc>
          <w:tcPr>
            <w:tcW w:w="556"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6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0.84</w:t>
            </w:r>
          </w:p>
        </w:tc>
        <w:tc>
          <w:tcPr>
            <w:tcW w:w="56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0.94</w:t>
            </w:r>
          </w:p>
        </w:tc>
        <w:tc>
          <w:tcPr>
            <w:tcW w:w="56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0.08</w:t>
            </w:r>
          </w:p>
        </w:tc>
        <w:tc>
          <w:tcPr>
            <w:tcW w:w="55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0.22</w:t>
            </w:r>
          </w:p>
        </w:tc>
        <w:tc>
          <w:tcPr>
            <w:tcW w:w="556"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0.86</w:t>
            </w:r>
          </w:p>
        </w:tc>
        <w:tc>
          <w:tcPr>
            <w:tcW w:w="533"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trHeight w:val="267" w:hRule="atLeast"/>
          <w:cantSplit w:val="true"/>
        </w:trPr>
        <w:tc>
          <w:tcPr>
            <w:tcW w:w="1806"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999"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5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0.17</w:t>
            </w:r>
          </w:p>
        </w:tc>
        <w:tc>
          <w:tcPr>
            <w:tcW w:w="553"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56"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0.36</w:t>
            </w:r>
          </w:p>
        </w:tc>
        <w:tc>
          <w:tcPr>
            <w:tcW w:w="556"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6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0.20</w:t>
            </w:r>
          </w:p>
        </w:tc>
        <w:tc>
          <w:tcPr>
            <w:tcW w:w="56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0.10</w:t>
            </w:r>
          </w:p>
        </w:tc>
        <w:tc>
          <w:tcPr>
            <w:tcW w:w="56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0.10</w:t>
            </w:r>
          </w:p>
        </w:tc>
        <w:tc>
          <w:tcPr>
            <w:tcW w:w="55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0.35</w:t>
            </w:r>
          </w:p>
        </w:tc>
        <w:tc>
          <w:tcPr>
            <w:tcW w:w="556"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0.19</w:t>
            </w:r>
          </w:p>
        </w:tc>
        <w:tc>
          <w:tcPr>
            <w:tcW w:w="533"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trHeight w:val="267" w:hRule="atLeast"/>
          <w:cantSplit w:val="true"/>
        </w:trPr>
        <w:tc>
          <w:tcPr>
            <w:tcW w:w="1806" w:type="dxa"/>
            <w:vMerge w:val="restart"/>
            <w:tcBorders>
              <w:top w:val="single" w:sz="8" w:space="0" w:color="AEAEAE"/>
              <w:left w:val="single" w:sz="8" w:space="0" w:color="AEAEAE"/>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LPA_LDS</w:t>
            </w:r>
          </w:p>
        </w:tc>
        <w:tc>
          <w:tcPr>
            <w:tcW w:w="999"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54"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53"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1.00</w:t>
            </w:r>
          </w:p>
        </w:tc>
        <w:tc>
          <w:tcPr>
            <w:tcW w:w="556"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0.95</w:t>
            </w:r>
          </w:p>
        </w:tc>
        <w:tc>
          <w:tcPr>
            <w:tcW w:w="556"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61"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0.69</w:t>
            </w:r>
          </w:p>
        </w:tc>
        <w:tc>
          <w:tcPr>
            <w:tcW w:w="561"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0.96</w:t>
            </w:r>
          </w:p>
        </w:tc>
        <w:tc>
          <w:tcPr>
            <w:tcW w:w="560"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0.06</w:t>
            </w:r>
          </w:p>
        </w:tc>
        <w:tc>
          <w:tcPr>
            <w:tcW w:w="554"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0.07</w:t>
            </w:r>
          </w:p>
        </w:tc>
        <w:tc>
          <w:tcPr>
            <w:tcW w:w="556"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0.91</w:t>
            </w:r>
          </w:p>
        </w:tc>
        <w:tc>
          <w:tcPr>
            <w:tcW w:w="533" w:type="dxa"/>
            <w:tcBorders>
              <w:top w:val="single" w:sz="8" w:space="0" w:color="AEAEAE"/>
              <w:left w:val="single" w:sz="8" w:space="0" w:color="E0E0E0"/>
              <w:bottom w:val="dashed" w:sz="4" w:space="0" w:color="D9D9D9"/>
              <w:right w:val="single" w:sz="8" w:space="0" w:color="AEAEAE"/>
              <w:insideH w:val="dashed" w:sz="4" w:space="0" w:color="D9D9D9"/>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trHeight w:val="271" w:hRule="atLeast"/>
          <w:cantSplit w:val="true"/>
        </w:trPr>
        <w:tc>
          <w:tcPr>
            <w:tcW w:w="1806" w:type="dxa"/>
            <w:vMerge w:val="continue"/>
            <w:tcBorders>
              <w:top w:val="single" w:sz="8" w:space="0" w:color="AEAEAE"/>
              <w:left w:val="single" w:sz="8" w:space="0" w:color="AEAEAE"/>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999" w:type="dxa"/>
            <w:tcBorders>
              <w:top w:val="dashed" w:sz="4" w:space="0" w:color="D9D9D9"/>
              <w:left w:val="single" w:sz="8" w:space="0" w:color="E0E0E0"/>
              <w:bottom w:val="single" w:sz="8" w:space="0" w:color="D9D9D9"/>
              <w:right w:val="single" w:sz="8" w:space="0" w:color="E0E0E0"/>
              <w:insideH w:val="single" w:sz="8" w:space="0" w:color="D9D9D9"/>
              <w:insideV w:val="single" w:sz="8" w:space="0" w:color="E0E0E0"/>
            </w:tcBorders>
            <w:shd w:color="auto" w:fill="FFFFFF" w:val="clear"/>
            <w:tcMar>
              <w:left w:w="-10" w:type="dxa"/>
            </w:tcMar>
            <w:vAlign w:val="center"/>
          </w:tcPr>
          <w:p>
            <w:pPr>
              <w:pStyle w:val="NormalTabla"/>
              <w:jc w:val="center"/>
              <w:rPr>
                <w:color w:val="264A60"/>
                <w:sz w:val="18"/>
                <w:szCs w:val="18"/>
                <w:lang w:eastAsia="en-US"/>
              </w:rPr>
            </w:pPr>
            <w:r>
              <w:rPr>
                <w:color w:val="264A60"/>
                <w:sz w:val="18"/>
                <w:szCs w:val="18"/>
                <w:lang w:eastAsia="en-US"/>
              </w:rPr>
              <w:t>StdDev</w:t>
            </w:r>
          </w:p>
        </w:tc>
        <w:tc>
          <w:tcPr>
            <w:tcW w:w="554" w:type="dxa"/>
            <w:tcBorders>
              <w:top w:val="dashed" w:sz="4" w:space="0" w:color="D9D9D9"/>
              <w:left w:val="single" w:sz="8" w:space="0" w:color="E0E0E0"/>
              <w:bottom w:val="single" w:sz="8" w:space="0" w:color="D9D9D9"/>
              <w:right w:val="single" w:sz="8" w:space="0" w:color="E0E0E0"/>
              <w:insideH w:val="single" w:sz="8"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53" w:type="dxa"/>
            <w:tcBorders>
              <w:top w:val="dashed" w:sz="4" w:space="0" w:color="D9D9D9"/>
              <w:left w:val="single" w:sz="8" w:space="0" w:color="E0E0E0"/>
              <w:bottom w:val="single" w:sz="8" w:space="0" w:color="D9D9D9"/>
              <w:right w:val="single" w:sz="8" w:space="0" w:color="E0E0E0"/>
              <w:insideH w:val="single" w:sz="8"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56" w:type="dxa"/>
            <w:tcBorders>
              <w:top w:val="dashed" w:sz="4" w:space="0" w:color="D9D9D9"/>
              <w:left w:val="single" w:sz="8" w:space="0" w:color="E0E0E0"/>
              <w:bottom w:val="single" w:sz="8" w:space="0" w:color="D9D9D9"/>
              <w:right w:val="single" w:sz="8" w:space="0" w:color="E0E0E0"/>
              <w:insideH w:val="single" w:sz="8"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0.07</w:t>
            </w:r>
          </w:p>
        </w:tc>
        <w:tc>
          <w:tcPr>
            <w:tcW w:w="556" w:type="dxa"/>
            <w:tcBorders>
              <w:top w:val="dashed" w:sz="4" w:space="0" w:color="D9D9D9"/>
              <w:left w:val="single" w:sz="8" w:space="0" w:color="E0E0E0"/>
              <w:bottom w:val="single" w:sz="8" w:space="0" w:color="D9D9D9"/>
              <w:right w:val="single" w:sz="8" w:space="0" w:color="E0E0E0"/>
              <w:insideH w:val="single" w:sz="8"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61" w:type="dxa"/>
            <w:tcBorders>
              <w:top w:val="dashed" w:sz="4" w:space="0" w:color="D9D9D9"/>
              <w:left w:val="single" w:sz="8" w:space="0" w:color="E0E0E0"/>
              <w:bottom w:val="single" w:sz="8" w:space="0" w:color="D9D9D9"/>
              <w:right w:val="single" w:sz="8" w:space="0" w:color="E0E0E0"/>
              <w:insideH w:val="single" w:sz="8"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0.27</w:t>
            </w:r>
          </w:p>
        </w:tc>
        <w:tc>
          <w:tcPr>
            <w:tcW w:w="561" w:type="dxa"/>
            <w:tcBorders>
              <w:top w:val="dashed" w:sz="4" w:space="0" w:color="D9D9D9"/>
              <w:left w:val="single" w:sz="8" w:space="0" w:color="E0E0E0"/>
              <w:bottom w:val="single" w:sz="8" w:space="0" w:color="D9D9D9"/>
              <w:right w:val="single" w:sz="8" w:space="0" w:color="E0E0E0"/>
              <w:insideH w:val="single" w:sz="8"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0.08</w:t>
            </w:r>
          </w:p>
        </w:tc>
        <w:tc>
          <w:tcPr>
            <w:tcW w:w="560" w:type="dxa"/>
            <w:tcBorders>
              <w:top w:val="dashed" w:sz="4" w:space="0" w:color="D9D9D9"/>
              <w:left w:val="single" w:sz="8" w:space="0" w:color="E0E0E0"/>
              <w:bottom w:val="single" w:sz="8" w:space="0" w:color="D9D9D9"/>
              <w:right w:val="single" w:sz="8" w:space="0" w:color="E0E0E0"/>
              <w:insideH w:val="single" w:sz="8"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0.08</w:t>
            </w:r>
          </w:p>
        </w:tc>
        <w:tc>
          <w:tcPr>
            <w:tcW w:w="554" w:type="dxa"/>
            <w:tcBorders>
              <w:top w:val="dashed" w:sz="4" w:space="0" w:color="D9D9D9"/>
              <w:left w:val="single" w:sz="8" w:space="0" w:color="E0E0E0"/>
              <w:bottom w:val="single" w:sz="8" w:space="0" w:color="D9D9D9"/>
              <w:right w:val="single" w:sz="8" w:space="0" w:color="E0E0E0"/>
              <w:insideH w:val="single" w:sz="8"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0.07</w:t>
            </w:r>
          </w:p>
        </w:tc>
        <w:tc>
          <w:tcPr>
            <w:tcW w:w="556" w:type="dxa"/>
            <w:tcBorders>
              <w:top w:val="dashed" w:sz="4" w:space="0" w:color="D9D9D9"/>
              <w:left w:val="single" w:sz="8" w:space="0" w:color="E0E0E0"/>
              <w:bottom w:val="single" w:sz="8" w:space="0" w:color="D9D9D9"/>
              <w:right w:val="single" w:sz="8" w:space="0" w:color="E0E0E0"/>
              <w:insideH w:val="single" w:sz="8"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0.12</w:t>
            </w:r>
          </w:p>
        </w:tc>
        <w:tc>
          <w:tcPr>
            <w:tcW w:w="533" w:type="dxa"/>
            <w:tcBorders>
              <w:top w:val="dashed" w:sz="4" w:space="0" w:color="D9D9D9"/>
              <w:left w:val="single" w:sz="8" w:space="0" w:color="E0E0E0"/>
              <w:bottom w:val="single" w:sz="8" w:space="0" w:color="D9D9D9"/>
              <w:right w:val="single" w:sz="8" w:space="0" w:color="AEAEAE"/>
              <w:insideH w:val="single" w:sz="8" w:space="0" w:color="D9D9D9"/>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trHeight w:val="271" w:hRule="atLeast"/>
          <w:cantSplit w:val="true"/>
        </w:trPr>
        <w:tc>
          <w:tcPr>
            <w:tcW w:w="1806" w:type="dxa"/>
            <w:vMerge w:val="restart"/>
            <w:tcBorders>
              <w:top w:val="single" w:sz="8" w:space="0" w:color="AEAEAE"/>
              <w:left w:val="single" w:sz="8" w:space="0" w:color="AEAEAE"/>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Apriori_LDS</w:t>
            </w:r>
          </w:p>
        </w:tc>
        <w:tc>
          <w:tcPr>
            <w:tcW w:w="999" w:type="dxa"/>
            <w:tcBorders>
              <w:top w:val="single" w:sz="8" w:space="0" w:color="D9D9D9"/>
              <w:left w:val="single" w:sz="8" w:space="0" w:color="E0E0E0"/>
              <w:bottom w:val="dashed" w:sz="4" w:space="0" w:color="D9D9D9"/>
              <w:right w:val="single" w:sz="8" w:space="0" w:color="D9D9D9"/>
              <w:insideH w:val="dashed" w:sz="4" w:space="0" w:color="D9D9D9"/>
              <w:insideV w:val="single" w:sz="8" w:space="0" w:color="D9D9D9"/>
            </w:tcBorders>
            <w:shd w:color="auto" w:fill="FFFFFF" w:val="clear"/>
            <w:tcMar>
              <w:left w:w="-10" w:type="dxa"/>
            </w:tcM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54" w:type="dxa"/>
            <w:tcBorders>
              <w:top w:val="single" w:sz="8" w:space="0" w:color="D9D9D9"/>
              <w:left w:val="single" w:sz="8" w:space="0" w:color="D9D9D9"/>
              <w:bottom w:val="dashed" w:sz="4" w:space="0" w:color="D9D9D9"/>
              <w:right w:val="single" w:sz="8" w:space="0" w:color="D9D9D9"/>
              <w:insideH w:val="dashed" w:sz="4" w:space="0" w:color="D9D9D9"/>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0.39</w:t>
            </w:r>
          </w:p>
        </w:tc>
        <w:tc>
          <w:tcPr>
            <w:tcW w:w="553" w:type="dxa"/>
            <w:tcBorders>
              <w:top w:val="single" w:sz="8" w:space="0" w:color="D9D9D9"/>
              <w:left w:val="single" w:sz="8" w:space="0" w:color="D9D9D9"/>
              <w:bottom w:val="dashed" w:sz="4" w:space="0" w:color="D9D9D9"/>
              <w:right w:val="single" w:sz="8" w:space="0" w:color="D9D9D9"/>
              <w:insideH w:val="dashed" w:sz="4" w:space="0" w:color="D9D9D9"/>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0.95</w:t>
            </w:r>
          </w:p>
        </w:tc>
        <w:tc>
          <w:tcPr>
            <w:tcW w:w="556" w:type="dxa"/>
            <w:tcBorders>
              <w:top w:val="single" w:sz="8" w:space="0" w:color="D9D9D9"/>
              <w:left w:val="single" w:sz="8" w:space="0" w:color="D9D9D9"/>
              <w:bottom w:val="dashed" w:sz="4" w:space="0" w:color="D9D9D9"/>
              <w:right w:val="single" w:sz="8" w:space="0" w:color="D9D9D9"/>
              <w:insideH w:val="dashed" w:sz="4" w:space="0" w:color="D9D9D9"/>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0.17</w:t>
            </w:r>
          </w:p>
        </w:tc>
        <w:tc>
          <w:tcPr>
            <w:tcW w:w="556" w:type="dxa"/>
            <w:tcBorders>
              <w:top w:val="single" w:sz="8" w:space="0" w:color="D9D9D9"/>
              <w:left w:val="single" w:sz="8" w:space="0" w:color="D9D9D9"/>
              <w:bottom w:val="dashed" w:sz="4" w:space="0" w:color="D9D9D9"/>
              <w:right w:val="single" w:sz="8" w:space="0" w:color="D9D9D9"/>
              <w:insideH w:val="dashed" w:sz="4" w:space="0" w:color="D9D9D9"/>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0.33</w:t>
            </w:r>
          </w:p>
        </w:tc>
        <w:tc>
          <w:tcPr>
            <w:tcW w:w="561" w:type="dxa"/>
            <w:tcBorders>
              <w:top w:val="single" w:sz="8" w:space="0" w:color="D9D9D9"/>
              <w:left w:val="single" w:sz="8" w:space="0" w:color="D9D9D9"/>
              <w:bottom w:val="dashed" w:sz="4" w:space="0" w:color="D9D9D9"/>
              <w:right w:val="single" w:sz="8" w:space="0" w:color="D9D9D9"/>
              <w:insideH w:val="dashed" w:sz="4" w:space="0" w:color="D9D9D9"/>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0.87</w:t>
            </w:r>
          </w:p>
        </w:tc>
        <w:tc>
          <w:tcPr>
            <w:tcW w:w="561" w:type="dxa"/>
            <w:tcBorders>
              <w:top w:val="single" w:sz="8" w:space="0" w:color="D9D9D9"/>
              <w:left w:val="single" w:sz="8" w:space="0" w:color="D9D9D9"/>
              <w:bottom w:val="dashed" w:sz="4" w:space="0" w:color="D9D9D9"/>
              <w:right w:val="single" w:sz="8" w:space="0" w:color="D9D9D9"/>
              <w:insideH w:val="dashed" w:sz="4" w:space="0" w:color="D9D9D9"/>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0.89</w:t>
            </w:r>
          </w:p>
        </w:tc>
        <w:tc>
          <w:tcPr>
            <w:tcW w:w="560" w:type="dxa"/>
            <w:tcBorders>
              <w:top w:val="single" w:sz="8" w:space="0" w:color="D9D9D9"/>
              <w:left w:val="single" w:sz="8" w:space="0" w:color="D9D9D9"/>
              <w:bottom w:val="dashed" w:sz="4" w:space="0" w:color="D9D9D9"/>
              <w:right w:val="single" w:sz="8" w:space="0" w:color="D9D9D9"/>
              <w:insideH w:val="dashed" w:sz="4" w:space="0" w:color="D9D9D9"/>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0.13</w:t>
            </w:r>
          </w:p>
        </w:tc>
        <w:tc>
          <w:tcPr>
            <w:tcW w:w="554" w:type="dxa"/>
            <w:tcBorders>
              <w:top w:val="single" w:sz="8" w:space="0" w:color="D9D9D9"/>
              <w:left w:val="single" w:sz="8" w:space="0" w:color="D9D9D9"/>
              <w:bottom w:val="dashed" w:sz="4" w:space="0" w:color="D9D9D9"/>
              <w:right w:val="single" w:sz="8" w:space="0" w:color="D9D9D9"/>
              <w:insideH w:val="dashed" w:sz="4" w:space="0" w:color="D9D9D9"/>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0.88</w:t>
            </w:r>
          </w:p>
        </w:tc>
        <w:tc>
          <w:tcPr>
            <w:tcW w:w="556" w:type="dxa"/>
            <w:tcBorders>
              <w:top w:val="single" w:sz="8" w:space="0" w:color="D9D9D9"/>
              <w:left w:val="single" w:sz="8" w:space="0" w:color="D9D9D9"/>
              <w:bottom w:val="dashed" w:sz="4" w:space="0" w:color="D9D9D9"/>
              <w:right w:val="single" w:sz="8" w:space="0" w:color="D9D9D9"/>
              <w:insideH w:val="dashed" w:sz="4" w:space="0" w:color="D9D9D9"/>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0.80</w:t>
            </w:r>
          </w:p>
        </w:tc>
        <w:tc>
          <w:tcPr>
            <w:tcW w:w="533" w:type="dxa"/>
            <w:tcBorders>
              <w:top w:val="single" w:sz="8" w:space="0" w:color="D9D9D9"/>
              <w:left w:val="single" w:sz="8" w:space="0" w:color="D9D9D9"/>
              <w:bottom w:val="dashed" w:sz="4" w:space="0" w:color="D9D9D9"/>
              <w:right w:val="single" w:sz="8" w:space="0" w:color="AEAEAE"/>
              <w:insideH w:val="dashed" w:sz="4" w:space="0" w:color="D9D9D9"/>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0.85</w:t>
            </w:r>
          </w:p>
        </w:tc>
      </w:tr>
      <w:tr>
        <w:trPr>
          <w:trHeight w:val="271" w:hRule="atLeast"/>
          <w:cantSplit w:val="true"/>
        </w:trPr>
        <w:tc>
          <w:tcPr>
            <w:tcW w:w="1806" w:type="dxa"/>
            <w:vMerge w:val="continue"/>
            <w:tcBorders>
              <w:top w:val="single" w:sz="8" w:space="0" w:color="AEAEAE"/>
              <w:left w:val="single" w:sz="8" w:space="0" w:color="AEAEAE"/>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999" w:type="dxa"/>
            <w:tcBorders>
              <w:top w:val="dashed" w:sz="4" w:space="0" w:color="D9D9D9"/>
              <w:left w:val="single" w:sz="8" w:space="0" w:color="E0E0E0"/>
              <w:bottom w:val="single" w:sz="8" w:space="0" w:color="AEAEAE"/>
              <w:right w:val="single" w:sz="8" w:space="0" w:color="D9D9D9"/>
              <w:insideH w:val="single" w:sz="8" w:space="0" w:color="AEAEAE"/>
              <w:insideV w:val="single" w:sz="8" w:space="0" w:color="D9D9D9"/>
            </w:tcBorders>
            <w:shd w:color="auto" w:fill="FFFFFF" w:val="clear"/>
            <w:tcMar>
              <w:left w:w="-10" w:type="dxa"/>
            </w:tcMar>
            <w:vAlign w:val="center"/>
          </w:tcPr>
          <w:p>
            <w:pPr>
              <w:pStyle w:val="NormalTabla"/>
              <w:jc w:val="center"/>
              <w:rPr>
                <w:color w:val="264A60"/>
                <w:sz w:val="18"/>
                <w:szCs w:val="18"/>
                <w:lang w:eastAsia="en-US"/>
              </w:rPr>
            </w:pPr>
            <w:r>
              <w:rPr>
                <w:color w:val="264A60"/>
                <w:sz w:val="18"/>
                <w:szCs w:val="18"/>
                <w:lang w:eastAsia="en-US"/>
              </w:rPr>
              <w:t>StdDev</w:t>
            </w:r>
          </w:p>
        </w:tc>
        <w:tc>
          <w:tcPr>
            <w:tcW w:w="554" w:type="dxa"/>
            <w:tcBorders>
              <w:top w:val="dashed" w:sz="4" w:space="0" w:color="D9D9D9"/>
              <w:left w:val="single" w:sz="8" w:space="0" w:color="D9D9D9"/>
              <w:bottom w:val="single" w:sz="8" w:space="0" w:color="AEAEAE"/>
              <w:right w:val="single" w:sz="8" w:space="0" w:color="D9D9D9"/>
              <w:insideH w:val="single" w:sz="8" w:space="0" w:color="AEAEAE"/>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0.41</w:t>
            </w:r>
          </w:p>
        </w:tc>
        <w:tc>
          <w:tcPr>
            <w:tcW w:w="553" w:type="dxa"/>
            <w:tcBorders>
              <w:top w:val="dashed" w:sz="4" w:space="0" w:color="D9D9D9"/>
              <w:left w:val="single" w:sz="8" w:space="0" w:color="D9D9D9"/>
              <w:bottom w:val="single" w:sz="8" w:space="0" w:color="AEAEAE"/>
              <w:right w:val="single" w:sz="8" w:space="0" w:color="D9D9D9"/>
              <w:insideH w:val="single" w:sz="8" w:space="0" w:color="AEAEAE"/>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0.11</w:t>
            </w:r>
          </w:p>
        </w:tc>
        <w:tc>
          <w:tcPr>
            <w:tcW w:w="556" w:type="dxa"/>
            <w:tcBorders>
              <w:top w:val="dashed" w:sz="4" w:space="0" w:color="D9D9D9"/>
              <w:left w:val="single" w:sz="8" w:space="0" w:color="D9D9D9"/>
              <w:bottom w:val="single" w:sz="8" w:space="0" w:color="AEAEAE"/>
              <w:right w:val="single" w:sz="8" w:space="0" w:color="D9D9D9"/>
              <w:insideH w:val="single" w:sz="8" w:space="0" w:color="AEAEAE"/>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0.14</w:t>
            </w:r>
          </w:p>
        </w:tc>
        <w:tc>
          <w:tcPr>
            <w:tcW w:w="556" w:type="dxa"/>
            <w:tcBorders>
              <w:top w:val="dashed" w:sz="4" w:space="0" w:color="D9D9D9"/>
              <w:left w:val="single" w:sz="8" w:space="0" w:color="D9D9D9"/>
              <w:bottom w:val="single" w:sz="8" w:space="0" w:color="AEAEAE"/>
              <w:right w:val="single" w:sz="8" w:space="0" w:color="D9D9D9"/>
              <w:insideH w:val="single" w:sz="8" w:space="0" w:color="AEAEAE"/>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0.18</w:t>
            </w:r>
          </w:p>
        </w:tc>
        <w:tc>
          <w:tcPr>
            <w:tcW w:w="561" w:type="dxa"/>
            <w:tcBorders>
              <w:top w:val="dashed" w:sz="4" w:space="0" w:color="D9D9D9"/>
              <w:left w:val="single" w:sz="8" w:space="0" w:color="D9D9D9"/>
              <w:bottom w:val="single" w:sz="8" w:space="0" w:color="AEAEAE"/>
              <w:right w:val="single" w:sz="8" w:space="0" w:color="D9D9D9"/>
              <w:insideH w:val="single" w:sz="8" w:space="0" w:color="AEAEAE"/>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0.20</w:t>
            </w:r>
          </w:p>
        </w:tc>
        <w:tc>
          <w:tcPr>
            <w:tcW w:w="561" w:type="dxa"/>
            <w:tcBorders>
              <w:top w:val="dashed" w:sz="4" w:space="0" w:color="D9D9D9"/>
              <w:left w:val="single" w:sz="8" w:space="0" w:color="D9D9D9"/>
              <w:bottom w:val="single" w:sz="8" w:space="0" w:color="AEAEAE"/>
              <w:right w:val="single" w:sz="8" w:space="0" w:color="D9D9D9"/>
              <w:insideH w:val="single" w:sz="8" w:space="0" w:color="AEAEAE"/>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0.09</w:t>
            </w:r>
          </w:p>
        </w:tc>
        <w:tc>
          <w:tcPr>
            <w:tcW w:w="560" w:type="dxa"/>
            <w:tcBorders>
              <w:top w:val="dashed" w:sz="4" w:space="0" w:color="D9D9D9"/>
              <w:left w:val="single" w:sz="8" w:space="0" w:color="D9D9D9"/>
              <w:bottom w:val="single" w:sz="8" w:space="0" w:color="AEAEAE"/>
              <w:right w:val="single" w:sz="8" w:space="0" w:color="D9D9D9"/>
              <w:insideH w:val="single" w:sz="8" w:space="0" w:color="AEAEAE"/>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0.08</w:t>
            </w:r>
          </w:p>
        </w:tc>
        <w:tc>
          <w:tcPr>
            <w:tcW w:w="554" w:type="dxa"/>
            <w:tcBorders>
              <w:top w:val="dashed" w:sz="4" w:space="0" w:color="D9D9D9"/>
              <w:left w:val="single" w:sz="8" w:space="0" w:color="D9D9D9"/>
              <w:bottom w:val="single" w:sz="8" w:space="0" w:color="AEAEAE"/>
              <w:right w:val="single" w:sz="8" w:space="0" w:color="D9D9D9"/>
              <w:insideH w:val="single" w:sz="8" w:space="0" w:color="AEAEAE"/>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0.17</w:t>
            </w:r>
          </w:p>
        </w:tc>
        <w:tc>
          <w:tcPr>
            <w:tcW w:w="556" w:type="dxa"/>
            <w:tcBorders>
              <w:top w:val="dashed" w:sz="4" w:space="0" w:color="D9D9D9"/>
              <w:left w:val="single" w:sz="8" w:space="0" w:color="D9D9D9"/>
              <w:bottom w:val="single" w:sz="8" w:space="0" w:color="AEAEAE"/>
              <w:right w:val="single" w:sz="8" w:space="0" w:color="D9D9D9"/>
              <w:insideH w:val="single" w:sz="8" w:space="0" w:color="AEAEAE"/>
              <w:insideV w:val="single" w:sz="8" w:space="0" w:color="D9D9D9"/>
            </w:tcBorders>
            <w:shd w:color="auto" w:fill="auto" w:val="clear"/>
            <w:tcMar>
              <w:left w:w="-10" w:type="dxa"/>
            </w:tcMar>
            <w:vAlign w:val="bottom"/>
          </w:tcPr>
          <w:p>
            <w:pPr>
              <w:pStyle w:val="Normal"/>
              <w:spacing w:lineRule="auto" w:line="240" w:before="0" w:after="0"/>
              <w:jc w:val="center"/>
              <w:rPr>
                <w:sz w:val="18"/>
                <w:szCs w:val="18"/>
              </w:rPr>
            </w:pPr>
            <w:r>
              <w:rPr>
                <w:sz w:val="18"/>
                <w:szCs w:val="18"/>
              </w:rPr>
              <w:t>0.15</w:t>
            </w:r>
          </w:p>
        </w:tc>
        <w:tc>
          <w:tcPr>
            <w:tcW w:w="533" w:type="dxa"/>
            <w:tcBorders>
              <w:top w:val="dashed" w:sz="4" w:space="0" w:color="D9D9D9"/>
              <w:left w:val="single" w:sz="8" w:space="0" w:color="D9D9D9"/>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0.20</w:t>
            </w:r>
          </w:p>
        </w:tc>
      </w:tr>
      <w:tr>
        <w:trPr>
          <w:trHeight w:val="271" w:hRule="atLeast"/>
          <w:cantSplit w:val="true"/>
        </w:trPr>
        <w:tc>
          <w:tcPr>
            <w:tcW w:w="1806"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ACO_LDS</w:t>
            </w:r>
          </w:p>
        </w:tc>
        <w:tc>
          <w:tcPr>
            <w:tcW w:w="999"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5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0.10</w:t>
            </w:r>
          </w:p>
        </w:tc>
        <w:tc>
          <w:tcPr>
            <w:tcW w:w="553"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0.17</w:t>
            </w:r>
          </w:p>
        </w:tc>
        <w:tc>
          <w:tcPr>
            <w:tcW w:w="556"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0.17</w:t>
            </w:r>
          </w:p>
        </w:tc>
        <w:tc>
          <w:tcPr>
            <w:tcW w:w="556"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0.38</w:t>
            </w:r>
          </w:p>
        </w:tc>
        <w:tc>
          <w:tcPr>
            <w:tcW w:w="56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0.14</w:t>
            </w:r>
          </w:p>
        </w:tc>
        <w:tc>
          <w:tcPr>
            <w:tcW w:w="56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0.15</w:t>
            </w:r>
          </w:p>
        </w:tc>
        <w:tc>
          <w:tcPr>
            <w:tcW w:w="56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0.19</w:t>
            </w:r>
          </w:p>
        </w:tc>
        <w:tc>
          <w:tcPr>
            <w:tcW w:w="55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0.01</w:t>
            </w:r>
          </w:p>
        </w:tc>
        <w:tc>
          <w:tcPr>
            <w:tcW w:w="556"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0.10</w:t>
            </w:r>
          </w:p>
        </w:tc>
        <w:tc>
          <w:tcPr>
            <w:tcW w:w="533"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trHeight w:val="271" w:hRule="atLeast"/>
          <w:cantSplit w:val="true"/>
        </w:trPr>
        <w:tc>
          <w:tcPr>
            <w:tcW w:w="1806"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999"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Tabla"/>
              <w:jc w:val="center"/>
              <w:rPr>
                <w:color w:val="264A60"/>
                <w:sz w:val="18"/>
                <w:szCs w:val="18"/>
                <w:lang w:eastAsia="en-US"/>
              </w:rPr>
            </w:pPr>
            <w:r>
              <w:rPr>
                <w:color w:val="264A60"/>
                <w:sz w:val="18"/>
                <w:szCs w:val="18"/>
                <w:lang w:eastAsia="en-US"/>
              </w:rPr>
              <w:t>StdDev</w:t>
            </w:r>
          </w:p>
        </w:tc>
        <w:tc>
          <w:tcPr>
            <w:tcW w:w="55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0.28</w:t>
            </w:r>
          </w:p>
        </w:tc>
        <w:tc>
          <w:tcPr>
            <w:tcW w:w="553"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0.37</w:t>
            </w:r>
          </w:p>
        </w:tc>
        <w:tc>
          <w:tcPr>
            <w:tcW w:w="556"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0.37</w:t>
            </w:r>
          </w:p>
        </w:tc>
        <w:tc>
          <w:tcPr>
            <w:tcW w:w="556"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0.13</w:t>
            </w:r>
          </w:p>
        </w:tc>
        <w:tc>
          <w:tcPr>
            <w:tcW w:w="56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0.34</w:t>
            </w:r>
          </w:p>
        </w:tc>
        <w:tc>
          <w:tcPr>
            <w:tcW w:w="56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0.21</w:t>
            </w:r>
          </w:p>
        </w:tc>
        <w:tc>
          <w:tcPr>
            <w:tcW w:w="56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0.25</w:t>
            </w:r>
          </w:p>
        </w:tc>
        <w:tc>
          <w:tcPr>
            <w:tcW w:w="55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0.01</w:t>
            </w:r>
          </w:p>
        </w:tc>
        <w:tc>
          <w:tcPr>
            <w:tcW w:w="556"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0.18</w:t>
            </w:r>
          </w:p>
        </w:tc>
        <w:tc>
          <w:tcPr>
            <w:tcW w:w="533"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trHeight w:val="271" w:hRule="atLeast"/>
          <w:cantSplit w:val="true"/>
        </w:trPr>
        <w:tc>
          <w:tcPr>
            <w:tcW w:w="1806"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 w:val="18"/>
                <w:szCs w:val="18"/>
                <w:lang w:eastAsia="en-US"/>
              </w:rPr>
            </w:pPr>
            <w:r>
              <w:rPr>
                <w:color w:val="264A60"/>
                <w:sz w:val="18"/>
                <w:szCs w:val="18"/>
                <w:lang w:eastAsia="en-US"/>
              </w:rPr>
              <w:t>GA_LDS</w:t>
            </w:r>
          </w:p>
        </w:tc>
        <w:tc>
          <w:tcPr>
            <w:tcW w:w="999"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5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0.99</w:t>
            </w:r>
          </w:p>
        </w:tc>
        <w:tc>
          <w:tcPr>
            <w:tcW w:w="553"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1.00</w:t>
            </w:r>
          </w:p>
        </w:tc>
        <w:tc>
          <w:tcPr>
            <w:tcW w:w="556"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c>
          <w:tcPr>
            <w:tcW w:w="556"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6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6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0.99</w:t>
            </w:r>
          </w:p>
        </w:tc>
        <w:tc>
          <w:tcPr>
            <w:tcW w:w="56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0.03</w:t>
            </w:r>
          </w:p>
        </w:tc>
        <w:tc>
          <w:tcPr>
            <w:tcW w:w="55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0.03</w:t>
            </w:r>
          </w:p>
        </w:tc>
        <w:tc>
          <w:tcPr>
            <w:tcW w:w="556"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0.96</w:t>
            </w:r>
          </w:p>
        </w:tc>
        <w:tc>
          <w:tcPr>
            <w:tcW w:w="533"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trHeight w:val="271" w:hRule="atLeast"/>
          <w:cantSplit w:val="true"/>
        </w:trPr>
        <w:tc>
          <w:tcPr>
            <w:tcW w:w="1806"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 w:val="18"/>
                <w:szCs w:val="18"/>
                <w:lang w:eastAsia="en-US"/>
              </w:rPr>
            </w:pPr>
            <w:r>
              <w:rPr>
                <w:color w:val="264A60"/>
                <w:sz w:val="18"/>
                <w:szCs w:val="18"/>
                <w:lang w:eastAsia="en-US"/>
              </w:rPr>
            </w:r>
          </w:p>
        </w:tc>
        <w:tc>
          <w:tcPr>
            <w:tcW w:w="999"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Tabla"/>
              <w:jc w:val="center"/>
              <w:rPr>
                <w:color w:val="264A60"/>
                <w:sz w:val="18"/>
                <w:szCs w:val="18"/>
                <w:lang w:eastAsia="en-US"/>
              </w:rPr>
            </w:pPr>
            <w:r>
              <w:rPr>
                <w:color w:val="264A60"/>
                <w:sz w:val="18"/>
                <w:szCs w:val="18"/>
                <w:lang w:eastAsia="en-US"/>
              </w:rPr>
              <w:t>StdDev</w:t>
            </w:r>
          </w:p>
        </w:tc>
        <w:tc>
          <w:tcPr>
            <w:tcW w:w="55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53"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0.01</w:t>
            </w:r>
          </w:p>
        </w:tc>
        <w:tc>
          <w:tcPr>
            <w:tcW w:w="556"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0.04</w:t>
            </w:r>
          </w:p>
        </w:tc>
        <w:tc>
          <w:tcPr>
            <w:tcW w:w="556"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6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6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6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0.01</w:t>
            </w:r>
          </w:p>
        </w:tc>
        <w:tc>
          <w:tcPr>
            <w:tcW w:w="55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0.04</w:t>
            </w:r>
          </w:p>
        </w:tc>
        <w:tc>
          <w:tcPr>
            <w:tcW w:w="556"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33"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trHeight w:val="271" w:hRule="atLeast"/>
          <w:cantSplit w:val="true"/>
        </w:trPr>
        <w:tc>
          <w:tcPr>
            <w:tcW w:w="1806"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 w:val="18"/>
                <w:szCs w:val="18"/>
                <w:lang w:eastAsia="en-US"/>
              </w:rPr>
            </w:pPr>
            <w:r>
              <w:rPr>
                <w:color w:val="264A60"/>
                <w:sz w:val="18"/>
                <w:szCs w:val="18"/>
                <w:lang w:eastAsia="en-US"/>
              </w:rPr>
              <w:t>PCA_LDS</w:t>
            </w:r>
          </w:p>
        </w:tc>
        <w:tc>
          <w:tcPr>
            <w:tcW w:w="999"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5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0.40</w:t>
            </w:r>
          </w:p>
        </w:tc>
        <w:tc>
          <w:tcPr>
            <w:tcW w:w="553"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0.95</w:t>
            </w:r>
          </w:p>
        </w:tc>
        <w:tc>
          <w:tcPr>
            <w:tcW w:w="556"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0.17</w:t>
            </w:r>
          </w:p>
        </w:tc>
        <w:tc>
          <w:tcPr>
            <w:tcW w:w="556"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0.33</w:t>
            </w:r>
          </w:p>
        </w:tc>
        <w:tc>
          <w:tcPr>
            <w:tcW w:w="56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0.87</w:t>
            </w:r>
          </w:p>
        </w:tc>
        <w:tc>
          <w:tcPr>
            <w:tcW w:w="56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0.88</w:t>
            </w:r>
          </w:p>
        </w:tc>
        <w:tc>
          <w:tcPr>
            <w:tcW w:w="56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0.13</w:t>
            </w:r>
          </w:p>
        </w:tc>
        <w:tc>
          <w:tcPr>
            <w:tcW w:w="55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0.89</w:t>
            </w:r>
          </w:p>
        </w:tc>
        <w:tc>
          <w:tcPr>
            <w:tcW w:w="556"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0.80</w:t>
            </w:r>
          </w:p>
        </w:tc>
        <w:tc>
          <w:tcPr>
            <w:tcW w:w="533"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0.85</w:t>
            </w:r>
          </w:p>
        </w:tc>
      </w:tr>
      <w:tr>
        <w:trPr>
          <w:trHeight w:val="247" w:hRule="atLeast"/>
          <w:cantSplit w:val="true"/>
        </w:trPr>
        <w:tc>
          <w:tcPr>
            <w:tcW w:w="1806" w:type="dxa"/>
            <w:vMerge w:val="continue"/>
            <w:tcBorders>
              <w:top w:val="single" w:sz="8" w:space="0" w:color="000001"/>
              <w:left w:val="single" w:sz="8" w:space="0" w:color="E0E0E0"/>
              <w:bottom w:val="single" w:sz="4" w:space="0" w:color="00000A"/>
              <w:right w:val="single" w:sz="8" w:space="0" w:color="E0E0E0"/>
              <w:insideH w:val="single" w:sz="4" w:space="0" w:color="00000A"/>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999" w:type="dxa"/>
            <w:tcBorders>
              <w:top w:val="dashed" w:sz="4" w:space="0" w:color="E0E0E0"/>
              <w:left w:val="single" w:sz="8" w:space="0" w:color="E0E0E0"/>
              <w:bottom w:val="single" w:sz="4" w:space="0" w:color="00000A"/>
              <w:right w:val="single" w:sz="8" w:space="0" w:color="E0E0E0"/>
              <w:insideH w:val="single" w:sz="4" w:space="0" w:color="00000A"/>
              <w:insideV w:val="single" w:sz="8" w:space="0" w:color="E0E0E0"/>
            </w:tcBorders>
            <w:shd w:color="auto" w:fill="FFFFFF" w:val="clear"/>
            <w:tcMar>
              <w:left w:w="-10" w:type="dxa"/>
            </w:tcMar>
            <w:vAlign w:val="center"/>
          </w:tcPr>
          <w:p>
            <w:pPr>
              <w:pStyle w:val="NormalTabla"/>
              <w:jc w:val="center"/>
              <w:rPr>
                <w:color w:val="264A60"/>
                <w:sz w:val="18"/>
                <w:szCs w:val="18"/>
                <w:lang w:eastAsia="en-US"/>
              </w:rPr>
            </w:pPr>
            <w:r>
              <w:rPr>
                <w:color w:val="264A60"/>
                <w:sz w:val="18"/>
                <w:szCs w:val="18"/>
                <w:lang w:eastAsia="en-US"/>
              </w:rPr>
              <w:t>StdDev</w:t>
            </w:r>
          </w:p>
        </w:tc>
        <w:tc>
          <w:tcPr>
            <w:tcW w:w="554" w:type="dxa"/>
            <w:tcBorders>
              <w:top w:val="dashed" w:sz="4" w:space="0" w:color="E0E0E0"/>
              <w:left w:val="single" w:sz="8" w:space="0" w:color="E0E0E0"/>
              <w:bottom w:val="single" w:sz="4" w:space="0" w:color="00000A"/>
              <w:right w:val="single" w:sz="8" w:space="0" w:color="E0E0E0"/>
              <w:insideH w:val="single" w:sz="4" w:space="0" w:color="00000A"/>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0.41</w:t>
            </w:r>
          </w:p>
        </w:tc>
        <w:tc>
          <w:tcPr>
            <w:tcW w:w="553" w:type="dxa"/>
            <w:tcBorders>
              <w:top w:val="dashed" w:sz="4" w:space="0" w:color="E0E0E0"/>
              <w:left w:val="single" w:sz="8" w:space="0" w:color="E0E0E0"/>
              <w:bottom w:val="single" w:sz="4" w:space="0" w:color="00000A"/>
              <w:right w:val="single" w:sz="8" w:space="0" w:color="E0E0E0"/>
              <w:insideH w:val="single" w:sz="4" w:space="0" w:color="00000A"/>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0.11</w:t>
            </w:r>
          </w:p>
        </w:tc>
        <w:tc>
          <w:tcPr>
            <w:tcW w:w="556" w:type="dxa"/>
            <w:tcBorders>
              <w:top w:val="dashed" w:sz="4" w:space="0" w:color="E0E0E0"/>
              <w:left w:val="single" w:sz="8" w:space="0" w:color="E0E0E0"/>
              <w:bottom w:val="single" w:sz="4" w:space="0" w:color="00000A"/>
              <w:right w:val="single" w:sz="8" w:space="0" w:color="E0E0E0"/>
              <w:insideH w:val="single" w:sz="4" w:space="0" w:color="00000A"/>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0.14</w:t>
            </w:r>
          </w:p>
        </w:tc>
        <w:tc>
          <w:tcPr>
            <w:tcW w:w="556" w:type="dxa"/>
            <w:tcBorders>
              <w:top w:val="dashed" w:sz="4" w:space="0" w:color="E0E0E0"/>
              <w:left w:val="single" w:sz="8" w:space="0" w:color="E0E0E0"/>
              <w:bottom w:val="single" w:sz="4" w:space="0" w:color="00000A"/>
              <w:right w:val="single" w:sz="8" w:space="0" w:color="E0E0E0"/>
              <w:insideH w:val="single" w:sz="4" w:space="0" w:color="00000A"/>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0.18</w:t>
            </w:r>
          </w:p>
        </w:tc>
        <w:tc>
          <w:tcPr>
            <w:tcW w:w="561" w:type="dxa"/>
            <w:tcBorders>
              <w:top w:val="dashed" w:sz="4" w:space="0" w:color="E0E0E0"/>
              <w:left w:val="single" w:sz="8" w:space="0" w:color="E0E0E0"/>
              <w:bottom w:val="single" w:sz="4" w:space="0" w:color="00000A"/>
              <w:right w:val="single" w:sz="8" w:space="0" w:color="E0E0E0"/>
              <w:insideH w:val="single" w:sz="4" w:space="0" w:color="00000A"/>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0.20</w:t>
            </w:r>
          </w:p>
        </w:tc>
        <w:tc>
          <w:tcPr>
            <w:tcW w:w="561" w:type="dxa"/>
            <w:tcBorders>
              <w:top w:val="dashed" w:sz="4" w:space="0" w:color="E0E0E0"/>
              <w:left w:val="single" w:sz="8" w:space="0" w:color="E0E0E0"/>
              <w:bottom w:val="single" w:sz="4" w:space="0" w:color="00000A"/>
              <w:right w:val="single" w:sz="8" w:space="0" w:color="E0E0E0"/>
              <w:insideH w:val="single" w:sz="4" w:space="0" w:color="00000A"/>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0.09</w:t>
            </w:r>
          </w:p>
        </w:tc>
        <w:tc>
          <w:tcPr>
            <w:tcW w:w="560" w:type="dxa"/>
            <w:tcBorders>
              <w:top w:val="dashed" w:sz="4" w:space="0" w:color="E0E0E0"/>
              <w:left w:val="single" w:sz="8" w:space="0" w:color="E0E0E0"/>
              <w:bottom w:val="single" w:sz="4" w:space="0" w:color="00000A"/>
              <w:right w:val="single" w:sz="8" w:space="0" w:color="E0E0E0"/>
              <w:insideH w:val="single" w:sz="4" w:space="0" w:color="00000A"/>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0.09</w:t>
            </w:r>
          </w:p>
        </w:tc>
        <w:tc>
          <w:tcPr>
            <w:tcW w:w="554" w:type="dxa"/>
            <w:tcBorders>
              <w:top w:val="dashed" w:sz="4" w:space="0" w:color="E0E0E0"/>
              <w:left w:val="single" w:sz="8" w:space="0" w:color="E0E0E0"/>
              <w:bottom w:val="single" w:sz="4" w:space="0" w:color="00000A"/>
              <w:right w:val="single" w:sz="8" w:space="0" w:color="E0E0E0"/>
              <w:insideH w:val="single" w:sz="4" w:space="0" w:color="00000A"/>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0.16</w:t>
            </w:r>
          </w:p>
        </w:tc>
        <w:tc>
          <w:tcPr>
            <w:tcW w:w="556" w:type="dxa"/>
            <w:tcBorders>
              <w:top w:val="dashed" w:sz="4" w:space="0" w:color="E0E0E0"/>
              <w:left w:val="single" w:sz="8" w:space="0" w:color="E0E0E0"/>
              <w:bottom w:val="single" w:sz="4" w:space="0" w:color="00000A"/>
              <w:right w:val="single" w:sz="8" w:space="0" w:color="E0E0E0"/>
              <w:insideH w:val="single" w:sz="4" w:space="0" w:color="00000A"/>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0.14</w:t>
            </w:r>
          </w:p>
        </w:tc>
        <w:tc>
          <w:tcPr>
            <w:tcW w:w="533" w:type="dxa"/>
            <w:tcBorders>
              <w:top w:val="dashed" w:sz="4" w:space="0" w:color="E0E0E0"/>
              <w:left w:val="single" w:sz="8" w:space="0" w:color="E0E0E0"/>
              <w:bottom w:val="single" w:sz="4" w:space="0" w:color="00000A"/>
              <w:right w:val="single" w:sz="8" w:space="0" w:color="AEAEAE"/>
              <w:insideH w:val="single" w:sz="4" w:space="0" w:color="00000A"/>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0.20</w:t>
            </w:r>
          </w:p>
        </w:tc>
      </w:tr>
    </w:tbl>
    <w:p>
      <w:pPr>
        <w:pStyle w:val="Normal"/>
        <w:rPr/>
      </w:pPr>
      <w:r>
        <w:rPr/>
      </w:r>
    </w:p>
    <w:p>
      <w:pPr>
        <w:pStyle w:val="Caption1"/>
        <w:keepNext/>
        <w:rPr/>
      </w:pPr>
      <w:bookmarkStart w:id="3831" w:name="_Toc84599002"/>
      <w:bookmarkStart w:id="3832" w:name="_Ref68937396"/>
      <w:r>
        <w:rPr/>
        <w:t xml:space="preserve">Tabla </w:t>
      </w:r>
      <w:r>
        <w:rPr/>
        <w:fldChar w:fldCharType="begin"/>
      </w:r>
      <w:r>
        <w:instrText> SEQ Tabla \* ARABIC </w:instrText>
      </w:r>
      <w:r>
        <w:fldChar w:fldCharType="separate"/>
      </w:r>
      <w:r>
        <w:t>32</w:t>
      </w:r>
      <w:r>
        <w:fldChar w:fldCharType="end"/>
      </w:r>
      <w:bookmarkEnd w:id="3831"/>
      <w:bookmarkEnd w:id="3832"/>
      <w:r>
        <w:rPr/>
        <w:t>: Resultado de los algoritmos respecto a la media y desviación estándar de los indicadores en las bases de datos médicas.</w:t>
      </w:r>
    </w:p>
    <w:tbl>
      <w:tblPr>
        <w:tblW w:w="4650" w:type="pct"/>
        <w:jc w:val="center"/>
        <w:tblInd w:w="0" w:type="dxa"/>
        <w:tblBorders>
          <w:top w:val="single" w:sz="8" w:space="0" w:color="A6A6A6"/>
          <w:left w:val="single" w:sz="8" w:space="0" w:color="AEAEAE"/>
          <w:bottom w:val="single" w:sz="8" w:space="0" w:color="AEAEAE"/>
          <w:right w:val="single" w:sz="8" w:space="0" w:color="E0E0E0"/>
          <w:insideH w:val="single" w:sz="8" w:space="0" w:color="AEAEAE"/>
          <w:insideV w:val="single" w:sz="8" w:space="0" w:color="E0E0E0"/>
        </w:tblBorders>
        <w:tblCellMar>
          <w:top w:w="0" w:type="dxa"/>
          <w:left w:w="-10" w:type="dxa"/>
          <w:bottom w:w="0" w:type="dxa"/>
          <w:right w:w="0" w:type="dxa"/>
        </w:tblCellMar>
        <w:tblLook w:val="0000" w:noVBand="0" w:noHBand="0" w:lastColumn="0" w:firstColumn="0" w:lastRow="0" w:firstRow="0"/>
      </w:tblPr>
      <w:tblGrid>
        <w:gridCol w:w="1665"/>
        <w:gridCol w:w="1037"/>
        <w:gridCol w:w="571"/>
        <w:gridCol w:w="570"/>
        <w:gridCol w:w="574"/>
        <w:gridCol w:w="575"/>
        <w:gridCol w:w="572"/>
        <w:gridCol w:w="574"/>
        <w:gridCol w:w="572"/>
        <w:gridCol w:w="572"/>
        <w:gridCol w:w="573"/>
        <w:gridCol w:w="494"/>
      </w:tblGrid>
      <w:tr>
        <w:trPr>
          <w:cantSplit w:val="true"/>
        </w:trPr>
        <w:tc>
          <w:tcPr>
            <w:tcW w:w="2702" w:type="dxa"/>
            <w:gridSpan w:val="2"/>
            <w:tcBorders>
              <w:top w:val="single" w:sz="8" w:space="0" w:color="A6A6A6"/>
              <w:left w:val="single" w:sz="8" w:space="0" w:color="AEAEAE"/>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Tabla"/>
              <w:spacing w:before="60" w:after="20"/>
              <w:jc w:val="center"/>
              <w:rPr>
                <w:b/>
                <w:b/>
                <w:color w:val="264A60"/>
                <w:szCs w:val="18"/>
                <w:lang w:eastAsia="en-US"/>
              </w:rPr>
            </w:pPr>
            <w:r>
              <w:rPr>
                <w:b/>
              </w:rPr>
              <w:t>Media y StdDev</w:t>
            </w:r>
          </w:p>
        </w:tc>
        <w:tc>
          <w:tcPr>
            <w:tcW w:w="571" w:type="dxa"/>
            <w:tcBorders>
              <w:top w:val="single" w:sz="8" w:space="0" w:color="A6A6A6"/>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tcPr>
          <w:p>
            <w:pPr>
              <w:pStyle w:val="Normal"/>
              <w:suppressAutoHyphens w:val="false"/>
              <w:overflowPunct w:val="true"/>
              <w:spacing w:lineRule="auto" w:line="240" w:before="80" w:after="20"/>
              <w:ind w:left="60" w:right="60" w:hanging="0"/>
              <w:jc w:val="center"/>
              <w:textAlignment w:val="auto"/>
              <w:rPr>
                <w:i/>
                <w:i/>
              </w:rPr>
            </w:pPr>
            <w:r>
              <w:rPr>
                <w:i/>
              </w:rPr>
              <w:t>T</w:t>
            </w:r>
            <w:r>
              <w:rPr>
                <w:i/>
                <w:vertAlign w:val="subscript"/>
              </w:rPr>
              <w:t>1</w:t>
            </w:r>
          </w:p>
        </w:tc>
        <w:tc>
          <w:tcPr>
            <w:tcW w:w="570" w:type="dxa"/>
            <w:tcBorders>
              <w:top w:val="single" w:sz="8" w:space="0" w:color="A6A6A6"/>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vAlign w:val="center"/>
          </w:tcPr>
          <w:p>
            <w:pPr>
              <w:pStyle w:val="Normal"/>
              <w:spacing w:lineRule="auto" w:line="240" w:before="80" w:after="20"/>
              <w:jc w:val="center"/>
              <w:rPr>
                <w:i/>
                <w:i/>
              </w:rPr>
            </w:pPr>
            <w:r>
              <w:rPr>
                <w:i/>
              </w:rPr>
              <w:t>T</w:t>
            </w:r>
            <w:r>
              <w:rPr>
                <w:i/>
                <w:vertAlign w:val="subscript"/>
              </w:rPr>
              <w:t>3</w:t>
            </w:r>
          </w:p>
        </w:tc>
        <w:tc>
          <w:tcPr>
            <w:tcW w:w="574" w:type="dxa"/>
            <w:tcBorders>
              <w:top w:val="single" w:sz="8" w:space="0" w:color="A6A6A6"/>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vAlign w:val="center"/>
          </w:tcPr>
          <w:p>
            <w:pPr>
              <w:pStyle w:val="Normal"/>
              <w:spacing w:lineRule="auto" w:line="240" w:before="80" w:after="20"/>
              <w:jc w:val="center"/>
              <w:rPr>
                <w:i/>
                <w:i/>
              </w:rPr>
            </w:pPr>
            <w:r>
              <w:rPr>
                <w:i/>
              </w:rPr>
              <w:t>T</w:t>
            </w:r>
            <w:r>
              <w:rPr>
                <w:i/>
                <w:vertAlign w:val="subscript"/>
              </w:rPr>
              <w:t>4</w:t>
            </w:r>
          </w:p>
        </w:tc>
        <w:tc>
          <w:tcPr>
            <w:tcW w:w="575" w:type="dxa"/>
            <w:tcBorders>
              <w:top w:val="single" w:sz="8" w:space="0" w:color="A6A6A6"/>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vAlign w:val="center"/>
          </w:tcPr>
          <w:p>
            <w:pPr>
              <w:pStyle w:val="Normal"/>
              <w:spacing w:lineRule="auto" w:line="240" w:before="80" w:after="20"/>
              <w:jc w:val="center"/>
              <w:rPr>
                <w:i/>
                <w:i/>
              </w:rPr>
            </w:pPr>
            <w:r>
              <w:rPr>
                <w:i/>
              </w:rPr>
              <w:t>T</w:t>
            </w:r>
            <w:r>
              <w:rPr>
                <w:i/>
                <w:vertAlign w:val="subscript"/>
              </w:rPr>
              <w:t>5</w:t>
            </w:r>
          </w:p>
        </w:tc>
        <w:tc>
          <w:tcPr>
            <w:tcW w:w="572" w:type="dxa"/>
            <w:tcBorders>
              <w:top w:val="single" w:sz="8" w:space="0" w:color="A6A6A6"/>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vAlign w:val="center"/>
          </w:tcPr>
          <w:p>
            <w:pPr>
              <w:pStyle w:val="Normal"/>
              <w:spacing w:lineRule="auto" w:line="240" w:before="80" w:after="20"/>
              <w:jc w:val="center"/>
              <w:rPr>
                <w:i/>
                <w:i/>
              </w:rPr>
            </w:pPr>
            <w:r>
              <w:rPr>
                <w:i/>
              </w:rPr>
              <w:t>Te</w:t>
            </w:r>
            <w:r>
              <w:rPr>
                <w:i/>
                <w:vertAlign w:val="subscript"/>
              </w:rPr>
              <w:t>1a</w:t>
            </w:r>
          </w:p>
        </w:tc>
        <w:tc>
          <w:tcPr>
            <w:tcW w:w="574" w:type="dxa"/>
            <w:tcBorders>
              <w:top w:val="single" w:sz="8" w:space="0" w:color="A6A6A6"/>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vAlign w:val="center"/>
          </w:tcPr>
          <w:p>
            <w:pPr>
              <w:pStyle w:val="Normal"/>
              <w:spacing w:lineRule="auto" w:line="240" w:before="80" w:after="20"/>
              <w:jc w:val="center"/>
              <w:rPr>
                <w:i/>
                <w:i/>
              </w:rPr>
            </w:pPr>
            <w:r>
              <w:rPr>
                <w:i/>
              </w:rPr>
              <w:t>Te</w:t>
            </w:r>
            <w:r>
              <w:rPr>
                <w:i/>
                <w:vertAlign w:val="subscript"/>
              </w:rPr>
              <w:t>1b</w:t>
            </w:r>
          </w:p>
        </w:tc>
        <w:tc>
          <w:tcPr>
            <w:tcW w:w="572" w:type="dxa"/>
            <w:tcBorders>
              <w:top w:val="single" w:sz="8" w:space="0" w:color="A6A6A6"/>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tcPr>
          <w:p>
            <w:pPr>
              <w:pStyle w:val="Normal"/>
              <w:spacing w:lineRule="auto" w:line="240" w:before="80" w:after="20"/>
              <w:jc w:val="center"/>
              <w:rPr>
                <w:i/>
                <w:i/>
                <w:vertAlign w:val="subscript"/>
              </w:rPr>
            </w:pPr>
            <w:r>
              <w:rPr>
                <w:i/>
              </w:rPr>
              <w:t>Te</w:t>
            </w:r>
            <w:r>
              <w:rPr>
                <w:i/>
                <w:vertAlign w:val="subscript"/>
              </w:rPr>
              <w:t>2a</w:t>
            </w:r>
          </w:p>
        </w:tc>
        <w:tc>
          <w:tcPr>
            <w:tcW w:w="572" w:type="dxa"/>
            <w:tcBorders>
              <w:top w:val="single" w:sz="8" w:space="0" w:color="A6A6A6"/>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vAlign w:val="center"/>
          </w:tcPr>
          <w:p>
            <w:pPr>
              <w:pStyle w:val="Normal"/>
              <w:spacing w:lineRule="auto" w:line="240" w:before="80" w:after="20"/>
              <w:jc w:val="center"/>
              <w:rPr>
                <w:i/>
                <w:i/>
              </w:rPr>
            </w:pPr>
            <w:r>
              <w:rPr>
                <w:i/>
              </w:rPr>
              <w:t>Te</w:t>
            </w:r>
            <w:r>
              <w:rPr>
                <w:i/>
                <w:vertAlign w:val="subscript"/>
              </w:rPr>
              <w:t>3</w:t>
            </w:r>
          </w:p>
        </w:tc>
        <w:tc>
          <w:tcPr>
            <w:tcW w:w="573" w:type="dxa"/>
            <w:tcBorders>
              <w:top w:val="single" w:sz="8" w:space="0" w:color="A6A6A6"/>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vAlign w:val="center"/>
          </w:tcPr>
          <w:p>
            <w:pPr>
              <w:pStyle w:val="Normal"/>
              <w:spacing w:lineRule="auto" w:line="240" w:before="80" w:after="20"/>
              <w:jc w:val="center"/>
              <w:rPr>
                <w:i/>
                <w:i/>
              </w:rPr>
            </w:pPr>
            <w:r>
              <w:rPr>
                <w:i/>
              </w:rPr>
              <w:t>Te</w:t>
            </w:r>
            <w:r>
              <w:rPr>
                <w:i/>
                <w:vertAlign w:val="subscript"/>
              </w:rPr>
              <w:t>4</w:t>
            </w:r>
          </w:p>
        </w:tc>
        <w:tc>
          <w:tcPr>
            <w:tcW w:w="494" w:type="dxa"/>
            <w:tcBorders>
              <w:top w:val="single" w:sz="8" w:space="0" w:color="A6A6A6"/>
              <w:left w:val="single" w:sz="8" w:space="0" w:color="E0E0E0"/>
              <w:bottom w:val="single" w:sz="8" w:space="0" w:color="152935"/>
              <w:right w:val="single" w:sz="8" w:space="0" w:color="AEAEAE"/>
              <w:insideH w:val="single" w:sz="8" w:space="0" w:color="152935"/>
              <w:insideV w:val="single" w:sz="8" w:space="0" w:color="AEAEAE"/>
            </w:tcBorders>
            <w:shd w:color="auto" w:fill="FFFFFF" w:val="clear"/>
            <w:tcMar>
              <w:left w:w="-10" w:type="dxa"/>
            </w:tcMar>
          </w:tcPr>
          <w:p>
            <w:pPr>
              <w:pStyle w:val="Normal"/>
              <w:spacing w:lineRule="auto" w:line="240" w:before="80" w:after="20"/>
              <w:jc w:val="center"/>
              <w:rPr>
                <w:i/>
                <w:i/>
              </w:rPr>
            </w:pPr>
            <w:r>
              <w:rPr>
                <w:i/>
              </w:rPr>
              <w:t>Te</w:t>
            </w:r>
            <w:r>
              <w:rPr>
                <w:i/>
                <w:vertAlign w:val="subscript"/>
              </w:rPr>
              <w:t>5</w:t>
            </w:r>
          </w:p>
        </w:tc>
      </w:tr>
      <w:tr>
        <w:trPr>
          <w:trHeight w:val="195" w:hRule="atLeast"/>
          <w:cantSplit w:val="true"/>
        </w:trPr>
        <w:tc>
          <w:tcPr>
            <w:tcW w:w="2702" w:type="dxa"/>
            <w:gridSpan w:val="2"/>
            <w:tcBorders>
              <w:top w:val="single" w:sz="8" w:space="0" w:color="152935"/>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jc w:val="center"/>
              <w:rPr>
                <w:color w:val="010205"/>
                <w:szCs w:val="18"/>
                <w:lang w:val="en-US" w:eastAsia="en-US"/>
              </w:rPr>
            </w:pPr>
            <w:r>
              <w:rPr>
                <w:b/>
                <w:color w:val="264A60"/>
                <w:szCs w:val="18"/>
                <w:lang w:val="en-US" w:eastAsia="en-US"/>
              </w:rPr>
              <w:t>BD_med_congenito</w:t>
            </w:r>
          </w:p>
        </w:tc>
        <w:tc>
          <w:tcPr>
            <w:tcW w:w="571" w:type="dxa"/>
            <w:tcBorders>
              <w:top w:val="single" w:sz="8" w:space="0" w:color="152935"/>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0" w:type="dxa"/>
            <w:tcBorders>
              <w:top w:val="single" w:sz="8" w:space="0" w:color="152935"/>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4" w:type="dxa"/>
            <w:tcBorders>
              <w:top w:val="single" w:sz="8" w:space="0" w:color="152935"/>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5" w:type="dxa"/>
            <w:tcBorders>
              <w:top w:val="single" w:sz="8" w:space="0" w:color="152935"/>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2" w:type="dxa"/>
            <w:tcBorders>
              <w:top w:val="single" w:sz="8" w:space="0" w:color="152935"/>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4" w:type="dxa"/>
            <w:tcBorders>
              <w:top w:val="single" w:sz="8" w:space="0" w:color="152935"/>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2" w:type="dxa"/>
            <w:tcBorders>
              <w:top w:val="single" w:sz="8" w:space="0" w:color="152935"/>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2" w:type="dxa"/>
            <w:tcBorders>
              <w:top w:val="single" w:sz="8" w:space="0" w:color="152935"/>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573" w:type="dxa"/>
            <w:tcBorders>
              <w:top w:val="single" w:sz="8" w:space="0" w:color="152935"/>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c>
          <w:tcPr>
            <w:tcW w:w="494" w:type="dxa"/>
            <w:tcBorders>
              <w:top w:val="single" w:sz="8" w:space="0" w:color="152935"/>
              <w:left w:val="single" w:sz="8" w:space="0" w:color="E0E0E0"/>
              <w:bottom w:val="single" w:sz="8" w:space="0" w:color="AEAEAE"/>
              <w:right w:val="single" w:sz="8" w:space="0" w:color="AEAEAE"/>
              <w:insideH w:val="single" w:sz="8" w:space="0" w:color="AEAEAE"/>
              <w:insideV w:val="single" w:sz="8" w:space="0" w:color="AEAEAE"/>
            </w:tcBorders>
            <w:shd w:color="auto" w:fill="FFFFFF" w:val="clear"/>
            <w:tcMar>
              <w:left w:w="-10" w:type="dxa"/>
            </w:tcMar>
          </w:tcPr>
          <w:p>
            <w:pPr>
              <w:pStyle w:val="Normal"/>
              <w:suppressAutoHyphens w:val="false"/>
              <w:overflowPunct w:val="true"/>
              <w:spacing w:lineRule="atLeast" w:line="320" w:before="0" w:after="0"/>
              <w:ind w:left="60" w:right="60" w:hanging="0"/>
              <w:jc w:val="center"/>
              <w:textAlignment w:val="auto"/>
              <w:rPr>
                <w:color w:val="010205"/>
                <w:sz w:val="18"/>
                <w:szCs w:val="18"/>
                <w:lang w:val="en-US" w:eastAsia="en-US"/>
              </w:rPr>
            </w:pPr>
            <w:r>
              <w:rPr>
                <w:color w:val="010205"/>
                <w:sz w:val="18"/>
                <w:szCs w:val="18"/>
                <w:lang w:val="en-US" w:eastAsia="en-US"/>
              </w:rPr>
            </w:r>
          </w:p>
        </w:tc>
      </w:tr>
      <w:tr>
        <w:trPr>
          <w:trHeight w:val="195" w:hRule="atLeast"/>
          <w:cantSplit w:val="true"/>
        </w:trPr>
        <w:tc>
          <w:tcPr>
            <w:tcW w:w="1665"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spacing w:beforeAutospacing="1" w:after="60"/>
              <w:jc w:val="center"/>
              <w:rPr>
                <w:color w:val="264A60"/>
                <w:sz w:val="18"/>
                <w:szCs w:val="18"/>
                <w:lang w:eastAsia="en-US"/>
              </w:rPr>
            </w:pPr>
            <w:r>
              <w:rPr>
                <w:color w:val="264A60"/>
                <w:sz w:val="18"/>
                <w:szCs w:val="18"/>
                <w:lang w:eastAsia="en-US"/>
              </w:rPr>
              <w:t>RST_LDS</w:t>
            </w:r>
          </w:p>
        </w:tc>
        <w:tc>
          <w:tcPr>
            <w:tcW w:w="1037"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spacing w:beforeAutospacing="1" w:after="60"/>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0.15</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bottom"/>
          </w:tcPr>
          <w:p>
            <w:pPr>
              <w:pStyle w:val="Normal"/>
              <w:spacing w:lineRule="auto" w:line="240" w:before="0" w:after="0"/>
              <w:jc w:val="center"/>
              <w:rPr>
                <w:sz w:val="18"/>
                <w:szCs w:val="18"/>
              </w:rPr>
            </w:pPr>
            <w:r>
              <w:rPr>
                <w:sz w:val="18"/>
                <w:szCs w:val="18"/>
              </w:rPr>
              <w:t>0.97</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bottom"/>
          </w:tcPr>
          <w:p>
            <w:pPr>
              <w:pStyle w:val="Normal"/>
              <w:spacing w:lineRule="auto" w:line="240" w:before="0" w:after="0"/>
              <w:jc w:val="center"/>
              <w:rPr>
                <w:sz w:val="18"/>
                <w:szCs w:val="18"/>
              </w:rPr>
            </w:pPr>
            <w:r>
              <w:rPr>
                <w:sz w:val="18"/>
                <w:szCs w:val="18"/>
              </w:rPr>
              <w:t>0.58</w:t>
            </w:r>
          </w:p>
        </w:tc>
        <w:tc>
          <w:tcPr>
            <w:tcW w:w="575"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bottom"/>
          </w:tcPr>
          <w:p>
            <w:pPr>
              <w:pStyle w:val="Normal"/>
              <w:spacing w:lineRule="auto" w:line="240" w:before="0" w:after="0"/>
              <w:jc w:val="center"/>
              <w:rPr>
                <w:sz w:val="18"/>
                <w:szCs w:val="18"/>
              </w:rPr>
            </w:pPr>
            <w:r>
              <w:rPr>
                <w:sz w:val="18"/>
                <w:szCs w:val="18"/>
              </w:rPr>
              <w:t>0.50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bottom"/>
          </w:tcPr>
          <w:p>
            <w:pPr>
              <w:pStyle w:val="Normal"/>
              <w:spacing w:lineRule="auto" w:line="240" w:before="0" w:after="0"/>
              <w:jc w:val="center"/>
              <w:rPr>
                <w:sz w:val="18"/>
                <w:szCs w:val="18"/>
              </w:rPr>
            </w:pPr>
            <w:r>
              <w:rPr>
                <w:sz w:val="18"/>
                <w:szCs w:val="18"/>
              </w:rPr>
              <w:t>0.66</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bottom"/>
          </w:tcPr>
          <w:p>
            <w:pPr>
              <w:pStyle w:val="Normal"/>
              <w:spacing w:lineRule="auto" w:line="240" w:before="0" w:after="0"/>
              <w:jc w:val="center"/>
              <w:rPr>
                <w:sz w:val="18"/>
                <w:szCs w:val="18"/>
              </w:rPr>
            </w:pPr>
            <w:r>
              <w:rPr>
                <w:sz w:val="18"/>
                <w:szCs w:val="18"/>
              </w:rPr>
              <w:t>1.00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bottom"/>
          </w:tcPr>
          <w:p>
            <w:pPr>
              <w:pStyle w:val="Normal"/>
              <w:spacing w:lineRule="auto" w:line="240" w:before="0" w:after="0"/>
              <w:jc w:val="center"/>
              <w:rPr>
                <w:sz w:val="18"/>
                <w:szCs w:val="18"/>
              </w:rPr>
            </w:pPr>
            <w:r>
              <w:rPr>
                <w:sz w:val="18"/>
                <w:szCs w:val="18"/>
              </w:rPr>
              <w:t>0.02</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bottom"/>
          </w:tcPr>
          <w:p>
            <w:pPr>
              <w:pStyle w:val="Normal"/>
              <w:spacing w:lineRule="auto" w:line="240" w:before="0" w:after="0"/>
              <w:jc w:val="center"/>
              <w:rPr>
                <w:sz w:val="18"/>
                <w:szCs w:val="18"/>
              </w:rPr>
            </w:pPr>
            <w:r>
              <w:rPr>
                <w:sz w:val="18"/>
                <w:szCs w:val="18"/>
              </w:rPr>
              <w:t>0.40</w:t>
            </w:r>
          </w:p>
        </w:tc>
        <w:tc>
          <w:tcPr>
            <w:tcW w:w="573"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bottom"/>
          </w:tcPr>
          <w:p>
            <w:pPr>
              <w:pStyle w:val="Normal"/>
              <w:spacing w:lineRule="auto" w:line="240" w:before="0" w:after="0"/>
              <w:jc w:val="center"/>
              <w:rPr>
                <w:sz w:val="18"/>
                <w:szCs w:val="18"/>
              </w:rPr>
            </w:pPr>
            <w:r>
              <w:rPr>
                <w:sz w:val="18"/>
                <w:szCs w:val="18"/>
              </w:rPr>
              <w:t>0.97</w:t>
            </w:r>
          </w:p>
        </w:tc>
        <w:tc>
          <w:tcPr>
            <w:tcW w:w="494"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FFFFFF" w:val="clear"/>
            <w:tcMar>
              <w:left w:w="-10" w:type="dxa"/>
            </w:tcMar>
            <w:vAlign w:val="bottom"/>
          </w:tcPr>
          <w:p>
            <w:pPr>
              <w:pStyle w:val="Normal"/>
              <w:spacing w:lineRule="auto" w:line="240" w:before="0" w:after="0"/>
              <w:jc w:val="center"/>
              <w:rPr>
                <w:sz w:val="18"/>
                <w:szCs w:val="18"/>
              </w:rPr>
            </w:pPr>
            <w:r>
              <w:rPr>
                <w:sz w:val="18"/>
                <w:szCs w:val="18"/>
              </w:rPr>
              <w:t>0.97</w:t>
            </w:r>
          </w:p>
        </w:tc>
      </w:tr>
      <w:tr>
        <w:trPr>
          <w:trHeight w:val="263" w:hRule="atLeast"/>
          <w:cantSplit w:val="true"/>
        </w:trPr>
        <w:tc>
          <w:tcPr>
            <w:tcW w:w="1665"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spacing w:beforeAutospacing="1" w:after="60"/>
              <w:jc w:val="center"/>
              <w:rPr>
                <w:color w:val="264A60"/>
                <w:szCs w:val="18"/>
                <w:lang w:val="en-US" w:eastAsia="en-US"/>
              </w:rPr>
            </w:pPr>
            <w:r>
              <w:rPr>
                <w:color w:val="264A60"/>
                <w:szCs w:val="18"/>
                <w:lang w:val="en-US" w:eastAsia="en-US"/>
              </w:rPr>
            </w:r>
          </w:p>
        </w:tc>
        <w:tc>
          <w:tcPr>
            <w:tcW w:w="1037"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spacing w:beforeAutospacing="1" w:after="60"/>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0.35</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0.04</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0.40</w:t>
            </w:r>
          </w:p>
        </w:tc>
        <w:tc>
          <w:tcPr>
            <w:tcW w:w="575"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0.25</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0.38</w:t>
            </w:r>
          </w:p>
        </w:tc>
        <w:tc>
          <w:tcPr>
            <w:tcW w:w="573"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494"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r>
      <w:tr>
        <w:trPr>
          <w:cantSplit w:val="true"/>
        </w:trPr>
        <w:tc>
          <w:tcPr>
            <w:tcW w:w="1665"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jc w:val="center"/>
              <w:rPr>
                <w:color w:val="264A60"/>
                <w:sz w:val="18"/>
                <w:szCs w:val="18"/>
                <w:lang w:eastAsia="en-US"/>
              </w:rPr>
            </w:pPr>
            <w:r>
              <w:rPr>
                <w:color w:val="264A60"/>
                <w:sz w:val="18"/>
                <w:szCs w:val="18"/>
                <w:lang w:eastAsia="en-US"/>
              </w:rPr>
              <w:t>LPA_LDS</w:t>
            </w:r>
          </w:p>
        </w:tc>
        <w:tc>
          <w:tcPr>
            <w:tcW w:w="1037"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0.12</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0.89</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0.81</w:t>
            </w:r>
          </w:p>
        </w:tc>
        <w:tc>
          <w:tcPr>
            <w:tcW w:w="575"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0.67</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0.89</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0.17</w:t>
            </w:r>
          </w:p>
        </w:tc>
        <w:tc>
          <w:tcPr>
            <w:tcW w:w="573"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0.86</w:t>
            </w:r>
          </w:p>
        </w:tc>
        <w:tc>
          <w:tcPr>
            <w:tcW w:w="494"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trHeight w:val="203" w:hRule="atLeast"/>
          <w:cantSplit w:val="true"/>
        </w:trPr>
        <w:tc>
          <w:tcPr>
            <w:tcW w:w="1665" w:type="dxa"/>
            <w:vMerge w:val="continue"/>
            <w:tcBorders>
              <w:top w:val="single" w:sz="8" w:space="0" w:color="000001"/>
              <w:left w:val="single" w:sz="8" w:space="0" w:color="E0E0E0"/>
              <w:bottom w:val="single" w:sz="2" w:space="0" w:color="AEAEAE"/>
              <w:right w:val="single" w:sz="8" w:space="0" w:color="E0E0E0"/>
              <w:insideH w:val="single" w:sz="2" w:space="0" w:color="AEAEAE"/>
              <w:insideV w:val="single" w:sz="8" w:space="0" w:color="E0E0E0"/>
            </w:tcBorders>
            <w:shd w:color="auto" w:fill="E0E0E0" w:val="clear"/>
            <w:tcMar>
              <w:left w:w="-10" w:type="dxa"/>
            </w:tcMar>
            <w:vAlign w:val="center"/>
          </w:tcPr>
          <w:p>
            <w:pPr>
              <w:pStyle w:val="NormalTabla"/>
              <w:jc w:val="center"/>
              <w:rPr>
                <w:color w:val="264A60"/>
                <w:sz w:val="18"/>
                <w:szCs w:val="18"/>
                <w:lang w:eastAsia="en-US"/>
              </w:rPr>
            </w:pPr>
            <w:r>
              <w:rPr>
                <w:color w:val="264A60"/>
                <w:sz w:val="18"/>
                <w:szCs w:val="18"/>
                <w:lang w:eastAsia="en-US"/>
              </w:rPr>
            </w:r>
          </w:p>
        </w:tc>
        <w:tc>
          <w:tcPr>
            <w:tcW w:w="1037"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0.33</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0.33</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0.37</w:t>
            </w:r>
          </w:p>
        </w:tc>
        <w:tc>
          <w:tcPr>
            <w:tcW w:w="575"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0.29</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0.33</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0.01</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0.25</w:t>
            </w:r>
          </w:p>
        </w:tc>
        <w:tc>
          <w:tcPr>
            <w:tcW w:w="573"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0.32</w:t>
            </w:r>
          </w:p>
        </w:tc>
        <w:tc>
          <w:tcPr>
            <w:tcW w:w="494"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r>
      <w:tr>
        <w:trPr>
          <w:cantSplit w:val="true"/>
        </w:trPr>
        <w:tc>
          <w:tcPr>
            <w:tcW w:w="1665" w:type="dxa"/>
            <w:vMerge w:val="restart"/>
            <w:tcBorders>
              <w:top w:val="single" w:sz="2" w:space="0" w:color="AEAEAE"/>
              <w:left w:val="single" w:sz="8" w:space="0" w:color="E0E0E0"/>
              <w:bottom w:val="single" w:sz="2" w:space="0" w:color="AEAEAE"/>
              <w:right w:val="single" w:sz="8" w:space="0" w:color="E0E0E0"/>
              <w:insideH w:val="single" w:sz="2" w:space="0" w:color="AEAEAE"/>
              <w:insideV w:val="single" w:sz="8" w:space="0" w:color="E0E0E0"/>
            </w:tcBorders>
            <w:shd w:color="auto" w:fill="E0E0E0" w:val="clear"/>
            <w:tcMar>
              <w:left w:w="-10" w:type="dxa"/>
            </w:tcMar>
            <w:vAlign w:val="center"/>
          </w:tcPr>
          <w:p>
            <w:pPr>
              <w:pStyle w:val="NormalTabla"/>
              <w:jc w:val="center"/>
              <w:rPr>
                <w:color w:val="264A60"/>
                <w:szCs w:val="18"/>
                <w:lang w:val="en-US" w:eastAsia="en-US"/>
              </w:rPr>
            </w:pPr>
            <w:r>
              <w:rPr>
                <w:color w:val="264A60"/>
                <w:sz w:val="18"/>
                <w:szCs w:val="18"/>
                <w:lang w:eastAsia="en-US"/>
              </w:rPr>
              <w:t>Apriori_LDS</w:t>
            </w:r>
          </w:p>
        </w:tc>
        <w:tc>
          <w:tcPr>
            <w:tcW w:w="1037"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0.14</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0.90</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0.15</w:t>
            </w:r>
          </w:p>
        </w:tc>
        <w:tc>
          <w:tcPr>
            <w:tcW w:w="575"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0.47</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0.66</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1.00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0.80</w:t>
            </w:r>
          </w:p>
        </w:tc>
        <w:tc>
          <w:tcPr>
            <w:tcW w:w="573"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0.96</w:t>
            </w:r>
          </w:p>
        </w:tc>
        <w:tc>
          <w:tcPr>
            <w:tcW w:w="494"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0.95</w:t>
            </w:r>
          </w:p>
        </w:tc>
      </w:tr>
      <w:tr>
        <w:trPr>
          <w:cantSplit w:val="true"/>
        </w:trPr>
        <w:tc>
          <w:tcPr>
            <w:tcW w:w="1665" w:type="dxa"/>
            <w:vMerge w:val="continue"/>
            <w:tcBorders>
              <w:top w:val="single" w:sz="2" w:space="0" w:color="AEAEAE"/>
              <w:left w:val="single" w:sz="8" w:space="0" w:color="E0E0E0"/>
              <w:bottom w:val="single" w:sz="2" w:space="0" w:color="AEAEAE"/>
              <w:right w:val="single" w:sz="8" w:space="0" w:color="E0E0E0"/>
              <w:insideH w:val="single" w:sz="2" w:space="0" w:color="AEAEAE"/>
              <w:insideV w:val="single" w:sz="8" w:space="0" w:color="E0E0E0"/>
            </w:tcBorders>
            <w:shd w:color="auto" w:fill="E0E0E0" w:val="clear"/>
            <w:tcMar>
              <w:left w:w="-10" w:type="dxa"/>
            </w:tcMar>
            <w:vAlign w:val="center"/>
          </w:tcPr>
          <w:p>
            <w:pPr>
              <w:pStyle w:val="NormalTabla"/>
              <w:jc w:val="center"/>
              <w:rPr>
                <w:color w:val="264A60"/>
                <w:sz w:val="18"/>
                <w:szCs w:val="18"/>
                <w:lang w:eastAsia="en-US"/>
              </w:rPr>
            </w:pPr>
            <w:r>
              <w:rPr>
                <w:color w:val="264A60"/>
                <w:sz w:val="18"/>
                <w:szCs w:val="18"/>
                <w:lang w:eastAsia="en-US"/>
              </w:rPr>
            </w:r>
          </w:p>
        </w:tc>
        <w:tc>
          <w:tcPr>
            <w:tcW w:w="1037"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0.35</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0.11</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0.16</w:t>
            </w:r>
          </w:p>
        </w:tc>
        <w:tc>
          <w:tcPr>
            <w:tcW w:w="575"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0.10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0.21</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0.12</w:t>
            </w:r>
          </w:p>
        </w:tc>
        <w:tc>
          <w:tcPr>
            <w:tcW w:w="573"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494"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0.07</w:t>
            </w:r>
          </w:p>
        </w:tc>
      </w:tr>
      <w:tr>
        <w:trPr>
          <w:cantSplit w:val="true"/>
        </w:trPr>
        <w:tc>
          <w:tcPr>
            <w:tcW w:w="1665" w:type="dxa"/>
            <w:vMerge w:val="restart"/>
            <w:tcBorders>
              <w:top w:val="single" w:sz="2" w:space="0" w:color="AEAEAE"/>
              <w:left w:val="single" w:sz="8" w:space="0" w:color="E0E0E0"/>
              <w:bottom w:val="single" w:sz="2" w:space="0" w:color="AEAEAE"/>
              <w:right w:val="single" w:sz="8" w:space="0" w:color="E0E0E0"/>
              <w:insideH w:val="single" w:sz="2" w:space="0" w:color="AEAEAE"/>
              <w:insideV w:val="single" w:sz="8" w:space="0" w:color="E0E0E0"/>
            </w:tcBorders>
            <w:shd w:color="auto" w:fill="E0E0E0" w:val="clear"/>
            <w:tcMar>
              <w:left w:w="-10" w:type="dxa"/>
            </w:tcMar>
            <w:vAlign w:val="center"/>
          </w:tcPr>
          <w:p>
            <w:pPr>
              <w:pStyle w:val="NormalTabla"/>
              <w:jc w:val="center"/>
              <w:rPr>
                <w:color w:val="264A60"/>
                <w:sz w:val="18"/>
                <w:szCs w:val="18"/>
                <w:lang w:eastAsia="en-US"/>
              </w:rPr>
            </w:pPr>
            <w:r>
              <w:rPr>
                <w:color w:val="264A60"/>
                <w:sz w:val="18"/>
                <w:szCs w:val="18"/>
                <w:lang w:eastAsia="en-US"/>
              </w:rPr>
              <w:t>ACO_LDS</w:t>
            </w:r>
          </w:p>
        </w:tc>
        <w:tc>
          <w:tcPr>
            <w:tcW w:w="1037"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0.12</w:t>
            </w:r>
          </w:p>
        </w:tc>
        <w:tc>
          <w:tcPr>
            <w:tcW w:w="570"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0.87</w:t>
            </w:r>
          </w:p>
        </w:tc>
        <w:tc>
          <w:tcPr>
            <w:tcW w:w="574"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0.42</w:t>
            </w:r>
          </w:p>
        </w:tc>
        <w:tc>
          <w:tcPr>
            <w:tcW w:w="575"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0.37</w:t>
            </w:r>
          </w:p>
        </w:tc>
        <w:tc>
          <w:tcPr>
            <w:tcW w:w="572"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0.07</w:t>
            </w:r>
          </w:p>
        </w:tc>
        <w:tc>
          <w:tcPr>
            <w:tcW w:w="574"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0.90</w:t>
            </w:r>
          </w:p>
        </w:tc>
        <w:tc>
          <w:tcPr>
            <w:tcW w:w="572"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0.05</w:t>
            </w:r>
          </w:p>
        </w:tc>
        <w:tc>
          <w:tcPr>
            <w:tcW w:w="572"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0.77</w:t>
            </w:r>
          </w:p>
        </w:tc>
        <w:tc>
          <w:tcPr>
            <w:tcW w:w="573"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0.92</w:t>
            </w:r>
          </w:p>
        </w:tc>
        <w:tc>
          <w:tcPr>
            <w:tcW w:w="494" w:type="dxa"/>
            <w:tcBorders>
              <w:top w:val="single" w:sz="8" w:space="0" w:color="AEAEAE"/>
              <w:left w:val="single" w:sz="8" w:space="0" w:color="E0E0E0"/>
              <w:bottom w:val="dashed" w:sz="4" w:space="0" w:color="D9D9D9"/>
              <w:right w:val="single" w:sz="8" w:space="0" w:color="AEAEAE"/>
              <w:insideH w:val="dashed" w:sz="4" w:space="0" w:color="D9D9D9"/>
              <w:insideV w:val="single" w:sz="8" w:space="0" w:color="AEAEAE"/>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0.97</w:t>
            </w:r>
          </w:p>
        </w:tc>
      </w:tr>
      <w:tr>
        <w:trPr>
          <w:cantSplit w:val="true"/>
        </w:trPr>
        <w:tc>
          <w:tcPr>
            <w:tcW w:w="1665" w:type="dxa"/>
            <w:vMerge w:val="continue"/>
            <w:tcBorders>
              <w:top w:val="single" w:sz="2" w:space="0" w:color="AEAEAE"/>
              <w:left w:val="single" w:sz="8" w:space="0" w:color="E0E0E0"/>
              <w:bottom w:val="single" w:sz="2" w:space="0" w:color="AEAEAE"/>
              <w:right w:val="single" w:sz="8" w:space="0" w:color="E0E0E0"/>
              <w:insideH w:val="single" w:sz="2" w:space="0" w:color="AEAEAE"/>
              <w:insideV w:val="single" w:sz="8" w:space="0" w:color="E0E0E0"/>
            </w:tcBorders>
            <w:shd w:color="auto" w:fill="E0E0E0" w:val="clear"/>
            <w:tcMar>
              <w:left w:w="-10" w:type="dxa"/>
            </w:tcMar>
            <w:vAlign w:val="center"/>
          </w:tcPr>
          <w:p>
            <w:pPr>
              <w:pStyle w:val="NormalTabla"/>
              <w:jc w:val="center"/>
              <w:rPr>
                <w:color w:val="264A60"/>
                <w:sz w:val="18"/>
                <w:szCs w:val="18"/>
                <w:lang w:eastAsia="en-US"/>
              </w:rPr>
            </w:pPr>
            <w:r>
              <w:rPr>
                <w:color w:val="264A60"/>
                <w:sz w:val="18"/>
                <w:szCs w:val="18"/>
                <w:lang w:eastAsia="en-US"/>
              </w:rPr>
            </w:r>
          </w:p>
        </w:tc>
        <w:tc>
          <w:tcPr>
            <w:tcW w:w="1037"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0.13</w:t>
            </w:r>
          </w:p>
        </w:tc>
        <w:tc>
          <w:tcPr>
            <w:tcW w:w="570"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0.87</w:t>
            </w:r>
          </w:p>
        </w:tc>
        <w:tc>
          <w:tcPr>
            <w:tcW w:w="574"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0.43</w:t>
            </w:r>
          </w:p>
        </w:tc>
        <w:tc>
          <w:tcPr>
            <w:tcW w:w="575"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0.37</w:t>
            </w:r>
          </w:p>
        </w:tc>
        <w:tc>
          <w:tcPr>
            <w:tcW w:w="572"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0.07</w:t>
            </w:r>
          </w:p>
        </w:tc>
        <w:tc>
          <w:tcPr>
            <w:tcW w:w="574"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0.90</w:t>
            </w:r>
          </w:p>
        </w:tc>
        <w:tc>
          <w:tcPr>
            <w:tcW w:w="572"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0.06</w:t>
            </w:r>
          </w:p>
        </w:tc>
        <w:tc>
          <w:tcPr>
            <w:tcW w:w="572"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0.77</w:t>
            </w:r>
          </w:p>
        </w:tc>
        <w:tc>
          <w:tcPr>
            <w:tcW w:w="573"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0.92</w:t>
            </w:r>
          </w:p>
        </w:tc>
        <w:tc>
          <w:tcPr>
            <w:tcW w:w="494" w:type="dxa"/>
            <w:tcBorders>
              <w:top w:val="dashed" w:sz="4" w:space="0" w:color="D9D9D9"/>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0.97</w:t>
            </w:r>
          </w:p>
        </w:tc>
      </w:tr>
      <w:tr>
        <w:trPr>
          <w:cantSplit w:val="true"/>
        </w:trPr>
        <w:tc>
          <w:tcPr>
            <w:tcW w:w="1665" w:type="dxa"/>
            <w:vMerge w:val="restart"/>
            <w:tcBorders>
              <w:top w:val="single" w:sz="2"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jc w:val="center"/>
              <w:rPr>
                <w:color w:val="264A60"/>
                <w:szCs w:val="18"/>
                <w:lang w:val="en-US" w:eastAsia="en-US"/>
              </w:rPr>
            </w:pPr>
            <w:r>
              <w:rPr>
                <w:color w:val="264A60"/>
                <w:sz w:val="18"/>
                <w:szCs w:val="18"/>
                <w:lang w:eastAsia="en-US"/>
              </w:rPr>
              <w:t>GA_LDS</w:t>
            </w:r>
          </w:p>
        </w:tc>
        <w:tc>
          <w:tcPr>
            <w:tcW w:w="1037"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1.00</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1.00</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0.99</w:t>
            </w:r>
          </w:p>
        </w:tc>
        <w:tc>
          <w:tcPr>
            <w:tcW w:w="575"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1.00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73"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c>
          <w:tcPr>
            <w:tcW w:w="494"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cantSplit w:val="true"/>
        </w:trPr>
        <w:tc>
          <w:tcPr>
            <w:tcW w:w="1665"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jc w:val="center"/>
              <w:rPr>
                <w:color w:val="264A60"/>
                <w:sz w:val="18"/>
                <w:szCs w:val="18"/>
                <w:lang w:eastAsia="en-US"/>
              </w:rPr>
            </w:pPr>
            <w:r>
              <w:rPr>
                <w:color w:val="264A60"/>
                <w:sz w:val="18"/>
                <w:szCs w:val="18"/>
                <w:lang w:eastAsia="en-US"/>
              </w:rPr>
            </w:r>
          </w:p>
        </w:tc>
        <w:tc>
          <w:tcPr>
            <w:tcW w:w="1037"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0.02</w:t>
            </w:r>
          </w:p>
        </w:tc>
        <w:tc>
          <w:tcPr>
            <w:tcW w:w="575"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0.03</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0.03</w:t>
            </w:r>
          </w:p>
        </w:tc>
        <w:tc>
          <w:tcPr>
            <w:tcW w:w="573"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494"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r>
      <w:tr>
        <w:trPr>
          <w:cantSplit w:val="true"/>
        </w:trPr>
        <w:tc>
          <w:tcPr>
            <w:tcW w:w="1665"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jc w:val="center"/>
              <w:rPr>
                <w:color w:val="264A60"/>
                <w:sz w:val="18"/>
                <w:szCs w:val="18"/>
                <w:lang w:eastAsia="en-US"/>
              </w:rPr>
            </w:pPr>
            <w:r>
              <w:rPr>
                <w:color w:val="264A60"/>
                <w:sz w:val="18"/>
                <w:szCs w:val="18"/>
                <w:lang w:eastAsia="en-US"/>
              </w:rPr>
              <w:t>PCA_LDS</w:t>
            </w:r>
          </w:p>
        </w:tc>
        <w:tc>
          <w:tcPr>
            <w:tcW w:w="1037"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0.14</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0.90</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0.15</w:t>
            </w:r>
          </w:p>
        </w:tc>
        <w:tc>
          <w:tcPr>
            <w:tcW w:w="575"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0.47</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0.66</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1.00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0.80</w:t>
            </w:r>
          </w:p>
        </w:tc>
        <w:tc>
          <w:tcPr>
            <w:tcW w:w="573"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0.96</w:t>
            </w:r>
          </w:p>
        </w:tc>
        <w:tc>
          <w:tcPr>
            <w:tcW w:w="494"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0.95</w:t>
            </w:r>
          </w:p>
        </w:tc>
      </w:tr>
      <w:tr>
        <w:trPr>
          <w:cantSplit w:val="true"/>
        </w:trPr>
        <w:tc>
          <w:tcPr>
            <w:tcW w:w="1665"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jc w:val="center"/>
              <w:rPr>
                <w:color w:val="264A60"/>
                <w:szCs w:val="18"/>
                <w:lang w:val="en-US" w:eastAsia="en-US"/>
              </w:rPr>
            </w:pPr>
            <w:r>
              <w:rPr>
                <w:color w:val="264A60"/>
                <w:szCs w:val="18"/>
                <w:lang w:val="en-US" w:eastAsia="en-US"/>
              </w:rPr>
            </w:r>
          </w:p>
        </w:tc>
        <w:tc>
          <w:tcPr>
            <w:tcW w:w="1037"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0.35</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0.11</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0.16</w:t>
            </w:r>
          </w:p>
        </w:tc>
        <w:tc>
          <w:tcPr>
            <w:tcW w:w="575"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0.10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0.21</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0.12</w:t>
            </w:r>
          </w:p>
        </w:tc>
        <w:tc>
          <w:tcPr>
            <w:tcW w:w="573"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0.00</w:t>
            </w:r>
          </w:p>
        </w:tc>
        <w:tc>
          <w:tcPr>
            <w:tcW w:w="494"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uppressAutoHyphens w:val="false"/>
              <w:overflowPunct w:val="true"/>
              <w:spacing w:lineRule="auto" w:line="240" w:before="0" w:after="0"/>
              <w:jc w:val="center"/>
              <w:textAlignment w:val="auto"/>
              <w:rPr>
                <w:sz w:val="18"/>
                <w:szCs w:val="18"/>
              </w:rPr>
            </w:pPr>
            <w:r>
              <w:rPr>
                <w:sz w:val="18"/>
                <w:szCs w:val="18"/>
              </w:rPr>
              <w:t>0.07</w:t>
            </w:r>
          </w:p>
        </w:tc>
      </w:tr>
      <w:tr>
        <w:trPr>
          <w:cantSplit w:val="true"/>
        </w:trPr>
        <w:tc>
          <w:tcPr>
            <w:tcW w:w="2702"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jc w:val="center"/>
              <w:rPr/>
            </w:pPr>
            <w:r>
              <w:rPr>
                <w:b/>
                <w:color w:val="264A60"/>
                <w:szCs w:val="18"/>
                <w:lang w:eastAsia="en-US"/>
              </w:rPr>
              <w:t>BD_med_valvular</w:t>
            </w:r>
          </w:p>
        </w:tc>
        <w:tc>
          <w:tcPr>
            <w:tcW w:w="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70"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74"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75"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7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74"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7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7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73"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494" w:type="dxa"/>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r>
      <w:tr>
        <w:trPr>
          <w:trHeight w:val="333" w:hRule="atLeast"/>
          <w:cantSplit w:val="true"/>
        </w:trPr>
        <w:tc>
          <w:tcPr>
            <w:tcW w:w="1665"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RST_LDS</w:t>
            </w:r>
          </w:p>
        </w:tc>
        <w:tc>
          <w:tcPr>
            <w:tcW w:w="1037"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0.05</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0.95</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0.57</w:t>
            </w:r>
          </w:p>
        </w:tc>
        <w:tc>
          <w:tcPr>
            <w:tcW w:w="575"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0.64</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1.00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0.38</w:t>
            </w:r>
          </w:p>
        </w:tc>
        <w:tc>
          <w:tcPr>
            <w:tcW w:w="573"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c>
          <w:tcPr>
            <w:tcW w:w="494"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trHeight w:val="267" w:hRule="atLeast"/>
          <w:cantSplit w:val="true"/>
        </w:trPr>
        <w:tc>
          <w:tcPr>
            <w:tcW w:w="1665"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7"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0.21</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0.03</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0.37</w:t>
            </w:r>
          </w:p>
        </w:tc>
        <w:tc>
          <w:tcPr>
            <w:tcW w:w="575"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0.25</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0.35</w:t>
            </w:r>
          </w:p>
        </w:tc>
        <w:tc>
          <w:tcPr>
            <w:tcW w:w="573"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494"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trHeight w:val="267" w:hRule="atLeast"/>
          <w:cantSplit w:val="true"/>
        </w:trPr>
        <w:tc>
          <w:tcPr>
            <w:tcW w:w="1665"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LPA_LDS</w:t>
            </w:r>
          </w:p>
        </w:tc>
        <w:tc>
          <w:tcPr>
            <w:tcW w:w="1037"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0"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4"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5"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2"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4"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2"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2"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3"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494" w:type="dxa"/>
            <w:tcBorders>
              <w:top w:val="single" w:sz="8" w:space="0" w:color="AEAEAE"/>
              <w:left w:val="single" w:sz="8" w:space="0" w:color="E0E0E0"/>
              <w:bottom w:val="dashed" w:sz="4" w:space="0" w:color="D9D9D9"/>
              <w:right w:val="single" w:sz="8" w:space="0" w:color="AEAEAE"/>
              <w:insideH w:val="dashed" w:sz="4" w:space="0" w:color="D9D9D9"/>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trHeight w:val="271" w:hRule="atLeast"/>
          <w:cantSplit w:val="true"/>
        </w:trPr>
        <w:tc>
          <w:tcPr>
            <w:tcW w:w="1665"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7"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0"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4"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5"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2"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4"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2"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2"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3"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494" w:type="dxa"/>
            <w:tcBorders>
              <w:top w:val="dashed" w:sz="4" w:space="0" w:color="D9D9D9"/>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trHeight w:val="271" w:hRule="atLeast"/>
          <w:cantSplit w:val="true"/>
        </w:trPr>
        <w:tc>
          <w:tcPr>
            <w:tcW w:w="1665"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Apriori_LDS</w:t>
            </w:r>
          </w:p>
        </w:tc>
        <w:tc>
          <w:tcPr>
            <w:tcW w:w="1037"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0.88</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0.98</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0.78</w:t>
            </w:r>
          </w:p>
        </w:tc>
        <w:tc>
          <w:tcPr>
            <w:tcW w:w="575"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0.08</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0.90</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1.00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c>
          <w:tcPr>
            <w:tcW w:w="573"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c>
          <w:tcPr>
            <w:tcW w:w="494"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0.35</w:t>
            </w:r>
          </w:p>
        </w:tc>
      </w:tr>
      <w:tr>
        <w:trPr>
          <w:trHeight w:val="271" w:hRule="atLeast"/>
          <w:cantSplit w:val="true"/>
        </w:trPr>
        <w:tc>
          <w:tcPr>
            <w:tcW w:w="1665"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7"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0.33</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0.05</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0.16</w:t>
            </w:r>
          </w:p>
        </w:tc>
        <w:tc>
          <w:tcPr>
            <w:tcW w:w="575"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0.13</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0.20</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0.08</w:t>
            </w:r>
          </w:p>
        </w:tc>
        <w:tc>
          <w:tcPr>
            <w:tcW w:w="573"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494"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0.32</w:t>
            </w:r>
          </w:p>
        </w:tc>
      </w:tr>
      <w:tr>
        <w:trPr>
          <w:trHeight w:val="271" w:hRule="atLeast"/>
          <w:cantSplit w:val="true"/>
        </w:trPr>
        <w:tc>
          <w:tcPr>
            <w:tcW w:w="1665" w:type="dxa"/>
            <w:vMerge w:val="restart"/>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 w:val="18"/>
                <w:szCs w:val="18"/>
                <w:lang w:eastAsia="en-US"/>
              </w:rPr>
            </w:pPr>
            <w:r>
              <w:rPr>
                <w:color w:val="264A60"/>
                <w:sz w:val="18"/>
                <w:szCs w:val="18"/>
                <w:lang w:eastAsia="en-US"/>
              </w:rPr>
              <w:t>ACO_LDS</w:t>
            </w:r>
          </w:p>
        </w:tc>
        <w:tc>
          <w:tcPr>
            <w:tcW w:w="1037"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0.12</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0.73</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0.73</w:t>
            </w:r>
          </w:p>
        </w:tc>
        <w:tc>
          <w:tcPr>
            <w:tcW w:w="575"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0.41</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0.08</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0.93</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0.04</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0.07</w:t>
            </w:r>
          </w:p>
        </w:tc>
        <w:tc>
          <w:tcPr>
            <w:tcW w:w="573"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0.93</w:t>
            </w:r>
          </w:p>
        </w:tc>
        <w:tc>
          <w:tcPr>
            <w:tcW w:w="494"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trHeight w:val="271" w:hRule="atLeast"/>
          <w:cantSplit w:val="true"/>
        </w:trPr>
        <w:tc>
          <w:tcPr>
            <w:tcW w:w="1665" w:type="dxa"/>
            <w:vMerge w:val="continue"/>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 w:val="18"/>
                <w:szCs w:val="18"/>
                <w:lang w:eastAsia="en-US"/>
              </w:rPr>
            </w:pPr>
            <w:r>
              <w:rPr>
                <w:color w:val="264A60"/>
                <w:sz w:val="18"/>
                <w:szCs w:val="18"/>
                <w:lang w:eastAsia="en-US"/>
              </w:rPr>
            </w:r>
          </w:p>
        </w:tc>
        <w:tc>
          <w:tcPr>
            <w:tcW w:w="1037"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0.33</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0.38</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0.38</w:t>
            </w:r>
          </w:p>
        </w:tc>
        <w:tc>
          <w:tcPr>
            <w:tcW w:w="575"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0.12</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0.13</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0.03</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3"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0.05</w:t>
            </w:r>
          </w:p>
        </w:tc>
        <w:tc>
          <w:tcPr>
            <w:tcW w:w="494"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trHeight w:val="271" w:hRule="atLeast"/>
          <w:cantSplit w:val="true"/>
        </w:trPr>
        <w:tc>
          <w:tcPr>
            <w:tcW w:w="1665" w:type="dxa"/>
            <w:vMerge w:val="restart"/>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 w:val="18"/>
                <w:szCs w:val="18"/>
                <w:lang w:eastAsia="en-US"/>
              </w:rPr>
            </w:pPr>
            <w:r>
              <w:rPr>
                <w:color w:val="264A60"/>
                <w:sz w:val="18"/>
                <w:szCs w:val="18"/>
                <w:lang w:eastAsia="en-US"/>
              </w:rPr>
              <w:t>GA_LDS</w:t>
            </w:r>
          </w:p>
        </w:tc>
        <w:tc>
          <w:tcPr>
            <w:tcW w:w="1037"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FFFFFF" w:val="clear"/>
            <w:tcMar>
              <w:left w:w="-10" w:type="dxa"/>
            </w:tcM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1.00</w:t>
            </w:r>
          </w:p>
        </w:tc>
        <w:tc>
          <w:tcPr>
            <w:tcW w:w="570"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1.00</w:t>
            </w:r>
          </w:p>
        </w:tc>
        <w:tc>
          <w:tcPr>
            <w:tcW w:w="574"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c>
          <w:tcPr>
            <w:tcW w:w="575"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72"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0.01</w:t>
            </w:r>
          </w:p>
        </w:tc>
        <w:tc>
          <w:tcPr>
            <w:tcW w:w="574"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1.00</w:t>
            </w:r>
          </w:p>
        </w:tc>
        <w:tc>
          <w:tcPr>
            <w:tcW w:w="572"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72"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0.05</w:t>
            </w:r>
          </w:p>
        </w:tc>
        <w:tc>
          <w:tcPr>
            <w:tcW w:w="573"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c>
          <w:tcPr>
            <w:tcW w:w="494" w:type="dxa"/>
            <w:tcBorders>
              <w:top w:val="single" w:sz="8" w:space="0" w:color="AEAEAE"/>
              <w:left w:val="single" w:sz="8" w:space="0" w:color="E0E0E0"/>
              <w:bottom w:val="dashed" w:sz="4" w:space="0" w:color="D9D9D9"/>
              <w:right w:val="single" w:sz="8" w:space="0" w:color="AEAEAE"/>
              <w:insideH w:val="dashed" w:sz="4" w:space="0" w:color="D9D9D9"/>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trHeight w:val="271" w:hRule="atLeast"/>
          <w:cantSplit w:val="true"/>
        </w:trPr>
        <w:tc>
          <w:tcPr>
            <w:tcW w:w="1665" w:type="dxa"/>
            <w:vMerge w:val="continue"/>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 w:val="18"/>
                <w:szCs w:val="18"/>
                <w:lang w:eastAsia="en-US"/>
              </w:rPr>
            </w:pPr>
            <w:r>
              <w:rPr>
                <w:color w:val="264A60"/>
                <w:sz w:val="18"/>
                <w:szCs w:val="18"/>
                <w:lang w:eastAsia="en-US"/>
              </w:rPr>
            </w:r>
          </w:p>
        </w:tc>
        <w:tc>
          <w:tcPr>
            <w:tcW w:w="1037"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0"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4"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75"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2"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4"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2"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2"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73"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494" w:type="dxa"/>
            <w:tcBorders>
              <w:top w:val="dashed" w:sz="4" w:space="0" w:color="D9D9D9"/>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trHeight w:val="271" w:hRule="atLeast"/>
          <w:cantSplit w:val="true"/>
        </w:trPr>
        <w:tc>
          <w:tcPr>
            <w:tcW w:w="1665"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 w:val="18"/>
                <w:szCs w:val="18"/>
                <w:lang w:eastAsia="en-US"/>
              </w:rPr>
            </w:pPr>
            <w:r>
              <w:rPr>
                <w:color w:val="264A60"/>
                <w:sz w:val="18"/>
                <w:szCs w:val="18"/>
                <w:lang w:eastAsia="en-US"/>
              </w:rPr>
              <w:t>PCA_LDS</w:t>
            </w:r>
          </w:p>
        </w:tc>
        <w:tc>
          <w:tcPr>
            <w:tcW w:w="1037"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tcMar>
              <w:left w:w="-10" w:type="dxa"/>
            </w:tcM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0.88</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0.98</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0.78</w:t>
            </w:r>
          </w:p>
        </w:tc>
        <w:tc>
          <w:tcPr>
            <w:tcW w:w="575"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0.08</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0.90</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1.00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c>
          <w:tcPr>
            <w:tcW w:w="573"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c>
          <w:tcPr>
            <w:tcW w:w="494"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0.35</w:t>
            </w:r>
          </w:p>
        </w:tc>
      </w:tr>
      <w:tr>
        <w:trPr>
          <w:trHeight w:val="247" w:hRule="atLeast"/>
          <w:cantSplit w:val="true"/>
        </w:trPr>
        <w:tc>
          <w:tcPr>
            <w:tcW w:w="1665"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7"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0.33</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0.05</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0.16</w:t>
            </w:r>
          </w:p>
        </w:tc>
        <w:tc>
          <w:tcPr>
            <w:tcW w:w="575"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0.13</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0.20</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0.08</w:t>
            </w:r>
          </w:p>
        </w:tc>
        <w:tc>
          <w:tcPr>
            <w:tcW w:w="573"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494"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0.32</w:t>
            </w:r>
          </w:p>
        </w:tc>
      </w:tr>
      <w:tr>
        <w:trPr>
          <w:cantSplit w:val="true"/>
        </w:trPr>
        <w:tc>
          <w:tcPr>
            <w:tcW w:w="2702" w:type="dxa"/>
            <w:gridSpan w:val="2"/>
            <w:tcBorders>
              <w:top w:val="single" w:sz="8" w:space="0" w:color="AEAEAE"/>
              <w:left w:val="single" w:sz="8" w:space="0" w:color="E0E0E0"/>
              <w:bottom w:val="single" w:sz="4" w:space="0" w:color="AEAEAE"/>
              <w:right w:val="single" w:sz="8" w:space="0" w:color="E0E0E0"/>
              <w:insideH w:val="single" w:sz="4" w:space="0" w:color="AEAEAE"/>
              <w:insideV w:val="single" w:sz="8" w:space="0" w:color="E0E0E0"/>
            </w:tcBorders>
            <w:shd w:color="auto" w:fill="E0E0E0" w:val="clear"/>
            <w:tcMar>
              <w:left w:w="-10" w:type="dxa"/>
            </w:tcMar>
            <w:vAlign w:val="center"/>
          </w:tcPr>
          <w:p>
            <w:pPr>
              <w:pStyle w:val="NormalTabla"/>
              <w:jc w:val="center"/>
              <w:rPr>
                <w:b/>
                <w:b/>
              </w:rPr>
            </w:pPr>
            <w:r>
              <w:rPr>
                <w:b/>
                <w:color w:val="264A60"/>
                <w:szCs w:val="18"/>
                <w:lang w:val="en-US" w:eastAsia="en-US"/>
              </w:rPr>
              <w:t>BD_med_covidCuba</w:t>
            </w:r>
          </w:p>
        </w:tc>
        <w:tc>
          <w:tcPr>
            <w:tcW w:w="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70"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74"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75"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7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74"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7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72"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573"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c>
          <w:tcPr>
            <w:tcW w:w="494" w:type="dxa"/>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tcPr>
          <w:p>
            <w:pPr>
              <w:pStyle w:val="Normal"/>
              <w:suppressAutoHyphens w:val="false"/>
              <w:overflowPunct w:val="true"/>
              <w:spacing w:lineRule="atLeast" w:line="320" w:before="0" w:after="0"/>
              <w:ind w:left="60" w:right="60" w:hanging="0"/>
              <w:jc w:val="center"/>
              <w:textAlignment w:val="auto"/>
              <w:rPr>
                <w:color w:val="000000" w:themeColor="text1"/>
                <w:sz w:val="18"/>
                <w:szCs w:val="18"/>
              </w:rPr>
            </w:pPr>
            <w:r>
              <w:rPr>
                <w:color w:val="000000" w:themeColor="text1"/>
                <w:sz w:val="18"/>
                <w:szCs w:val="18"/>
              </w:rPr>
            </w:r>
          </w:p>
        </w:tc>
      </w:tr>
      <w:tr>
        <w:trPr>
          <w:cantSplit w:val="true"/>
        </w:trPr>
        <w:tc>
          <w:tcPr>
            <w:tcW w:w="1665"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RST_LDS</w:t>
            </w:r>
          </w:p>
        </w:tc>
        <w:tc>
          <w:tcPr>
            <w:tcW w:w="1037"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0.98</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0.95</w:t>
            </w:r>
          </w:p>
        </w:tc>
        <w:tc>
          <w:tcPr>
            <w:tcW w:w="575"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0.94</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0.99</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0.03</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0.03</w:t>
            </w:r>
          </w:p>
        </w:tc>
        <w:tc>
          <w:tcPr>
            <w:tcW w:w="573"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0.95</w:t>
            </w:r>
          </w:p>
        </w:tc>
        <w:tc>
          <w:tcPr>
            <w:tcW w:w="494"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cantSplit w:val="true"/>
        </w:trPr>
        <w:tc>
          <w:tcPr>
            <w:tcW w:w="1665" w:type="dxa"/>
            <w:vMerge w:val="continue"/>
            <w:tcBorders>
              <w:top w:val="single" w:sz="8" w:space="0" w:color="000001"/>
              <w:left w:val="single" w:sz="8" w:space="0" w:color="E0E0E0"/>
              <w:bottom w:val="single" w:sz="4" w:space="0" w:color="AEAEAE"/>
              <w:right w:val="single" w:sz="8" w:space="0" w:color="E0E0E0"/>
              <w:insideH w:val="single" w:sz="4"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7"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0.10</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0.15</w:t>
            </w:r>
          </w:p>
        </w:tc>
        <w:tc>
          <w:tcPr>
            <w:tcW w:w="575"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0.14</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0.03</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0.03</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0.09</w:t>
            </w:r>
          </w:p>
        </w:tc>
        <w:tc>
          <w:tcPr>
            <w:tcW w:w="573"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0.06</w:t>
            </w:r>
          </w:p>
        </w:tc>
        <w:tc>
          <w:tcPr>
            <w:tcW w:w="494"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cantSplit w:val="true"/>
        </w:trPr>
        <w:tc>
          <w:tcPr>
            <w:tcW w:w="1665" w:type="dxa"/>
            <w:vMerge w:val="restart"/>
            <w:tcBorders>
              <w:top w:val="single" w:sz="4"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LPA_LDS</w:t>
            </w:r>
          </w:p>
        </w:tc>
        <w:tc>
          <w:tcPr>
            <w:tcW w:w="1037"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0.01</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0.99</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0.98</w:t>
            </w:r>
          </w:p>
        </w:tc>
        <w:tc>
          <w:tcPr>
            <w:tcW w:w="575"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1.00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0.03</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73"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0.96</w:t>
            </w:r>
          </w:p>
        </w:tc>
        <w:tc>
          <w:tcPr>
            <w:tcW w:w="494"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cantSplit w:val="true"/>
        </w:trPr>
        <w:tc>
          <w:tcPr>
            <w:tcW w:w="1665"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7"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0.03</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0.07</w:t>
            </w:r>
          </w:p>
        </w:tc>
        <w:tc>
          <w:tcPr>
            <w:tcW w:w="575"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0.15</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0.01</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0.01</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0.09</w:t>
            </w:r>
          </w:p>
        </w:tc>
        <w:tc>
          <w:tcPr>
            <w:tcW w:w="573"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0.01</w:t>
            </w:r>
          </w:p>
        </w:tc>
        <w:tc>
          <w:tcPr>
            <w:tcW w:w="494"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cantSplit w:val="true"/>
        </w:trPr>
        <w:tc>
          <w:tcPr>
            <w:tcW w:w="1665" w:type="dxa"/>
            <w:vMerge w:val="restart"/>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Apriori_LDS</w:t>
            </w:r>
          </w:p>
        </w:tc>
        <w:tc>
          <w:tcPr>
            <w:tcW w:w="1037"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0.86</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0.15</w:t>
            </w:r>
          </w:p>
        </w:tc>
        <w:tc>
          <w:tcPr>
            <w:tcW w:w="575"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0.77</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0.95</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0.07</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0.68</w:t>
            </w:r>
          </w:p>
        </w:tc>
        <w:tc>
          <w:tcPr>
            <w:tcW w:w="573"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0.86</w:t>
            </w:r>
          </w:p>
        </w:tc>
        <w:tc>
          <w:tcPr>
            <w:tcW w:w="494"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cantSplit w:val="true"/>
        </w:trPr>
        <w:tc>
          <w:tcPr>
            <w:tcW w:w="1665" w:type="dxa"/>
            <w:vMerge w:val="continue"/>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7"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0.15</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0.15</w:t>
            </w:r>
          </w:p>
        </w:tc>
        <w:tc>
          <w:tcPr>
            <w:tcW w:w="575"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0.17</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0.06</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0.06</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0.04</w:t>
            </w:r>
          </w:p>
        </w:tc>
        <w:tc>
          <w:tcPr>
            <w:tcW w:w="573"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0.12</w:t>
            </w:r>
          </w:p>
        </w:tc>
        <w:tc>
          <w:tcPr>
            <w:tcW w:w="494"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cantSplit w:val="true"/>
        </w:trPr>
        <w:tc>
          <w:tcPr>
            <w:tcW w:w="1665" w:type="dxa"/>
            <w:vMerge w:val="restart"/>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ACO_LDS</w:t>
            </w:r>
          </w:p>
        </w:tc>
        <w:tc>
          <w:tcPr>
            <w:tcW w:w="1037"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0.06</w:t>
            </w:r>
          </w:p>
        </w:tc>
        <w:tc>
          <w:tcPr>
            <w:tcW w:w="570"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0.27</w:t>
            </w:r>
          </w:p>
        </w:tc>
        <w:tc>
          <w:tcPr>
            <w:tcW w:w="574"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0.26</w:t>
            </w:r>
          </w:p>
        </w:tc>
        <w:tc>
          <w:tcPr>
            <w:tcW w:w="575"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0.39</w:t>
            </w:r>
          </w:p>
        </w:tc>
        <w:tc>
          <w:tcPr>
            <w:tcW w:w="572"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0.13</w:t>
            </w:r>
          </w:p>
        </w:tc>
        <w:tc>
          <w:tcPr>
            <w:tcW w:w="574"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0.72</w:t>
            </w:r>
          </w:p>
        </w:tc>
        <w:tc>
          <w:tcPr>
            <w:tcW w:w="572"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0.21</w:t>
            </w:r>
          </w:p>
        </w:tc>
        <w:tc>
          <w:tcPr>
            <w:tcW w:w="572"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73" w:type="dxa"/>
            <w:tcBorders>
              <w:top w:val="single" w:sz="8" w:space="0" w:color="AEAEAE"/>
              <w:left w:val="single" w:sz="8" w:space="0" w:color="E0E0E0"/>
              <w:bottom w:val="dashed" w:sz="4" w:space="0" w:color="D9D9D9"/>
              <w:right w:val="single" w:sz="8" w:space="0" w:color="E0E0E0"/>
              <w:insideH w:val="dashed" w:sz="4" w:space="0" w:color="D9D9D9"/>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0.67</w:t>
            </w:r>
          </w:p>
        </w:tc>
        <w:tc>
          <w:tcPr>
            <w:tcW w:w="494" w:type="dxa"/>
            <w:tcBorders>
              <w:top w:val="single" w:sz="8" w:space="0" w:color="AEAEAE"/>
              <w:left w:val="single" w:sz="8" w:space="0" w:color="E0E0E0"/>
              <w:bottom w:val="dashed" w:sz="4" w:space="0" w:color="D9D9D9"/>
              <w:right w:val="single" w:sz="8" w:space="0" w:color="AEAEAE"/>
              <w:insideH w:val="dashed" w:sz="4" w:space="0" w:color="D9D9D9"/>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cantSplit w:val="true"/>
        </w:trPr>
        <w:tc>
          <w:tcPr>
            <w:tcW w:w="1665" w:type="dxa"/>
            <w:vMerge w:val="continue"/>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7"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0.21</w:t>
            </w:r>
          </w:p>
        </w:tc>
        <w:tc>
          <w:tcPr>
            <w:tcW w:w="570"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0.21</w:t>
            </w:r>
          </w:p>
        </w:tc>
        <w:tc>
          <w:tcPr>
            <w:tcW w:w="574"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0.20</w:t>
            </w:r>
          </w:p>
        </w:tc>
        <w:tc>
          <w:tcPr>
            <w:tcW w:w="575"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0.13</w:t>
            </w:r>
          </w:p>
        </w:tc>
        <w:tc>
          <w:tcPr>
            <w:tcW w:w="572"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0.31</w:t>
            </w:r>
          </w:p>
        </w:tc>
        <w:tc>
          <w:tcPr>
            <w:tcW w:w="574"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0.19</w:t>
            </w:r>
          </w:p>
        </w:tc>
        <w:tc>
          <w:tcPr>
            <w:tcW w:w="572"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0.11</w:t>
            </w:r>
          </w:p>
        </w:tc>
        <w:tc>
          <w:tcPr>
            <w:tcW w:w="572"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73" w:type="dxa"/>
            <w:tcBorders>
              <w:top w:val="dashed" w:sz="4" w:space="0" w:color="D9D9D9"/>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0.19</w:t>
            </w:r>
          </w:p>
        </w:tc>
        <w:tc>
          <w:tcPr>
            <w:tcW w:w="494" w:type="dxa"/>
            <w:tcBorders>
              <w:top w:val="dashed" w:sz="4" w:space="0" w:color="D9D9D9"/>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cantSplit w:val="true"/>
        </w:trPr>
        <w:tc>
          <w:tcPr>
            <w:tcW w:w="1665"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 w:val="18"/>
                <w:szCs w:val="18"/>
                <w:lang w:eastAsia="en-US"/>
              </w:rPr>
              <w:t>GA_LDS</w:t>
            </w:r>
          </w:p>
        </w:tc>
        <w:tc>
          <w:tcPr>
            <w:tcW w:w="1037"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1.00</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0.95</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0.93</w:t>
            </w:r>
          </w:p>
        </w:tc>
        <w:tc>
          <w:tcPr>
            <w:tcW w:w="575"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1.00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573"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0.96</w:t>
            </w:r>
          </w:p>
        </w:tc>
        <w:tc>
          <w:tcPr>
            <w:tcW w:w="494"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cantSplit w:val="true"/>
        </w:trPr>
        <w:tc>
          <w:tcPr>
            <w:tcW w:w="1665"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Cs w:val="18"/>
                <w:lang w:val="en-US" w:eastAsia="en-US"/>
              </w:rPr>
            </w:pPr>
            <w:r>
              <w:rPr>
                <w:color w:val="264A60"/>
                <w:szCs w:val="18"/>
                <w:lang w:val="en-US" w:eastAsia="en-US"/>
              </w:rPr>
            </w:r>
          </w:p>
        </w:tc>
        <w:tc>
          <w:tcPr>
            <w:tcW w:w="1037"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0.03</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0.09</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0.10</w:t>
            </w:r>
          </w:p>
        </w:tc>
        <w:tc>
          <w:tcPr>
            <w:tcW w:w="575"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0.01</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0.01</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0.06</w:t>
            </w:r>
          </w:p>
        </w:tc>
        <w:tc>
          <w:tcPr>
            <w:tcW w:w="573"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0.02</w:t>
            </w:r>
          </w:p>
        </w:tc>
        <w:tc>
          <w:tcPr>
            <w:tcW w:w="494"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r>
        <w:trPr>
          <w:cantSplit w:val="true"/>
        </w:trPr>
        <w:tc>
          <w:tcPr>
            <w:tcW w:w="1665" w:type="dxa"/>
            <w:vMerge w:val="restart"/>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center"/>
          </w:tcPr>
          <w:p>
            <w:pPr>
              <w:pStyle w:val="NormalTabla"/>
              <w:rPr>
                <w:color w:val="264A60"/>
                <w:sz w:val="18"/>
                <w:szCs w:val="18"/>
                <w:lang w:eastAsia="en-US"/>
              </w:rPr>
            </w:pPr>
            <w:r>
              <w:rPr>
                <w:color w:val="264A60"/>
                <w:sz w:val="18"/>
                <w:szCs w:val="18"/>
                <w:lang w:eastAsia="en-US"/>
              </w:rPr>
              <w:t>PCA_LDS</w:t>
            </w:r>
          </w:p>
        </w:tc>
        <w:tc>
          <w:tcPr>
            <w:tcW w:w="1037"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 xml:space="preserve">Media </w:t>
            </w:r>
          </w:p>
        </w:tc>
        <w:tc>
          <w:tcPr>
            <w:tcW w:w="571"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0"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0.86</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0.15</w:t>
            </w:r>
          </w:p>
        </w:tc>
        <w:tc>
          <w:tcPr>
            <w:tcW w:w="575"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0.50</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0.71</w:t>
            </w:r>
          </w:p>
        </w:tc>
        <w:tc>
          <w:tcPr>
            <w:tcW w:w="574"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0.94</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0.08</w:t>
            </w:r>
          </w:p>
        </w:tc>
        <w:tc>
          <w:tcPr>
            <w:tcW w:w="572"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0.71</w:t>
            </w:r>
          </w:p>
        </w:tc>
        <w:tc>
          <w:tcPr>
            <w:tcW w:w="573" w:type="dxa"/>
            <w:tcBorders>
              <w:top w:val="single" w:sz="8" w:space="0" w:color="AEAEAE"/>
              <w:left w:val="single" w:sz="8" w:space="0" w:color="E0E0E0"/>
              <w:bottom w:val="dashed" w:sz="4" w:space="0" w:color="E0E0E0"/>
              <w:right w:val="single" w:sz="8" w:space="0" w:color="E0E0E0"/>
              <w:insideH w:val="dashed" w:sz="4" w:space="0" w:color="E0E0E0"/>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0.87</w:t>
            </w:r>
          </w:p>
        </w:tc>
        <w:tc>
          <w:tcPr>
            <w:tcW w:w="494" w:type="dxa"/>
            <w:tcBorders>
              <w:top w:val="single" w:sz="8" w:space="0" w:color="AEAEAE"/>
              <w:left w:val="single" w:sz="8" w:space="0" w:color="E0E0E0"/>
              <w:bottom w:val="dashed" w:sz="4" w:space="0" w:color="E0E0E0"/>
              <w:right w:val="single" w:sz="8" w:space="0" w:color="AEAEAE"/>
              <w:insideH w:val="dashed" w:sz="4" w:space="0" w:color="E0E0E0"/>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0.97</w:t>
            </w:r>
          </w:p>
        </w:tc>
      </w:tr>
      <w:tr>
        <w:trPr>
          <w:cantSplit w:val="true"/>
        </w:trPr>
        <w:tc>
          <w:tcPr>
            <w:tcW w:w="1665" w:type="dxa"/>
            <w:vMerge w:val="continue"/>
            <w:tcBorders>
              <w:top w:val="single" w:sz="8" w:space="0" w:color="000001"/>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center"/>
          </w:tcPr>
          <w:p>
            <w:pPr>
              <w:pStyle w:val="NormalTabla"/>
              <w:rPr>
                <w:color w:val="264A60"/>
                <w:sz w:val="18"/>
                <w:szCs w:val="18"/>
                <w:lang w:eastAsia="en-US"/>
              </w:rPr>
            </w:pPr>
            <w:r>
              <w:rPr>
                <w:color w:val="264A60"/>
                <w:sz w:val="18"/>
                <w:szCs w:val="18"/>
                <w:lang w:eastAsia="en-US"/>
              </w:rPr>
            </w:r>
          </w:p>
        </w:tc>
        <w:tc>
          <w:tcPr>
            <w:tcW w:w="1037"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jc w:val="center"/>
              <w:rPr>
                <w:color w:val="264A60"/>
                <w:sz w:val="18"/>
                <w:szCs w:val="18"/>
                <w:lang w:eastAsia="en-US"/>
              </w:rPr>
            </w:pPr>
            <w:r>
              <w:rPr>
                <w:color w:val="264A60"/>
                <w:sz w:val="18"/>
                <w:szCs w:val="18"/>
                <w:lang w:eastAsia="en-US"/>
              </w:rPr>
              <w:t>StdDev</w:t>
            </w:r>
          </w:p>
        </w:tc>
        <w:tc>
          <w:tcPr>
            <w:tcW w:w="571"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0"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0.15</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0.15</w:t>
            </w:r>
          </w:p>
        </w:tc>
        <w:tc>
          <w:tcPr>
            <w:tcW w:w="575"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0.10</w:t>
            </w:r>
          </w:p>
        </w:tc>
        <w:tc>
          <w:tcPr>
            <w:tcW w:w="574"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0.07</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0.07</w:t>
            </w:r>
          </w:p>
        </w:tc>
        <w:tc>
          <w:tcPr>
            <w:tcW w:w="572"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0.01</w:t>
            </w:r>
          </w:p>
        </w:tc>
        <w:tc>
          <w:tcPr>
            <w:tcW w:w="573" w:type="dxa"/>
            <w:tcBorders>
              <w:top w:val="dashed" w:sz="4" w:space="0" w:color="E0E0E0"/>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pacing w:lineRule="auto" w:line="240" w:before="0" w:after="0"/>
              <w:jc w:val="center"/>
              <w:rPr>
                <w:sz w:val="18"/>
                <w:szCs w:val="18"/>
              </w:rPr>
            </w:pPr>
            <w:r>
              <w:rPr>
                <w:sz w:val="18"/>
                <w:szCs w:val="18"/>
              </w:rPr>
              <w:t>0.11</w:t>
            </w:r>
          </w:p>
        </w:tc>
        <w:tc>
          <w:tcPr>
            <w:tcW w:w="494" w:type="dxa"/>
            <w:tcBorders>
              <w:top w:val="dashed" w:sz="4" w:space="0" w:color="E0E0E0"/>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pacing w:lineRule="auto" w:line="240" w:before="0" w:after="0"/>
              <w:jc w:val="center"/>
              <w:rPr>
                <w:sz w:val="18"/>
                <w:szCs w:val="18"/>
              </w:rPr>
            </w:pPr>
            <w:r>
              <w:rPr>
                <w:sz w:val="18"/>
                <w:szCs w:val="18"/>
              </w:rPr>
              <w:t>0.00</w:t>
            </w:r>
          </w:p>
        </w:tc>
      </w:tr>
    </w:tbl>
    <w:p>
      <w:pPr>
        <w:pStyle w:val="Normal"/>
        <w:rPr/>
      </w:pPr>
      <w:r>
        <w:rPr/>
      </w:r>
    </w:p>
    <w:p>
      <w:pPr>
        <w:pStyle w:val="Caption1"/>
        <w:keepNext/>
        <w:rPr/>
      </w:pPr>
      <w:bookmarkStart w:id="3833" w:name="_Toc84599003"/>
      <w:bookmarkStart w:id="3834" w:name="_Ref68937399"/>
      <w:r>
        <w:rPr/>
        <w:t xml:space="preserve">Tabla </w:t>
      </w:r>
      <w:r>
        <w:rPr/>
        <w:fldChar w:fldCharType="begin"/>
      </w:r>
      <w:r>
        <w:instrText> SEQ Tabla \* ARABIC </w:instrText>
      </w:r>
      <w:r>
        <w:fldChar w:fldCharType="separate"/>
      </w:r>
      <w:r>
        <w:t>33</w:t>
      </w:r>
      <w:r>
        <w:fldChar w:fldCharType="end"/>
      </w:r>
      <w:bookmarkEnd w:id="3833"/>
      <w:bookmarkEnd w:id="3834"/>
      <w:r>
        <w:rPr/>
        <w:t>: Resultado de los algoritmos respecto al tiempo de ejecución.</w:t>
      </w:r>
    </w:p>
    <w:tbl>
      <w:tblPr>
        <w:tblW w:w="4800" w:type="pct"/>
        <w:jc w:val="center"/>
        <w:tblInd w:w="0" w:type="dxa"/>
        <w:tblBorders>
          <w:top w:val="single" w:sz="8" w:space="0" w:color="000001"/>
          <w:left w:val="single" w:sz="8" w:space="0" w:color="AEAEAE"/>
          <w:bottom w:val="single" w:sz="8" w:space="0" w:color="AEAEAE"/>
          <w:right w:val="single" w:sz="8" w:space="0" w:color="E0E0E0"/>
          <w:insideH w:val="single" w:sz="8" w:space="0" w:color="AEAEAE"/>
          <w:insideV w:val="single" w:sz="8" w:space="0" w:color="E0E0E0"/>
        </w:tblBorders>
        <w:tblCellMar>
          <w:top w:w="0" w:type="dxa"/>
          <w:left w:w="-10" w:type="dxa"/>
          <w:bottom w:w="0" w:type="dxa"/>
          <w:right w:w="0" w:type="dxa"/>
        </w:tblCellMar>
        <w:tblLook w:val="0000" w:noVBand="0" w:noHBand="0" w:lastColumn="0" w:firstColumn="0" w:lastRow="0" w:firstRow="0"/>
      </w:tblPr>
      <w:tblGrid>
        <w:gridCol w:w="2571"/>
        <w:gridCol w:w="27"/>
        <w:gridCol w:w="1027"/>
        <w:gridCol w:w="933"/>
        <w:gridCol w:w="1114"/>
        <w:gridCol w:w="1037"/>
        <w:gridCol w:w="946"/>
        <w:gridCol w:w="963"/>
      </w:tblGrid>
      <w:tr>
        <w:trPr>
          <w:cantSplit w:val="true"/>
        </w:trPr>
        <w:tc>
          <w:tcPr>
            <w:tcW w:w="2571" w:type="dxa"/>
            <w:tcBorders>
              <w:top w:val="single" w:sz="8" w:space="0" w:color="000001"/>
              <w:left w:val="single" w:sz="8" w:space="0" w:color="AEAEAE"/>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
              <w:suppressAutoHyphens w:val="false"/>
              <w:overflowPunct w:val="true"/>
              <w:spacing w:lineRule="auto" w:line="240" w:before="80" w:after="20"/>
              <w:ind w:left="60" w:right="60" w:hanging="0"/>
              <w:jc w:val="center"/>
              <w:textAlignment w:val="auto"/>
              <w:rPr>
                <w:color w:val="264A60"/>
                <w:sz w:val="18"/>
                <w:szCs w:val="18"/>
                <w:lang w:eastAsia="en-US"/>
              </w:rPr>
            </w:pPr>
            <w:r>
              <w:rPr>
                <w:b/>
                <w:color w:val="264A60"/>
                <w:szCs w:val="18"/>
                <w:lang w:eastAsia="en-US"/>
              </w:rPr>
              <w:t>T. de ejecución</w:t>
            </w:r>
          </w:p>
        </w:tc>
        <w:tc>
          <w:tcPr>
            <w:tcW w:w="1054" w:type="dxa"/>
            <w:gridSpan w:val="2"/>
            <w:tcBorders>
              <w:top w:val="single" w:sz="8" w:space="0" w:color="000001"/>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tcPr>
          <w:p>
            <w:pPr>
              <w:pStyle w:val="Normal"/>
              <w:suppressAutoHyphens w:val="false"/>
              <w:overflowPunct w:val="true"/>
              <w:spacing w:lineRule="auto" w:line="240" w:before="80" w:after="20"/>
              <w:ind w:left="60" w:right="60" w:hanging="0"/>
              <w:jc w:val="center"/>
              <w:textAlignment w:val="auto"/>
              <w:rPr>
                <w:color w:val="264A60"/>
                <w:sz w:val="18"/>
                <w:szCs w:val="18"/>
                <w:lang w:eastAsia="en-US"/>
              </w:rPr>
            </w:pPr>
            <w:r>
              <w:rPr>
                <w:color w:val="264A60"/>
                <w:sz w:val="18"/>
                <w:szCs w:val="18"/>
                <w:lang w:eastAsia="en-US"/>
              </w:rPr>
              <w:t xml:space="preserve">RST_LDS </w:t>
            </w:r>
          </w:p>
        </w:tc>
        <w:tc>
          <w:tcPr>
            <w:tcW w:w="933" w:type="dxa"/>
            <w:tcBorders>
              <w:top w:val="single" w:sz="8" w:space="0" w:color="000001"/>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tcPr>
          <w:p>
            <w:pPr>
              <w:pStyle w:val="Normal"/>
              <w:suppressAutoHyphens w:val="false"/>
              <w:overflowPunct w:val="true"/>
              <w:spacing w:lineRule="auto" w:line="240" w:before="80" w:after="20"/>
              <w:ind w:left="60" w:right="60" w:hanging="0"/>
              <w:jc w:val="center"/>
              <w:textAlignment w:val="auto"/>
              <w:rPr>
                <w:color w:val="264A60"/>
                <w:sz w:val="18"/>
                <w:szCs w:val="18"/>
                <w:lang w:eastAsia="en-US"/>
              </w:rPr>
            </w:pPr>
            <w:r>
              <w:rPr>
                <w:color w:val="264A60"/>
                <w:sz w:val="18"/>
                <w:szCs w:val="18"/>
                <w:lang w:eastAsia="en-US"/>
              </w:rPr>
              <w:t xml:space="preserve">LPA_LDS </w:t>
            </w:r>
          </w:p>
        </w:tc>
        <w:tc>
          <w:tcPr>
            <w:tcW w:w="1114" w:type="dxa"/>
            <w:tcBorders>
              <w:top w:val="single" w:sz="8" w:space="0" w:color="000001"/>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tcPr>
          <w:p>
            <w:pPr>
              <w:pStyle w:val="Normal"/>
              <w:suppressAutoHyphens w:val="false"/>
              <w:overflowPunct w:val="true"/>
              <w:spacing w:lineRule="auto" w:line="240" w:before="80" w:after="20"/>
              <w:ind w:left="60" w:right="60" w:hanging="0"/>
              <w:jc w:val="center"/>
              <w:textAlignment w:val="auto"/>
              <w:rPr>
                <w:color w:val="264A60"/>
                <w:sz w:val="18"/>
                <w:szCs w:val="18"/>
                <w:lang w:eastAsia="en-US"/>
              </w:rPr>
            </w:pPr>
            <w:r>
              <w:rPr>
                <w:color w:val="264A60"/>
                <w:sz w:val="18"/>
                <w:szCs w:val="18"/>
                <w:lang w:eastAsia="en-US"/>
              </w:rPr>
              <w:t>Apriori_LDS</w:t>
            </w:r>
          </w:p>
        </w:tc>
        <w:tc>
          <w:tcPr>
            <w:tcW w:w="1037" w:type="dxa"/>
            <w:tcBorders>
              <w:top w:val="single" w:sz="8" w:space="0" w:color="000001"/>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tcPr>
          <w:p>
            <w:pPr>
              <w:pStyle w:val="Normal"/>
              <w:suppressAutoHyphens w:val="false"/>
              <w:overflowPunct w:val="true"/>
              <w:spacing w:lineRule="auto" w:line="240" w:before="80" w:after="20"/>
              <w:ind w:left="60" w:right="60" w:hanging="0"/>
              <w:jc w:val="center"/>
              <w:textAlignment w:val="auto"/>
              <w:rPr>
                <w:color w:val="264A60"/>
                <w:sz w:val="18"/>
                <w:szCs w:val="18"/>
                <w:lang w:eastAsia="en-US"/>
              </w:rPr>
            </w:pPr>
            <w:r>
              <w:rPr>
                <w:color w:val="264A60"/>
                <w:sz w:val="18"/>
                <w:szCs w:val="18"/>
                <w:lang w:eastAsia="en-US"/>
              </w:rPr>
              <w:t>ACO_LDS</w:t>
            </w:r>
          </w:p>
        </w:tc>
        <w:tc>
          <w:tcPr>
            <w:tcW w:w="946" w:type="dxa"/>
            <w:tcBorders>
              <w:top w:val="single" w:sz="8" w:space="0" w:color="000001"/>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tcPr>
          <w:p>
            <w:pPr>
              <w:pStyle w:val="Normal"/>
              <w:suppressAutoHyphens w:val="false"/>
              <w:overflowPunct w:val="true"/>
              <w:spacing w:lineRule="auto" w:line="240" w:before="80" w:after="20"/>
              <w:ind w:left="60" w:right="60" w:hanging="0"/>
              <w:jc w:val="center"/>
              <w:textAlignment w:val="auto"/>
              <w:rPr>
                <w:color w:val="264A60"/>
                <w:sz w:val="18"/>
                <w:szCs w:val="18"/>
                <w:lang w:eastAsia="en-US"/>
              </w:rPr>
            </w:pPr>
            <w:r>
              <w:rPr>
                <w:color w:val="264A60"/>
                <w:sz w:val="18"/>
                <w:szCs w:val="18"/>
                <w:lang w:eastAsia="en-US"/>
              </w:rPr>
              <w:t>GA_LDS</w:t>
            </w:r>
          </w:p>
        </w:tc>
        <w:tc>
          <w:tcPr>
            <w:tcW w:w="963" w:type="dxa"/>
            <w:tcBorders>
              <w:top w:val="single" w:sz="8" w:space="0" w:color="000001"/>
              <w:left w:val="single" w:sz="8" w:space="0" w:color="E0E0E0"/>
              <w:bottom w:val="single" w:sz="8" w:space="0" w:color="152935"/>
              <w:right w:val="single" w:sz="8" w:space="0" w:color="AEAEAE"/>
              <w:insideH w:val="single" w:sz="8" w:space="0" w:color="152935"/>
              <w:insideV w:val="single" w:sz="8" w:space="0" w:color="AEAEAE"/>
            </w:tcBorders>
            <w:shd w:color="auto" w:fill="FFFFFF" w:val="clear"/>
            <w:tcMar>
              <w:left w:w="-10" w:type="dxa"/>
            </w:tcMar>
          </w:tcPr>
          <w:p>
            <w:pPr>
              <w:pStyle w:val="Normal"/>
              <w:suppressAutoHyphens w:val="false"/>
              <w:overflowPunct w:val="true"/>
              <w:spacing w:lineRule="auto" w:line="240" w:before="80" w:after="20"/>
              <w:ind w:left="60" w:right="60" w:hanging="0"/>
              <w:jc w:val="center"/>
              <w:textAlignment w:val="auto"/>
              <w:rPr>
                <w:color w:val="264A60"/>
                <w:sz w:val="18"/>
                <w:szCs w:val="18"/>
                <w:lang w:eastAsia="en-US"/>
              </w:rPr>
            </w:pPr>
            <w:r>
              <w:rPr>
                <w:color w:val="264A60"/>
                <w:sz w:val="18"/>
                <w:szCs w:val="18"/>
                <w:lang w:eastAsia="en-US"/>
              </w:rPr>
              <w:t>PCA_LDS</w:t>
            </w:r>
          </w:p>
        </w:tc>
      </w:tr>
      <w:tr>
        <w:trPr>
          <w:trHeight w:val="195" w:hRule="atLeast"/>
          <w:cantSplit w:val="true"/>
        </w:trPr>
        <w:tc>
          <w:tcPr>
            <w:tcW w:w="3625" w:type="dxa"/>
            <w:gridSpan w:val="3"/>
            <w:tcBorders>
              <w:top w:val="single" w:sz="8" w:space="0" w:color="152935"/>
              <w:left w:val="single" w:sz="8" w:space="0" w:color="E0E0E0"/>
              <w:bottom w:val="single" w:sz="8" w:space="0" w:color="AEAEAE"/>
              <w:right w:val="single" w:sz="8" w:space="0" w:color="AEAEAE"/>
              <w:insideH w:val="single" w:sz="8" w:space="0" w:color="AEAEAE"/>
              <w:insideV w:val="single" w:sz="8" w:space="0" w:color="AEAEAE"/>
            </w:tcBorders>
            <w:shd w:color="auto" w:fill="E0E0E0" w:val="clear"/>
            <w:tcMar>
              <w:left w:w="-10" w:type="dxa"/>
            </w:tcMar>
            <w:vAlign w:val="center"/>
          </w:tcPr>
          <w:p>
            <w:pPr>
              <w:pStyle w:val="Normal"/>
              <w:suppressAutoHyphens w:val="false"/>
              <w:overflowPunct w:val="true"/>
              <w:spacing w:lineRule="auto" w:line="240" w:before="80" w:after="20"/>
              <w:ind w:left="60" w:right="60" w:hanging="0"/>
              <w:jc w:val="center"/>
              <w:textAlignment w:val="auto"/>
              <w:rPr>
                <w:color w:val="010205"/>
                <w:sz w:val="20"/>
                <w:szCs w:val="20"/>
                <w:lang w:val="en-US" w:eastAsia="en-US"/>
              </w:rPr>
            </w:pPr>
            <w:r>
              <w:rPr>
                <w:b/>
                <w:color w:val="264A60"/>
                <w:szCs w:val="18"/>
                <w:lang w:val="en-US" w:eastAsia="en-US"/>
              </w:rPr>
              <w:t>BD sobre proyectos</w:t>
            </w:r>
          </w:p>
        </w:tc>
        <w:tc>
          <w:tcPr>
            <w:tcW w:w="4993" w:type="dxa"/>
            <w:gridSpan w:val="5"/>
            <w:tcBorders>
              <w:top w:val="single" w:sz="8" w:space="0" w:color="152935"/>
              <w:left w:val="single" w:sz="8" w:space="0" w:color="E0E0E0"/>
              <w:bottom w:val="single" w:sz="8" w:space="0" w:color="AEAEAE"/>
              <w:right w:val="single" w:sz="8" w:space="0" w:color="AEAEAE"/>
              <w:insideH w:val="single" w:sz="8" w:space="0" w:color="AEAEAE"/>
              <w:insideV w:val="single" w:sz="8" w:space="0" w:color="AEAEAE"/>
            </w:tcBorders>
            <w:shd w:color="auto" w:fill="FFFFFF" w:val="clear"/>
            <w:tcMar>
              <w:left w:w="-10" w:type="dxa"/>
            </w:tcMar>
          </w:tcPr>
          <w:p>
            <w:pPr>
              <w:pStyle w:val="Normal"/>
              <w:suppressAutoHyphens w:val="false"/>
              <w:overflowPunct w:val="true"/>
              <w:spacing w:lineRule="auto" w:line="240" w:before="80" w:after="20"/>
              <w:ind w:left="60" w:right="60" w:hanging="0"/>
              <w:jc w:val="center"/>
              <w:textAlignment w:val="auto"/>
              <w:rPr>
                <w:color w:val="010205"/>
                <w:sz w:val="20"/>
                <w:szCs w:val="20"/>
                <w:lang w:val="en-US" w:eastAsia="en-US"/>
              </w:rPr>
            </w:pPr>
            <w:r>
              <w:rPr>
                <w:color w:val="010205"/>
                <w:sz w:val="20"/>
                <w:szCs w:val="20"/>
                <w:lang w:val="en-US" w:eastAsia="en-US"/>
              </w:rPr>
            </w:r>
          </w:p>
        </w:tc>
      </w:tr>
      <w:tr>
        <w:trPr>
          <w:trHeight w:val="195" w:hRule="atLeast"/>
          <w:cantSplit w:val="true"/>
        </w:trPr>
        <w:tc>
          <w:tcPr>
            <w:tcW w:w="2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bottom"/>
          </w:tcPr>
          <w:p>
            <w:pPr>
              <w:pStyle w:val="NormalTabla"/>
              <w:spacing w:before="60" w:after="20"/>
              <w:rPr>
                <w:color w:val="264A60"/>
                <w:szCs w:val="18"/>
                <w:lang w:val="en-US" w:eastAsia="en-US"/>
              </w:rPr>
            </w:pPr>
            <w:r>
              <w:rPr>
                <w:color w:val="264A60"/>
                <w:szCs w:val="18"/>
                <w:lang w:val="en-US" w:eastAsia="en-US"/>
              </w:rPr>
              <w:t>BD_gp_competencias</w:t>
            </w:r>
          </w:p>
        </w:tc>
        <w:tc>
          <w:tcPr>
            <w:tcW w:w="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spacing w:before="60" w:after="20"/>
              <w:jc w:val="center"/>
              <w:rPr>
                <w:color w:val="010205"/>
                <w:szCs w:val="18"/>
                <w:lang w:val="en-US" w:eastAsia="en-US"/>
              </w:rPr>
            </w:pPr>
            <w:r>
              <w:rPr>
                <w:color w:val="010205"/>
                <w:szCs w:val="18"/>
                <w:lang w:val="en-US" w:eastAsia="en-US"/>
              </w:rPr>
            </w:r>
          </w:p>
        </w:tc>
        <w:tc>
          <w:tcPr>
            <w:tcW w:w="10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10.97</w:t>
            </w:r>
          </w:p>
        </w:tc>
        <w:tc>
          <w:tcPr>
            <w:tcW w:w="933"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219.22</w:t>
            </w:r>
          </w:p>
        </w:tc>
        <w:tc>
          <w:tcPr>
            <w:tcW w:w="1114"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118.33</w:t>
            </w:r>
          </w:p>
        </w:tc>
        <w:tc>
          <w:tcPr>
            <w:tcW w:w="103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79262.00</w:t>
            </w:r>
          </w:p>
        </w:tc>
        <w:tc>
          <w:tcPr>
            <w:tcW w:w="946"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5378.45</w:t>
            </w:r>
          </w:p>
        </w:tc>
        <w:tc>
          <w:tcPr>
            <w:tcW w:w="963" w:type="dxa"/>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FFFFFF"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125.40</w:t>
            </w:r>
          </w:p>
        </w:tc>
      </w:tr>
      <w:tr>
        <w:trPr>
          <w:cantSplit w:val="true"/>
        </w:trPr>
        <w:tc>
          <w:tcPr>
            <w:tcW w:w="2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bottom"/>
          </w:tcPr>
          <w:p>
            <w:pPr>
              <w:pStyle w:val="NormalTabla"/>
              <w:spacing w:before="60" w:after="20"/>
              <w:rPr>
                <w:color w:val="264A60"/>
                <w:szCs w:val="18"/>
                <w:lang w:val="en-US" w:eastAsia="en-US"/>
              </w:rPr>
            </w:pPr>
            <w:r>
              <w:rPr>
                <w:color w:val="264A60"/>
                <w:szCs w:val="18"/>
                <w:lang w:val="en-US" w:eastAsia="en-US"/>
              </w:rPr>
              <w:t>BD_gp_eval_proy_hard</w:t>
            </w:r>
          </w:p>
        </w:tc>
        <w:tc>
          <w:tcPr>
            <w:tcW w:w="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spacing w:before="60" w:after="20"/>
              <w:jc w:val="center"/>
              <w:rPr>
                <w:color w:val="010205"/>
                <w:szCs w:val="18"/>
                <w:lang w:val="en-US" w:eastAsia="en-US"/>
              </w:rPr>
            </w:pPr>
            <w:r>
              <w:rPr>
                <w:color w:val="010205"/>
                <w:szCs w:val="18"/>
                <w:lang w:val="en-US" w:eastAsia="en-US"/>
              </w:rPr>
            </w:r>
          </w:p>
        </w:tc>
        <w:tc>
          <w:tcPr>
            <w:tcW w:w="10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uto" w:line="240" w:before="80" w:after="20"/>
              <w:ind w:left="60" w:right="60" w:hanging="0"/>
              <w:jc w:val="center"/>
              <w:textAlignment w:val="auto"/>
              <w:rPr>
                <w:color w:val="010205"/>
                <w:sz w:val="18"/>
                <w:szCs w:val="18"/>
                <w:lang w:eastAsia="en-US"/>
              </w:rPr>
            </w:pPr>
            <w:r>
              <w:rPr>
                <w:sz w:val="18"/>
                <w:szCs w:val="18"/>
              </w:rPr>
              <w:t>3.64</w:t>
            </w:r>
          </w:p>
        </w:tc>
        <w:tc>
          <w:tcPr>
            <w:tcW w:w="933"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uto" w:line="240" w:before="80" w:after="20"/>
              <w:ind w:left="60" w:right="60" w:hanging="0"/>
              <w:jc w:val="center"/>
              <w:textAlignment w:val="auto"/>
              <w:rPr>
                <w:color w:val="010205"/>
                <w:sz w:val="18"/>
                <w:szCs w:val="18"/>
                <w:lang w:eastAsia="en-US"/>
              </w:rPr>
            </w:pPr>
            <w:r>
              <w:rPr>
                <w:sz w:val="18"/>
                <w:szCs w:val="18"/>
              </w:rPr>
              <w:t>21.53</w:t>
            </w:r>
          </w:p>
        </w:tc>
        <w:tc>
          <w:tcPr>
            <w:tcW w:w="1114"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uto" w:line="240" w:before="80" w:after="20"/>
              <w:ind w:left="60" w:right="60" w:hanging="0"/>
              <w:jc w:val="center"/>
              <w:textAlignment w:val="auto"/>
              <w:rPr>
                <w:color w:val="010205"/>
                <w:sz w:val="18"/>
                <w:szCs w:val="18"/>
                <w:lang w:eastAsia="en-US"/>
              </w:rPr>
            </w:pPr>
            <w:r>
              <w:rPr>
                <w:sz w:val="18"/>
                <w:szCs w:val="18"/>
              </w:rPr>
              <w:t>6.67</w:t>
            </w:r>
          </w:p>
        </w:tc>
        <w:tc>
          <w:tcPr>
            <w:tcW w:w="103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eastAsia="en-US"/>
              </w:rPr>
            </w:pPr>
            <w:r>
              <w:rPr>
                <w:sz w:val="18"/>
                <w:szCs w:val="18"/>
              </w:rPr>
              <w:t>43429.29</w:t>
            </w:r>
          </w:p>
        </w:tc>
        <w:tc>
          <w:tcPr>
            <w:tcW w:w="946"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eastAsia="en-US"/>
              </w:rPr>
            </w:pPr>
            <w:r>
              <w:rPr>
                <w:sz w:val="18"/>
                <w:szCs w:val="18"/>
              </w:rPr>
              <w:t>1665.43</w:t>
            </w:r>
          </w:p>
        </w:tc>
        <w:tc>
          <w:tcPr>
            <w:tcW w:w="963" w:type="dxa"/>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eastAsia="en-US"/>
              </w:rPr>
            </w:pPr>
            <w:r>
              <w:rPr>
                <w:sz w:val="18"/>
                <w:szCs w:val="18"/>
              </w:rPr>
              <w:t>8.20</w:t>
            </w:r>
          </w:p>
        </w:tc>
      </w:tr>
      <w:tr>
        <w:trPr>
          <w:cantSplit w:val="true"/>
        </w:trPr>
        <w:tc>
          <w:tcPr>
            <w:tcW w:w="2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bottom"/>
          </w:tcPr>
          <w:p>
            <w:pPr>
              <w:pStyle w:val="NormalTabla"/>
              <w:spacing w:before="60" w:after="20"/>
              <w:rPr>
                <w:color w:val="264A60"/>
                <w:szCs w:val="18"/>
                <w:lang w:eastAsia="en-US"/>
              </w:rPr>
            </w:pPr>
            <w:r>
              <w:rPr>
                <w:color w:val="264A60"/>
                <w:szCs w:val="18"/>
                <w:lang w:eastAsia="en-US"/>
              </w:rPr>
              <w:t>BD_gp_eval_proy_integral</w:t>
            </w:r>
          </w:p>
        </w:tc>
        <w:tc>
          <w:tcPr>
            <w:tcW w:w="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spacing w:before="60" w:after="20"/>
              <w:jc w:val="center"/>
              <w:rPr/>
            </w:pPr>
            <w:r>
              <w:rPr/>
            </w:r>
          </w:p>
        </w:tc>
        <w:tc>
          <w:tcPr>
            <w:tcW w:w="10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uto" w:line="240" w:before="80" w:after="20"/>
              <w:ind w:left="60" w:right="60" w:hanging="0"/>
              <w:jc w:val="center"/>
              <w:textAlignment w:val="auto"/>
              <w:rPr>
                <w:color w:val="000000" w:themeColor="text1"/>
                <w:sz w:val="18"/>
                <w:szCs w:val="18"/>
              </w:rPr>
            </w:pPr>
            <w:r>
              <w:rPr>
                <w:sz w:val="18"/>
                <w:szCs w:val="18"/>
              </w:rPr>
              <w:t>0.29</w:t>
            </w:r>
          </w:p>
        </w:tc>
        <w:tc>
          <w:tcPr>
            <w:tcW w:w="933"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uto" w:line="240" w:before="80" w:after="20"/>
              <w:ind w:left="60" w:right="60" w:hanging="0"/>
              <w:jc w:val="center"/>
              <w:textAlignment w:val="auto"/>
              <w:rPr>
                <w:color w:val="000000" w:themeColor="text1"/>
                <w:sz w:val="18"/>
                <w:szCs w:val="18"/>
              </w:rPr>
            </w:pPr>
            <w:r>
              <w:rPr>
                <w:sz w:val="18"/>
                <w:szCs w:val="18"/>
              </w:rPr>
              <w:t>7.76</w:t>
            </w:r>
          </w:p>
        </w:tc>
        <w:tc>
          <w:tcPr>
            <w:tcW w:w="1114"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uto" w:line="240" w:before="80" w:after="20"/>
              <w:ind w:left="60" w:right="60" w:hanging="0"/>
              <w:jc w:val="center"/>
              <w:textAlignment w:val="auto"/>
              <w:rPr>
                <w:color w:val="000000" w:themeColor="text1"/>
                <w:sz w:val="18"/>
                <w:szCs w:val="18"/>
              </w:rPr>
            </w:pPr>
            <w:r>
              <w:rPr>
                <w:sz w:val="18"/>
                <w:szCs w:val="18"/>
              </w:rPr>
              <w:t>2.51</w:t>
            </w:r>
          </w:p>
        </w:tc>
        <w:tc>
          <w:tcPr>
            <w:tcW w:w="103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00000" w:themeColor="text1"/>
                <w:sz w:val="18"/>
                <w:szCs w:val="18"/>
              </w:rPr>
            </w:pPr>
            <w:r>
              <w:rPr>
                <w:sz w:val="18"/>
                <w:szCs w:val="18"/>
              </w:rPr>
              <w:t>2015.21</w:t>
            </w:r>
          </w:p>
        </w:tc>
        <w:tc>
          <w:tcPr>
            <w:tcW w:w="946"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00000" w:themeColor="text1"/>
                <w:sz w:val="18"/>
                <w:szCs w:val="18"/>
              </w:rPr>
            </w:pPr>
            <w:r>
              <w:rPr>
                <w:sz w:val="18"/>
                <w:szCs w:val="18"/>
              </w:rPr>
              <w:t>1705.83</w:t>
            </w:r>
          </w:p>
        </w:tc>
        <w:tc>
          <w:tcPr>
            <w:tcW w:w="963" w:type="dxa"/>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00000" w:themeColor="text1"/>
                <w:sz w:val="18"/>
                <w:szCs w:val="18"/>
              </w:rPr>
            </w:pPr>
            <w:r>
              <w:rPr>
                <w:sz w:val="18"/>
                <w:szCs w:val="18"/>
              </w:rPr>
              <w:t>2.99</w:t>
            </w:r>
          </w:p>
        </w:tc>
      </w:tr>
      <w:tr>
        <w:trPr>
          <w:cantSplit w:val="true"/>
        </w:trPr>
        <w:tc>
          <w:tcPr>
            <w:tcW w:w="2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bottom"/>
          </w:tcPr>
          <w:p>
            <w:pPr>
              <w:pStyle w:val="NormalTabla"/>
              <w:spacing w:before="60" w:after="20"/>
              <w:rPr>
                <w:color w:val="264A60"/>
                <w:szCs w:val="18"/>
                <w:lang w:val="en-US" w:eastAsia="en-US"/>
              </w:rPr>
            </w:pPr>
            <w:r>
              <w:rPr>
                <w:color w:val="264A60"/>
                <w:szCs w:val="18"/>
                <w:lang w:val="en-US" w:eastAsia="en-US"/>
              </w:rPr>
              <w:t>BD_gp_indicadores</w:t>
            </w:r>
          </w:p>
        </w:tc>
        <w:tc>
          <w:tcPr>
            <w:tcW w:w="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spacing w:before="60" w:after="20"/>
              <w:jc w:val="center"/>
              <w:rPr>
                <w:color w:val="010205"/>
                <w:szCs w:val="18"/>
                <w:lang w:val="en-US" w:eastAsia="en-US"/>
              </w:rPr>
            </w:pPr>
            <w:r>
              <w:rPr>
                <w:color w:val="010205"/>
                <w:szCs w:val="18"/>
                <w:lang w:val="en-US" w:eastAsia="en-US"/>
              </w:rPr>
            </w:r>
          </w:p>
        </w:tc>
        <w:tc>
          <w:tcPr>
            <w:tcW w:w="10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0.13</w:t>
            </w:r>
          </w:p>
        </w:tc>
        <w:tc>
          <w:tcPr>
            <w:tcW w:w="933"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2.80</w:t>
            </w:r>
          </w:p>
        </w:tc>
        <w:tc>
          <w:tcPr>
            <w:tcW w:w="1114"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1.19</w:t>
            </w:r>
          </w:p>
        </w:tc>
        <w:tc>
          <w:tcPr>
            <w:tcW w:w="103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1469.50</w:t>
            </w:r>
          </w:p>
        </w:tc>
        <w:tc>
          <w:tcPr>
            <w:tcW w:w="946"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52.45</w:t>
            </w:r>
          </w:p>
        </w:tc>
        <w:tc>
          <w:tcPr>
            <w:tcW w:w="963" w:type="dxa"/>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1.40</w:t>
            </w:r>
          </w:p>
        </w:tc>
      </w:tr>
      <w:tr>
        <w:trPr>
          <w:cantSplit w:val="true"/>
        </w:trPr>
        <w:tc>
          <w:tcPr>
            <w:tcW w:w="2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bottom"/>
          </w:tcPr>
          <w:p>
            <w:pPr>
              <w:pStyle w:val="NormalTabla"/>
              <w:spacing w:before="60" w:after="20"/>
              <w:rPr>
                <w:color w:val="264A60"/>
                <w:szCs w:val="18"/>
                <w:lang w:val="en-US" w:eastAsia="en-US"/>
              </w:rPr>
            </w:pPr>
            <w:r>
              <w:rPr>
                <w:color w:val="264A60"/>
                <w:szCs w:val="18"/>
                <w:lang w:val="en-US" w:eastAsia="en-US"/>
              </w:rPr>
              <w:t>BD_gp_requerimientos</w:t>
            </w:r>
          </w:p>
        </w:tc>
        <w:tc>
          <w:tcPr>
            <w:tcW w:w="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spacing w:before="60" w:after="20"/>
              <w:jc w:val="center"/>
              <w:rPr>
                <w:color w:val="010205"/>
                <w:szCs w:val="18"/>
                <w:lang w:val="en-US" w:eastAsia="en-US"/>
              </w:rPr>
            </w:pPr>
            <w:r>
              <w:rPr>
                <w:color w:val="010205"/>
                <w:szCs w:val="18"/>
                <w:lang w:val="en-US" w:eastAsia="en-US"/>
              </w:rPr>
            </w:r>
          </w:p>
        </w:tc>
        <w:tc>
          <w:tcPr>
            <w:tcW w:w="10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0.17</w:t>
            </w:r>
          </w:p>
        </w:tc>
        <w:tc>
          <w:tcPr>
            <w:tcW w:w="933"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1.27</w:t>
            </w:r>
          </w:p>
        </w:tc>
        <w:tc>
          <w:tcPr>
            <w:tcW w:w="1114"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19.42</w:t>
            </w:r>
          </w:p>
        </w:tc>
        <w:tc>
          <w:tcPr>
            <w:tcW w:w="103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6024.71</w:t>
            </w:r>
          </w:p>
        </w:tc>
        <w:tc>
          <w:tcPr>
            <w:tcW w:w="946"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336.69</w:t>
            </w:r>
          </w:p>
        </w:tc>
        <w:tc>
          <w:tcPr>
            <w:tcW w:w="963" w:type="dxa"/>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20.23</w:t>
            </w:r>
          </w:p>
        </w:tc>
      </w:tr>
      <w:tr>
        <w:trPr>
          <w:cantSplit w:val="true"/>
        </w:trPr>
        <w:tc>
          <w:tcPr>
            <w:tcW w:w="2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bottom"/>
          </w:tcPr>
          <w:p>
            <w:pPr>
              <w:pStyle w:val="NormalTabla"/>
              <w:spacing w:before="60" w:after="20"/>
              <w:rPr>
                <w:color w:val="264A60"/>
                <w:szCs w:val="18"/>
                <w:lang w:val="en-US" w:eastAsia="en-US"/>
              </w:rPr>
            </w:pPr>
            <w:r>
              <w:rPr>
                <w:color w:val="264A60"/>
                <w:szCs w:val="18"/>
                <w:lang w:val="en-US" w:eastAsia="en-US"/>
              </w:rPr>
              <w:t>BD_gp_toma_decisiones</w:t>
            </w:r>
          </w:p>
        </w:tc>
        <w:tc>
          <w:tcPr>
            <w:tcW w:w="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spacing w:before="60" w:after="20"/>
              <w:jc w:val="center"/>
              <w:rPr>
                <w:color w:val="010205"/>
                <w:szCs w:val="18"/>
                <w:lang w:val="en-US" w:eastAsia="en-US"/>
              </w:rPr>
            </w:pPr>
            <w:r>
              <w:rPr>
                <w:color w:val="010205"/>
                <w:szCs w:val="18"/>
                <w:lang w:val="en-US" w:eastAsia="en-US"/>
              </w:rPr>
            </w:r>
          </w:p>
        </w:tc>
        <w:tc>
          <w:tcPr>
            <w:tcW w:w="10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1.97</w:t>
            </w:r>
          </w:p>
        </w:tc>
        <w:tc>
          <w:tcPr>
            <w:tcW w:w="933"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34.73</w:t>
            </w:r>
          </w:p>
        </w:tc>
        <w:tc>
          <w:tcPr>
            <w:tcW w:w="1114"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3.57</w:t>
            </w:r>
          </w:p>
        </w:tc>
        <w:tc>
          <w:tcPr>
            <w:tcW w:w="103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6921.28</w:t>
            </w:r>
          </w:p>
        </w:tc>
        <w:tc>
          <w:tcPr>
            <w:tcW w:w="946"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342.19</w:t>
            </w:r>
          </w:p>
        </w:tc>
        <w:tc>
          <w:tcPr>
            <w:tcW w:w="963" w:type="dxa"/>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4.55</w:t>
            </w:r>
          </w:p>
        </w:tc>
      </w:tr>
      <w:tr>
        <w:trPr>
          <w:cantSplit w:val="true"/>
        </w:trPr>
        <w:tc>
          <w:tcPr>
            <w:tcW w:w="2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bottom"/>
          </w:tcPr>
          <w:p>
            <w:pPr>
              <w:pStyle w:val="NormalTabla"/>
              <w:spacing w:before="60" w:after="20"/>
              <w:rPr>
                <w:color w:val="264A60"/>
                <w:szCs w:val="18"/>
                <w:lang w:val="en-US" w:eastAsia="en-US"/>
              </w:rPr>
            </w:pPr>
            <w:r>
              <w:rPr>
                <w:color w:val="264A60"/>
                <w:szCs w:val="18"/>
                <w:lang w:val="en-US" w:eastAsia="en-US"/>
              </w:rPr>
              <w:t>BD_gp_rrhh</w:t>
            </w:r>
          </w:p>
        </w:tc>
        <w:tc>
          <w:tcPr>
            <w:tcW w:w="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spacing w:before="60" w:after="20"/>
              <w:jc w:val="center"/>
              <w:rPr>
                <w:color w:val="010205"/>
                <w:szCs w:val="18"/>
                <w:lang w:val="en-US" w:eastAsia="en-US"/>
              </w:rPr>
            </w:pPr>
            <w:r>
              <w:rPr>
                <w:color w:val="010205"/>
                <w:szCs w:val="18"/>
                <w:lang w:val="en-US" w:eastAsia="en-US"/>
              </w:rPr>
            </w:r>
          </w:p>
        </w:tc>
        <w:tc>
          <w:tcPr>
            <w:tcW w:w="10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0.92</w:t>
            </w:r>
          </w:p>
        </w:tc>
        <w:tc>
          <w:tcPr>
            <w:tcW w:w="933"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19.87</w:t>
            </w:r>
          </w:p>
        </w:tc>
        <w:tc>
          <w:tcPr>
            <w:tcW w:w="1114"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3.57</w:t>
            </w:r>
          </w:p>
        </w:tc>
        <w:tc>
          <w:tcPr>
            <w:tcW w:w="103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19218.98</w:t>
            </w:r>
          </w:p>
        </w:tc>
        <w:tc>
          <w:tcPr>
            <w:tcW w:w="946"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826.71</w:t>
            </w:r>
          </w:p>
        </w:tc>
        <w:tc>
          <w:tcPr>
            <w:tcW w:w="963" w:type="dxa"/>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4.93</w:t>
            </w:r>
          </w:p>
        </w:tc>
      </w:tr>
      <w:tr>
        <w:trPr>
          <w:cantSplit w:val="true"/>
        </w:trPr>
        <w:tc>
          <w:tcPr>
            <w:tcW w:w="3625" w:type="dxa"/>
            <w:gridSpan w:val="3"/>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E0E0E0" w:val="clear"/>
            <w:tcMar>
              <w:left w:w="-10" w:type="dxa"/>
            </w:tcMar>
            <w:vAlign w:val="center"/>
          </w:tcPr>
          <w:p>
            <w:pPr>
              <w:pStyle w:val="Normal"/>
              <w:suppressAutoHyphens w:val="false"/>
              <w:overflowPunct w:val="true"/>
              <w:spacing w:lineRule="auto" w:line="240" w:before="80" w:after="20"/>
              <w:ind w:left="60" w:right="60" w:hanging="0"/>
              <w:jc w:val="center"/>
              <w:textAlignment w:val="auto"/>
              <w:rPr>
                <w:color w:val="000000" w:themeColor="text1"/>
                <w:sz w:val="20"/>
                <w:szCs w:val="20"/>
              </w:rPr>
            </w:pPr>
            <w:r>
              <w:rPr>
                <w:b/>
                <w:color w:val="264A60"/>
                <w:szCs w:val="18"/>
                <w:lang w:val="en-US" w:eastAsia="en-US"/>
              </w:rPr>
              <w:t>BD sobre auditorías</w:t>
            </w:r>
          </w:p>
        </w:tc>
        <w:tc>
          <w:tcPr>
            <w:tcW w:w="4993" w:type="dxa"/>
            <w:gridSpan w:val="5"/>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tcPr>
          <w:p>
            <w:pPr>
              <w:pStyle w:val="Normal"/>
              <w:suppressAutoHyphens w:val="false"/>
              <w:overflowPunct w:val="true"/>
              <w:spacing w:lineRule="auto" w:line="240" w:before="80" w:after="20"/>
              <w:ind w:left="60" w:right="60" w:hanging="0"/>
              <w:jc w:val="center"/>
              <w:textAlignment w:val="auto"/>
              <w:rPr>
                <w:color w:val="000000" w:themeColor="text1"/>
                <w:sz w:val="20"/>
                <w:szCs w:val="20"/>
              </w:rPr>
            </w:pPr>
            <w:r>
              <w:rPr>
                <w:color w:val="000000" w:themeColor="text1"/>
                <w:sz w:val="20"/>
                <w:szCs w:val="20"/>
              </w:rPr>
            </w:r>
          </w:p>
        </w:tc>
      </w:tr>
      <w:tr>
        <w:trPr>
          <w:trHeight w:val="333" w:hRule="atLeast"/>
          <w:cantSplit w:val="true"/>
        </w:trPr>
        <w:tc>
          <w:tcPr>
            <w:tcW w:w="2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bottom"/>
          </w:tcPr>
          <w:p>
            <w:pPr>
              <w:pStyle w:val="NormalTabla"/>
              <w:spacing w:before="60" w:after="20"/>
              <w:rPr>
                <w:color w:val="264A60"/>
                <w:szCs w:val="18"/>
                <w:lang w:val="en-US" w:eastAsia="en-US"/>
              </w:rPr>
            </w:pPr>
            <w:r>
              <w:rPr>
                <w:color w:val="264A60"/>
                <w:szCs w:val="18"/>
                <w:lang w:val="en-US" w:eastAsia="en-US"/>
              </w:rPr>
              <w:t>BD_audit_sinOrganismos</w:t>
            </w:r>
          </w:p>
        </w:tc>
        <w:tc>
          <w:tcPr>
            <w:tcW w:w="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spacing w:before="60" w:after="20"/>
              <w:jc w:val="center"/>
              <w:rPr/>
            </w:pPr>
            <w:r>
              <w:rPr/>
            </w:r>
          </w:p>
        </w:tc>
        <w:tc>
          <w:tcPr>
            <w:tcW w:w="10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Tabla"/>
              <w:spacing w:before="60" w:after="20"/>
              <w:jc w:val="center"/>
              <w:rPr>
                <w:color w:val="000000" w:themeColor="text1"/>
                <w:sz w:val="18"/>
                <w:szCs w:val="18"/>
              </w:rPr>
            </w:pPr>
            <w:r>
              <w:rPr>
                <w:sz w:val="18"/>
                <w:szCs w:val="18"/>
              </w:rPr>
              <w:t>1.7323</w:t>
            </w:r>
          </w:p>
        </w:tc>
        <w:tc>
          <w:tcPr>
            <w:tcW w:w="933"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Tabla"/>
              <w:spacing w:before="60" w:after="20"/>
              <w:jc w:val="center"/>
              <w:rPr>
                <w:color w:val="000000" w:themeColor="text1"/>
                <w:sz w:val="18"/>
                <w:szCs w:val="18"/>
              </w:rPr>
            </w:pPr>
            <w:r>
              <w:rPr>
                <w:sz w:val="18"/>
                <w:szCs w:val="18"/>
              </w:rPr>
              <w:t>40.2193</w:t>
            </w:r>
          </w:p>
        </w:tc>
        <w:tc>
          <w:tcPr>
            <w:tcW w:w="1114"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Tabla"/>
              <w:spacing w:before="60" w:after="20"/>
              <w:jc w:val="center"/>
              <w:rPr>
                <w:color w:val="000000" w:themeColor="text1"/>
                <w:sz w:val="18"/>
                <w:szCs w:val="18"/>
              </w:rPr>
            </w:pPr>
            <w:r>
              <w:rPr>
                <w:sz w:val="18"/>
                <w:szCs w:val="18"/>
              </w:rPr>
              <w:t>65.5803</w:t>
            </w:r>
          </w:p>
        </w:tc>
        <w:tc>
          <w:tcPr>
            <w:tcW w:w="103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11939.9741</w:t>
            </w:r>
          </w:p>
        </w:tc>
        <w:tc>
          <w:tcPr>
            <w:tcW w:w="946"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534.1207</w:t>
            </w:r>
          </w:p>
        </w:tc>
        <w:tc>
          <w:tcPr>
            <w:tcW w:w="963" w:type="dxa"/>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65.9898</w:t>
            </w:r>
          </w:p>
        </w:tc>
      </w:tr>
      <w:tr>
        <w:trPr>
          <w:trHeight w:val="267" w:hRule="atLeast"/>
          <w:cantSplit w:val="true"/>
        </w:trPr>
        <w:tc>
          <w:tcPr>
            <w:tcW w:w="2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bottom"/>
          </w:tcPr>
          <w:p>
            <w:pPr>
              <w:pStyle w:val="NormalTabla"/>
              <w:spacing w:before="60" w:after="20"/>
              <w:rPr>
                <w:color w:val="264A60"/>
                <w:szCs w:val="18"/>
                <w:lang w:val="en-US" w:eastAsia="en-US"/>
              </w:rPr>
            </w:pPr>
            <w:r>
              <w:rPr>
                <w:color w:val="264A60"/>
                <w:szCs w:val="18"/>
                <w:lang w:val="en-US" w:eastAsia="en-US"/>
              </w:rPr>
              <w:t>BD_audit_sinProvMinistInstit</w:t>
            </w:r>
          </w:p>
        </w:tc>
        <w:tc>
          <w:tcPr>
            <w:tcW w:w="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spacing w:before="60" w:after="20"/>
              <w:jc w:val="center"/>
              <w:rPr/>
            </w:pPr>
            <w:r>
              <w:rPr/>
            </w:r>
          </w:p>
        </w:tc>
        <w:tc>
          <w:tcPr>
            <w:tcW w:w="10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Tabla"/>
              <w:spacing w:before="60" w:after="20"/>
              <w:jc w:val="center"/>
              <w:rPr>
                <w:color w:val="000000" w:themeColor="text1"/>
                <w:sz w:val="18"/>
                <w:szCs w:val="18"/>
              </w:rPr>
            </w:pPr>
            <w:r>
              <w:rPr>
                <w:sz w:val="18"/>
                <w:szCs w:val="18"/>
              </w:rPr>
              <w:t>1.2865</w:t>
            </w:r>
          </w:p>
        </w:tc>
        <w:tc>
          <w:tcPr>
            <w:tcW w:w="933"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Tabla"/>
              <w:spacing w:before="60" w:after="20"/>
              <w:jc w:val="center"/>
              <w:rPr>
                <w:color w:val="000000" w:themeColor="text1"/>
                <w:sz w:val="18"/>
                <w:szCs w:val="18"/>
              </w:rPr>
            </w:pPr>
            <w:r>
              <w:rPr>
                <w:sz w:val="18"/>
                <w:szCs w:val="18"/>
              </w:rPr>
              <w:t>24.3813</w:t>
            </w:r>
          </w:p>
        </w:tc>
        <w:tc>
          <w:tcPr>
            <w:tcW w:w="1114"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Tabla"/>
              <w:spacing w:before="60" w:after="20"/>
              <w:jc w:val="center"/>
              <w:rPr>
                <w:color w:val="000000" w:themeColor="text1"/>
                <w:sz w:val="18"/>
                <w:szCs w:val="18"/>
              </w:rPr>
            </w:pPr>
            <w:r>
              <w:rPr>
                <w:sz w:val="18"/>
                <w:szCs w:val="18"/>
              </w:rPr>
              <w:t>64.1094</w:t>
            </w:r>
          </w:p>
        </w:tc>
        <w:tc>
          <w:tcPr>
            <w:tcW w:w="103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11786.9016</w:t>
            </w:r>
          </w:p>
        </w:tc>
        <w:tc>
          <w:tcPr>
            <w:tcW w:w="946"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542.1494</w:t>
            </w:r>
          </w:p>
        </w:tc>
        <w:tc>
          <w:tcPr>
            <w:tcW w:w="963" w:type="dxa"/>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62.8049</w:t>
            </w:r>
          </w:p>
        </w:tc>
      </w:tr>
      <w:tr>
        <w:trPr>
          <w:trHeight w:val="267" w:hRule="atLeast"/>
          <w:cantSplit w:val="true"/>
        </w:trPr>
        <w:tc>
          <w:tcPr>
            <w:tcW w:w="3625" w:type="dxa"/>
            <w:gridSpan w:val="3"/>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E0E0E0" w:val="clear"/>
            <w:tcMar>
              <w:left w:w="-10" w:type="dxa"/>
            </w:tcMar>
            <w:vAlign w:val="center"/>
          </w:tcPr>
          <w:p>
            <w:pPr>
              <w:pStyle w:val="NormalTabla"/>
              <w:spacing w:before="60" w:after="20"/>
              <w:jc w:val="center"/>
              <w:rPr>
                <w:color w:val="000000" w:themeColor="text1"/>
              </w:rPr>
            </w:pPr>
            <w:r>
              <w:rPr>
                <w:b/>
                <w:color w:val="264A60"/>
                <w:szCs w:val="18"/>
                <w:lang w:val="en-US" w:eastAsia="en-US"/>
              </w:rPr>
              <w:t>BD sobre medicina</w:t>
            </w:r>
          </w:p>
        </w:tc>
        <w:tc>
          <w:tcPr>
            <w:tcW w:w="4993" w:type="dxa"/>
            <w:gridSpan w:val="5"/>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tcPr>
          <w:p>
            <w:pPr>
              <w:pStyle w:val="NormalTabla"/>
              <w:spacing w:before="60" w:after="20"/>
              <w:jc w:val="center"/>
              <w:rPr>
                <w:color w:val="000000" w:themeColor="text1"/>
              </w:rPr>
            </w:pPr>
            <w:r>
              <w:rPr>
                <w:color w:val="000000" w:themeColor="text1"/>
              </w:rPr>
            </w:r>
          </w:p>
        </w:tc>
      </w:tr>
      <w:tr>
        <w:trPr>
          <w:trHeight w:val="271" w:hRule="atLeast"/>
          <w:cantSplit w:val="true"/>
        </w:trPr>
        <w:tc>
          <w:tcPr>
            <w:tcW w:w="2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bottom"/>
          </w:tcPr>
          <w:p>
            <w:pPr>
              <w:pStyle w:val="NormalTabla"/>
              <w:spacing w:before="60" w:after="20"/>
              <w:rPr>
                <w:color w:val="264A60"/>
                <w:szCs w:val="18"/>
                <w:lang w:val="en-US" w:eastAsia="en-US"/>
              </w:rPr>
            </w:pPr>
            <w:r>
              <w:rPr>
                <w:color w:val="264A60"/>
                <w:szCs w:val="18"/>
                <w:lang w:val="en-US" w:eastAsia="en-US"/>
              </w:rPr>
              <w:t>BD_med_congenito</w:t>
            </w:r>
          </w:p>
        </w:tc>
        <w:tc>
          <w:tcPr>
            <w:tcW w:w="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Tabla"/>
              <w:spacing w:before="60" w:after="20"/>
              <w:rPr>
                <w:color w:val="264A60"/>
                <w:szCs w:val="18"/>
                <w:lang w:val="en-US" w:eastAsia="en-US"/>
              </w:rPr>
            </w:pPr>
            <w:r>
              <w:rPr>
                <w:color w:val="264A60"/>
                <w:szCs w:val="18"/>
                <w:lang w:val="en-US" w:eastAsia="en-US"/>
              </w:rPr>
            </w:r>
          </w:p>
        </w:tc>
        <w:tc>
          <w:tcPr>
            <w:tcW w:w="10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Tabla"/>
              <w:spacing w:before="60" w:after="20"/>
              <w:jc w:val="center"/>
              <w:rPr>
                <w:color w:val="000000" w:themeColor="text1"/>
                <w:sz w:val="18"/>
                <w:szCs w:val="18"/>
              </w:rPr>
            </w:pPr>
            <w:r>
              <w:rPr>
                <w:sz w:val="18"/>
                <w:szCs w:val="18"/>
              </w:rPr>
              <w:t>0.5562</w:t>
            </w:r>
          </w:p>
        </w:tc>
        <w:tc>
          <w:tcPr>
            <w:tcW w:w="933"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Tabla"/>
              <w:spacing w:before="60" w:after="20"/>
              <w:jc w:val="center"/>
              <w:rPr>
                <w:color w:val="000000" w:themeColor="text1"/>
                <w:sz w:val="18"/>
                <w:szCs w:val="18"/>
              </w:rPr>
            </w:pPr>
            <w:r>
              <w:rPr>
                <w:sz w:val="18"/>
                <w:szCs w:val="18"/>
              </w:rPr>
              <w:t>5.0624</w:t>
            </w:r>
          </w:p>
        </w:tc>
        <w:tc>
          <w:tcPr>
            <w:tcW w:w="1114"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Tabla"/>
              <w:spacing w:before="60" w:after="20"/>
              <w:jc w:val="center"/>
              <w:rPr>
                <w:color w:val="000000" w:themeColor="text1"/>
                <w:sz w:val="18"/>
                <w:szCs w:val="18"/>
              </w:rPr>
            </w:pPr>
            <w:r>
              <w:rPr>
                <w:sz w:val="18"/>
                <w:szCs w:val="18"/>
              </w:rPr>
              <w:t>16.0917</w:t>
            </w:r>
          </w:p>
        </w:tc>
        <w:tc>
          <w:tcPr>
            <w:tcW w:w="103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4217.5541</w:t>
            </w:r>
          </w:p>
        </w:tc>
        <w:tc>
          <w:tcPr>
            <w:tcW w:w="946"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154.7409</w:t>
            </w:r>
          </w:p>
        </w:tc>
        <w:tc>
          <w:tcPr>
            <w:tcW w:w="963" w:type="dxa"/>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15.6919</w:t>
            </w:r>
          </w:p>
        </w:tc>
      </w:tr>
      <w:tr>
        <w:trPr>
          <w:trHeight w:val="271" w:hRule="atLeast"/>
          <w:cantSplit w:val="true"/>
        </w:trPr>
        <w:tc>
          <w:tcPr>
            <w:tcW w:w="2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bottom"/>
          </w:tcPr>
          <w:p>
            <w:pPr>
              <w:pStyle w:val="NormalTabla"/>
              <w:spacing w:before="60" w:after="20"/>
              <w:rPr>
                <w:color w:val="264A60"/>
                <w:szCs w:val="18"/>
                <w:lang w:val="en-US" w:eastAsia="en-US"/>
              </w:rPr>
            </w:pPr>
            <w:r>
              <w:rPr>
                <w:color w:val="264A60"/>
                <w:szCs w:val="18"/>
                <w:lang w:val="en-US" w:eastAsia="en-US"/>
              </w:rPr>
              <w:t>BD_med_valvular</w:t>
            </w:r>
          </w:p>
        </w:tc>
        <w:tc>
          <w:tcPr>
            <w:tcW w:w="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Tabla"/>
              <w:spacing w:before="60" w:after="20"/>
              <w:rPr>
                <w:color w:val="264A60"/>
                <w:szCs w:val="18"/>
                <w:lang w:val="en-US" w:eastAsia="en-US"/>
              </w:rPr>
            </w:pPr>
            <w:r>
              <w:rPr>
                <w:color w:val="264A60"/>
                <w:szCs w:val="18"/>
                <w:lang w:val="en-US" w:eastAsia="en-US"/>
              </w:rPr>
            </w:r>
          </w:p>
        </w:tc>
        <w:tc>
          <w:tcPr>
            <w:tcW w:w="10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Tabla"/>
              <w:spacing w:before="60" w:after="20"/>
              <w:jc w:val="center"/>
              <w:rPr>
                <w:color w:val="000000" w:themeColor="text1"/>
                <w:sz w:val="18"/>
                <w:szCs w:val="18"/>
              </w:rPr>
            </w:pPr>
            <w:r>
              <w:rPr>
                <w:sz w:val="18"/>
                <w:szCs w:val="18"/>
              </w:rPr>
              <w:t>0.2897</w:t>
            </w:r>
          </w:p>
        </w:tc>
        <w:tc>
          <w:tcPr>
            <w:tcW w:w="933"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Tabla"/>
              <w:spacing w:before="60" w:after="20"/>
              <w:jc w:val="center"/>
              <w:rPr>
                <w:color w:val="000000" w:themeColor="text1"/>
                <w:sz w:val="18"/>
                <w:szCs w:val="18"/>
              </w:rPr>
            </w:pPr>
            <w:r>
              <w:rPr>
                <w:sz w:val="18"/>
                <w:szCs w:val="18"/>
              </w:rPr>
              <w:t>4.4956</w:t>
            </w:r>
          </w:p>
        </w:tc>
        <w:tc>
          <w:tcPr>
            <w:tcW w:w="1114"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center"/>
          </w:tcPr>
          <w:p>
            <w:pPr>
              <w:pStyle w:val="NormalTabla"/>
              <w:spacing w:before="60" w:after="20"/>
              <w:jc w:val="center"/>
              <w:rPr>
                <w:color w:val="000000" w:themeColor="text1"/>
                <w:sz w:val="18"/>
                <w:szCs w:val="18"/>
              </w:rPr>
            </w:pPr>
            <w:r>
              <w:rPr>
                <w:sz w:val="18"/>
                <w:szCs w:val="18"/>
              </w:rPr>
              <w:t>211.9272</w:t>
            </w:r>
          </w:p>
        </w:tc>
        <w:tc>
          <w:tcPr>
            <w:tcW w:w="103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2227.936</w:t>
            </w:r>
          </w:p>
        </w:tc>
        <w:tc>
          <w:tcPr>
            <w:tcW w:w="946"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97.8265</w:t>
            </w:r>
          </w:p>
        </w:tc>
        <w:tc>
          <w:tcPr>
            <w:tcW w:w="963" w:type="dxa"/>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155.8819</w:t>
            </w:r>
          </w:p>
        </w:tc>
      </w:tr>
      <w:tr>
        <w:trPr>
          <w:trHeight w:val="247" w:hRule="atLeast"/>
          <w:cantSplit w:val="true"/>
        </w:trPr>
        <w:tc>
          <w:tcPr>
            <w:tcW w:w="2571" w:type="dxa"/>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bottom"/>
          </w:tcPr>
          <w:p>
            <w:pPr>
              <w:pStyle w:val="NormalTabla"/>
              <w:spacing w:before="60" w:after="20"/>
              <w:rPr>
                <w:color w:val="264A60"/>
                <w:szCs w:val="18"/>
                <w:lang w:val="en-US" w:eastAsia="en-US"/>
              </w:rPr>
            </w:pPr>
            <w:r>
              <w:rPr>
                <w:color w:val="264A60"/>
                <w:szCs w:val="18"/>
                <w:lang w:val="en-US" w:eastAsia="en-US"/>
              </w:rPr>
              <w:t>BD_med_covidCuba</w:t>
            </w:r>
          </w:p>
        </w:tc>
        <w:tc>
          <w:tcPr>
            <w:tcW w:w="27" w:type="dxa"/>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FFFFFF" w:val="clear"/>
            <w:tcMar>
              <w:left w:w="-10" w:type="dxa"/>
            </w:tcMar>
            <w:vAlign w:val="center"/>
          </w:tcPr>
          <w:p>
            <w:pPr>
              <w:pStyle w:val="NormalTabla"/>
              <w:spacing w:before="60" w:after="20"/>
              <w:rPr>
                <w:color w:val="264A60"/>
                <w:szCs w:val="18"/>
                <w:lang w:val="en-US" w:eastAsia="en-US"/>
              </w:rPr>
            </w:pPr>
            <w:r>
              <w:rPr>
                <w:color w:val="264A60"/>
                <w:szCs w:val="18"/>
                <w:lang w:val="en-US" w:eastAsia="en-US"/>
              </w:rPr>
            </w:r>
          </w:p>
        </w:tc>
        <w:tc>
          <w:tcPr>
            <w:tcW w:w="1027" w:type="dxa"/>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auto" w:val="clear"/>
            <w:tcMar>
              <w:left w:w="-10" w:type="dxa"/>
            </w:tcMar>
            <w:vAlign w:val="center"/>
          </w:tcPr>
          <w:p>
            <w:pPr>
              <w:pStyle w:val="NormalTabla"/>
              <w:spacing w:before="60" w:after="20"/>
              <w:jc w:val="center"/>
              <w:rPr>
                <w:color w:val="000000" w:themeColor="text1"/>
                <w:sz w:val="18"/>
                <w:szCs w:val="18"/>
              </w:rPr>
            </w:pPr>
            <w:r>
              <w:rPr>
                <w:sz w:val="18"/>
                <w:szCs w:val="18"/>
              </w:rPr>
              <w:t>3.34</w:t>
            </w:r>
          </w:p>
        </w:tc>
        <w:tc>
          <w:tcPr>
            <w:tcW w:w="933" w:type="dxa"/>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auto" w:val="clear"/>
            <w:tcMar>
              <w:left w:w="-10" w:type="dxa"/>
            </w:tcMar>
            <w:vAlign w:val="center"/>
          </w:tcPr>
          <w:p>
            <w:pPr>
              <w:pStyle w:val="NormalTabla"/>
              <w:spacing w:before="60" w:after="20"/>
              <w:jc w:val="center"/>
              <w:rPr>
                <w:color w:val="000000" w:themeColor="text1"/>
                <w:sz w:val="18"/>
                <w:szCs w:val="18"/>
              </w:rPr>
            </w:pPr>
            <w:r>
              <w:rPr>
                <w:sz w:val="18"/>
                <w:szCs w:val="18"/>
              </w:rPr>
              <w:t>251.717</w:t>
            </w:r>
          </w:p>
        </w:tc>
        <w:tc>
          <w:tcPr>
            <w:tcW w:w="1114" w:type="dxa"/>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auto" w:val="clear"/>
            <w:tcMar>
              <w:left w:w="-10" w:type="dxa"/>
            </w:tcMar>
            <w:vAlign w:val="center"/>
          </w:tcPr>
          <w:p>
            <w:pPr>
              <w:pStyle w:val="NormalTabla"/>
              <w:spacing w:before="60" w:after="20"/>
              <w:jc w:val="center"/>
              <w:rPr>
                <w:color w:val="000000" w:themeColor="text1"/>
                <w:sz w:val="18"/>
                <w:szCs w:val="18"/>
              </w:rPr>
            </w:pPr>
            <w:r>
              <w:rPr>
                <w:sz w:val="18"/>
                <w:szCs w:val="18"/>
              </w:rPr>
              <w:t>38.3428</w:t>
            </w:r>
          </w:p>
        </w:tc>
        <w:tc>
          <w:tcPr>
            <w:tcW w:w="1037" w:type="dxa"/>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47791</w:t>
            </w:r>
          </w:p>
        </w:tc>
        <w:tc>
          <w:tcPr>
            <w:tcW w:w="946" w:type="dxa"/>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2914.8029</w:t>
            </w:r>
          </w:p>
        </w:tc>
        <w:tc>
          <w:tcPr>
            <w:tcW w:w="963" w:type="dxa"/>
            <w:tcBorders>
              <w:top w:val="single" w:sz="8" w:space="0" w:color="AEAEAE"/>
              <w:left w:val="single" w:sz="8" w:space="0" w:color="E0E0E0"/>
              <w:bottom w:val="single" w:sz="8" w:space="0" w:color="000001"/>
              <w:right w:val="single" w:sz="8" w:space="0" w:color="AEAEAE"/>
              <w:insideH w:val="single" w:sz="8" w:space="0" w:color="000001"/>
              <w:insideV w:val="single" w:sz="8" w:space="0" w:color="AEAEAE"/>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59.8399</w:t>
            </w:r>
          </w:p>
        </w:tc>
      </w:tr>
    </w:tbl>
    <w:p>
      <w:pPr>
        <w:pStyle w:val="Normal"/>
        <w:rPr/>
      </w:pPr>
      <w:r>
        <w:rPr/>
      </w:r>
    </w:p>
    <w:p>
      <w:pPr>
        <w:pStyle w:val="Caption1"/>
        <w:keepNext/>
        <w:rPr/>
      </w:pPr>
      <w:bookmarkStart w:id="3835" w:name="_Ref68938111"/>
      <w:bookmarkStart w:id="3836" w:name="_Toc84599004"/>
      <w:bookmarkStart w:id="3837" w:name="_Ref68937403"/>
      <w:bookmarkStart w:id="3838" w:name="_Ref66358482"/>
      <w:bookmarkEnd w:id="3838"/>
      <w:r>
        <w:rPr/>
        <w:t xml:space="preserve">Tabla </w:t>
      </w:r>
      <w:r>
        <w:rPr/>
        <w:fldChar w:fldCharType="begin"/>
      </w:r>
      <w:r>
        <w:instrText> SEQ Tabla \* ARABIC </w:instrText>
      </w:r>
      <w:r>
        <w:fldChar w:fldCharType="separate"/>
      </w:r>
      <w:r>
        <w:t>34</w:t>
      </w:r>
      <w:r>
        <w:fldChar w:fldCharType="end"/>
      </w:r>
      <w:bookmarkEnd w:id="3835"/>
      <w:bookmarkEnd w:id="3836"/>
      <w:bookmarkEnd w:id="3837"/>
      <w:r>
        <w:rPr/>
        <w:t>: Resultado de los algoritmos respecto al Cubrimiento de diferentes situaciones en las bases de datos.</w:t>
      </w:r>
    </w:p>
    <w:tbl>
      <w:tblPr>
        <w:tblW w:w="4800" w:type="pct"/>
        <w:jc w:val="center"/>
        <w:tblInd w:w="0" w:type="dxa"/>
        <w:tblBorders>
          <w:top w:val="single" w:sz="8" w:space="0" w:color="000001"/>
          <w:left w:val="single" w:sz="8" w:space="0" w:color="AEAEAE"/>
          <w:bottom w:val="single" w:sz="8" w:space="0" w:color="AEAEAE"/>
          <w:right w:val="single" w:sz="8" w:space="0" w:color="E0E0E0"/>
          <w:insideH w:val="single" w:sz="8" w:space="0" w:color="AEAEAE"/>
          <w:insideV w:val="single" w:sz="8" w:space="0" w:color="E0E0E0"/>
        </w:tblBorders>
        <w:tblCellMar>
          <w:top w:w="0" w:type="dxa"/>
          <w:left w:w="-10" w:type="dxa"/>
          <w:bottom w:w="0" w:type="dxa"/>
          <w:right w:w="0" w:type="dxa"/>
        </w:tblCellMar>
        <w:tblLook w:val="0000" w:noVBand="0" w:noHBand="0" w:lastColumn="0" w:firstColumn="0" w:lastRow="0" w:firstRow="0"/>
      </w:tblPr>
      <w:tblGrid>
        <w:gridCol w:w="2571"/>
        <w:gridCol w:w="27"/>
        <w:gridCol w:w="1029"/>
        <w:gridCol w:w="1"/>
        <w:gridCol w:w="932"/>
        <w:gridCol w:w="1"/>
        <w:gridCol w:w="1112"/>
        <w:gridCol w:w="1"/>
        <w:gridCol w:w="1037"/>
        <w:gridCol w:w="1"/>
        <w:gridCol w:w="942"/>
        <w:gridCol w:w="1"/>
        <w:gridCol w:w="963"/>
      </w:tblGrid>
      <w:tr>
        <w:trPr>
          <w:cantSplit w:val="true"/>
        </w:trPr>
        <w:tc>
          <w:tcPr>
            <w:tcW w:w="2571" w:type="dxa"/>
            <w:tcBorders>
              <w:top w:val="single" w:sz="8" w:space="0" w:color="000001"/>
              <w:left w:val="single" w:sz="8" w:space="0" w:color="AEAEAE"/>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
              <w:suppressAutoHyphens w:val="false"/>
              <w:overflowPunct w:val="true"/>
              <w:spacing w:lineRule="auto" w:line="240" w:before="80" w:after="20"/>
              <w:ind w:left="60" w:right="60" w:hanging="0"/>
              <w:jc w:val="center"/>
              <w:textAlignment w:val="auto"/>
              <w:rPr>
                <w:color w:val="264A60"/>
                <w:sz w:val="18"/>
                <w:szCs w:val="18"/>
                <w:lang w:eastAsia="en-US"/>
              </w:rPr>
            </w:pPr>
            <w:r>
              <w:rPr>
                <w:b/>
                <w:color w:val="264A60"/>
                <w:szCs w:val="18"/>
                <w:lang w:eastAsia="en-US"/>
              </w:rPr>
              <w:t>T. de ejecución</w:t>
            </w:r>
          </w:p>
        </w:tc>
        <w:tc>
          <w:tcPr>
            <w:tcW w:w="1057" w:type="dxa"/>
            <w:gridSpan w:val="3"/>
            <w:tcBorders>
              <w:top w:val="single" w:sz="8" w:space="0" w:color="000001"/>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tcPr>
          <w:p>
            <w:pPr>
              <w:pStyle w:val="Normal"/>
              <w:suppressAutoHyphens w:val="false"/>
              <w:overflowPunct w:val="true"/>
              <w:spacing w:lineRule="auto" w:line="240" w:before="80" w:after="20"/>
              <w:ind w:left="60" w:right="60" w:hanging="0"/>
              <w:jc w:val="center"/>
              <w:textAlignment w:val="auto"/>
              <w:rPr>
                <w:color w:val="264A60"/>
                <w:sz w:val="18"/>
                <w:szCs w:val="18"/>
                <w:lang w:eastAsia="en-US"/>
              </w:rPr>
            </w:pPr>
            <w:r>
              <w:rPr>
                <w:color w:val="264A60"/>
                <w:sz w:val="18"/>
                <w:szCs w:val="18"/>
                <w:lang w:eastAsia="en-US"/>
              </w:rPr>
              <w:t xml:space="preserve">RST_LDS </w:t>
            </w:r>
          </w:p>
        </w:tc>
        <w:tc>
          <w:tcPr>
            <w:tcW w:w="933" w:type="dxa"/>
            <w:gridSpan w:val="2"/>
            <w:tcBorders>
              <w:top w:val="single" w:sz="8" w:space="0" w:color="000001"/>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tcPr>
          <w:p>
            <w:pPr>
              <w:pStyle w:val="Normal"/>
              <w:suppressAutoHyphens w:val="false"/>
              <w:overflowPunct w:val="true"/>
              <w:spacing w:lineRule="auto" w:line="240" w:before="80" w:after="20"/>
              <w:ind w:left="60" w:right="60" w:hanging="0"/>
              <w:jc w:val="center"/>
              <w:textAlignment w:val="auto"/>
              <w:rPr>
                <w:color w:val="264A60"/>
                <w:sz w:val="18"/>
                <w:szCs w:val="18"/>
                <w:lang w:eastAsia="en-US"/>
              </w:rPr>
            </w:pPr>
            <w:r>
              <w:rPr>
                <w:color w:val="264A60"/>
                <w:sz w:val="18"/>
                <w:szCs w:val="18"/>
                <w:lang w:eastAsia="en-US"/>
              </w:rPr>
              <w:t xml:space="preserve">LPA_LDS </w:t>
            </w:r>
          </w:p>
        </w:tc>
        <w:tc>
          <w:tcPr>
            <w:tcW w:w="1113" w:type="dxa"/>
            <w:gridSpan w:val="2"/>
            <w:tcBorders>
              <w:top w:val="single" w:sz="8" w:space="0" w:color="000001"/>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tcPr>
          <w:p>
            <w:pPr>
              <w:pStyle w:val="Normal"/>
              <w:suppressAutoHyphens w:val="false"/>
              <w:overflowPunct w:val="true"/>
              <w:spacing w:lineRule="auto" w:line="240" w:before="80" w:after="20"/>
              <w:ind w:left="60" w:right="60" w:hanging="0"/>
              <w:jc w:val="center"/>
              <w:textAlignment w:val="auto"/>
              <w:rPr>
                <w:color w:val="264A60"/>
                <w:sz w:val="18"/>
                <w:szCs w:val="18"/>
                <w:lang w:eastAsia="en-US"/>
              </w:rPr>
            </w:pPr>
            <w:r>
              <w:rPr>
                <w:color w:val="264A60"/>
                <w:sz w:val="18"/>
                <w:szCs w:val="18"/>
                <w:lang w:eastAsia="en-US"/>
              </w:rPr>
              <w:t>Apriori_LDS</w:t>
            </w:r>
          </w:p>
        </w:tc>
        <w:tc>
          <w:tcPr>
            <w:tcW w:w="1038" w:type="dxa"/>
            <w:gridSpan w:val="2"/>
            <w:tcBorders>
              <w:top w:val="single" w:sz="8" w:space="0" w:color="000001"/>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tcPr>
          <w:p>
            <w:pPr>
              <w:pStyle w:val="Normal"/>
              <w:suppressAutoHyphens w:val="false"/>
              <w:overflowPunct w:val="true"/>
              <w:spacing w:lineRule="auto" w:line="240" w:before="80" w:after="20"/>
              <w:ind w:left="60" w:right="60" w:hanging="0"/>
              <w:jc w:val="center"/>
              <w:textAlignment w:val="auto"/>
              <w:rPr>
                <w:color w:val="264A60"/>
                <w:sz w:val="18"/>
                <w:szCs w:val="18"/>
                <w:lang w:eastAsia="en-US"/>
              </w:rPr>
            </w:pPr>
            <w:r>
              <w:rPr>
                <w:color w:val="264A60"/>
                <w:sz w:val="18"/>
                <w:szCs w:val="18"/>
                <w:lang w:eastAsia="en-US"/>
              </w:rPr>
              <w:t>ACO_LDS</w:t>
            </w:r>
          </w:p>
        </w:tc>
        <w:tc>
          <w:tcPr>
            <w:tcW w:w="943" w:type="dxa"/>
            <w:gridSpan w:val="2"/>
            <w:tcBorders>
              <w:top w:val="single" w:sz="8" w:space="0" w:color="000001"/>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tcPr>
          <w:p>
            <w:pPr>
              <w:pStyle w:val="Normal"/>
              <w:suppressAutoHyphens w:val="false"/>
              <w:overflowPunct w:val="true"/>
              <w:spacing w:lineRule="auto" w:line="240" w:before="80" w:after="20"/>
              <w:ind w:left="60" w:right="60" w:hanging="0"/>
              <w:jc w:val="center"/>
              <w:textAlignment w:val="auto"/>
              <w:rPr>
                <w:color w:val="264A60"/>
                <w:sz w:val="18"/>
                <w:szCs w:val="18"/>
                <w:lang w:eastAsia="en-US"/>
              </w:rPr>
            </w:pPr>
            <w:r>
              <w:rPr>
                <w:color w:val="264A60"/>
                <w:sz w:val="18"/>
                <w:szCs w:val="18"/>
                <w:lang w:eastAsia="en-US"/>
              </w:rPr>
              <w:t>GA_LDS</w:t>
            </w:r>
          </w:p>
        </w:tc>
        <w:tc>
          <w:tcPr>
            <w:tcW w:w="963" w:type="dxa"/>
            <w:tcBorders>
              <w:top w:val="single" w:sz="8" w:space="0" w:color="000001"/>
              <w:left w:val="single" w:sz="8" w:space="0" w:color="E0E0E0"/>
              <w:bottom w:val="single" w:sz="8" w:space="0" w:color="152935"/>
              <w:right w:val="single" w:sz="8" w:space="0" w:color="AEAEAE"/>
              <w:insideH w:val="single" w:sz="8" w:space="0" w:color="152935"/>
              <w:insideV w:val="single" w:sz="8" w:space="0" w:color="AEAEAE"/>
            </w:tcBorders>
            <w:shd w:color="auto" w:fill="FFFFFF" w:val="clear"/>
            <w:tcMar>
              <w:left w:w="-10" w:type="dxa"/>
            </w:tcMar>
          </w:tcPr>
          <w:p>
            <w:pPr>
              <w:pStyle w:val="Normal"/>
              <w:suppressAutoHyphens w:val="false"/>
              <w:overflowPunct w:val="true"/>
              <w:spacing w:lineRule="auto" w:line="240" w:before="80" w:after="20"/>
              <w:ind w:left="60" w:right="60" w:hanging="0"/>
              <w:jc w:val="center"/>
              <w:textAlignment w:val="auto"/>
              <w:rPr>
                <w:color w:val="264A60"/>
                <w:sz w:val="18"/>
                <w:szCs w:val="18"/>
                <w:lang w:eastAsia="en-US"/>
              </w:rPr>
            </w:pPr>
            <w:r>
              <w:rPr>
                <w:color w:val="264A60"/>
                <w:sz w:val="18"/>
                <w:szCs w:val="18"/>
                <w:lang w:eastAsia="en-US"/>
              </w:rPr>
              <w:t>PCA_LDS</w:t>
            </w:r>
          </w:p>
        </w:tc>
      </w:tr>
      <w:tr>
        <w:trPr>
          <w:trHeight w:val="195" w:hRule="atLeast"/>
          <w:cantSplit w:val="true"/>
        </w:trPr>
        <w:tc>
          <w:tcPr>
            <w:tcW w:w="3628" w:type="dxa"/>
            <w:gridSpan w:val="4"/>
            <w:tcBorders>
              <w:top w:val="single" w:sz="8" w:space="0" w:color="152935"/>
              <w:left w:val="single" w:sz="8" w:space="0" w:color="E0E0E0"/>
              <w:bottom w:val="single" w:sz="8" w:space="0" w:color="AEAEAE"/>
              <w:right w:val="single" w:sz="8" w:space="0" w:color="AEAEAE"/>
              <w:insideH w:val="single" w:sz="8" w:space="0" w:color="AEAEAE"/>
              <w:insideV w:val="single" w:sz="8" w:space="0" w:color="AEAEAE"/>
            </w:tcBorders>
            <w:shd w:color="auto" w:fill="E0E0E0" w:val="clear"/>
            <w:tcMar>
              <w:left w:w="-10" w:type="dxa"/>
            </w:tcMar>
            <w:vAlign w:val="center"/>
          </w:tcPr>
          <w:p>
            <w:pPr>
              <w:pStyle w:val="Normal"/>
              <w:suppressAutoHyphens w:val="false"/>
              <w:overflowPunct w:val="true"/>
              <w:spacing w:lineRule="auto" w:line="240" w:before="80" w:after="20"/>
              <w:ind w:left="60" w:right="60" w:hanging="0"/>
              <w:jc w:val="center"/>
              <w:textAlignment w:val="auto"/>
              <w:rPr>
                <w:color w:val="010205"/>
                <w:sz w:val="20"/>
                <w:szCs w:val="20"/>
                <w:lang w:val="en-US" w:eastAsia="en-US"/>
              </w:rPr>
            </w:pPr>
            <w:r>
              <w:rPr>
                <w:b/>
                <w:color w:val="264A60"/>
                <w:szCs w:val="18"/>
                <w:lang w:val="en-US" w:eastAsia="en-US"/>
              </w:rPr>
              <w:t>BD sobre proyectos</w:t>
            </w:r>
          </w:p>
        </w:tc>
        <w:tc>
          <w:tcPr>
            <w:tcW w:w="4990" w:type="dxa"/>
            <w:gridSpan w:val="9"/>
            <w:tcBorders>
              <w:top w:val="single" w:sz="8" w:space="0" w:color="152935"/>
              <w:left w:val="single" w:sz="8" w:space="0" w:color="E0E0E0"/>
              <w:bottom w:val="single" w:sz="8" w:space="0" w:color="AEAEAE"/>
              <w:right w:val="single" w:sz="8" w:space="0" w:color="AEAEAE"/>
              <w:insideH w:val="single" w:sz="8" w:space="0" w:color="AEAEAE"/>
              <w:insideV w:val="single" w:sz="8" w:space="0" w:color="AEAEAE"/>
            </w:tcBorders>
            <w:shd w:color="auto" w:fill="FFFFFF" w:val="clear"/>
            <w:tcMar>
              <w:left w:w="-10" w:type="dxa"/>
            </w:tcMar>
          </w:tcPr>
          <w:p>
            <w:pPr>
              <w:pStyle w:val="Normal"/>
              <w:suppressAutoHyphens w:val="false"/>
              <w:overflowPunct w:val="true"/>
              <w:spacing w:lineRule="auto" w:line="240" w:before="80" w:after="20"/>
              <w:ind w:left="60" w:right="60" w:hanging="0"/>
              <w:jc w:val="center"/>
              <w:textAlignment w:val="auto"/>
              <w:rPr>
                <w:color w:val="010205"/>
                <w:sz w:val="20"/>
                <w:szCs w:val="20"/>
                <w:lang w:val="en-US" w:eastAsia="en-US"/>
              </w:rPr>
            </w:pPr>
            <w:r>
              <w:rPr>
                <w:color w:val="010205"/>
                <w:sz w:val="20"/>
                <w:szCs w:val="20"/>
                <w:lang w:val="en-US" w:eastAsia="en-US"/>
              </w:rPr>
            </w:r>
          </w:p>
        </w:tc>
      </w:tr>
      <w:tr>
        <w:trPr>
          <w:trHeight w:val="195" w:hRule="atLeast"/>
          <w:cantSplit w:val="true"/>
        </w:trPr>
        <w:tc>
          <w:tcPr>
            <w:tcW w:w="2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bottom"/>
          </w:tcPr>
          <w:p>
            <w:pPr>
              <w:pStyle w:val="NormalTabla"/>
              <w:spacing w:before="60" w:after="20"/>
              <w:rPr>
                <w:color w:val="264A60"/>
                <w:szCs w:val="18"/>
                <w:lang w:val="en-US" w:eastAsia="en-US"/>
              </w:rPr>
            </w:pPr>
            <w:r>
              <w:rPr>
                <w:color w:val="264A60"/>
                <w:szCs w:val="18"/>
                <w:lang w:val="en-US" w:eastAsia="en-US"/>
              </w:rPr>
              <w:t>BD_gp_competencias</w:t>
            </w:r>
          </w:p>
        </w:tc>
        <w:tc>
          <w:tcPr>
            <w:tcW w:w="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spacing w:before="60" w:after="20"/>
              <w:jc w:val="center"/>
              <w:rPr>
                <w:color w:val="010205"/>
                <w:szCs w:val="18"/>
                <w:lang w:val="en-US" w:eastAsia="en-US"/>
              </w:rPr>
            </w:pPr>
            <w:r>
              <w:rPr>
                <w:color w:val="010205"/>
                <w:szCs w:val="18"/>
                <w:lang w:val="en-US" w:eastAsia="en-US"/>
              </w:rPr>
            </w:r>
          </w:p>
        </w:tc>
        <w:tc>
          <w:tcPr>
            <w:tcW w:w="102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0.08</w:t>
            </w:r>
          </w:p>
        </w:tc>
        <w:tc>
          <w:tcPr>
            <w:tcW w:w="93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0.15</w:t>
            </w:r>
          </w:p>
        </w:tc>
        <w:tc>
          <w:tcPr>
            <w:tcW w:w="111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0.16</w:t>
            </w:r>
          </w:p>
        </w:tc>
        <w:tc>
          <w:tcPr>
            <w:tcW w:w="1038"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0.04</w:t>
            </w:r>
          </w:p>
        </w:tc>
        <w:tc>
          <w:tcPr>
            <w:tcW w:w="94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0.23</w:t>
            </w:r>
          </w:p>
        </w:tc>
        <w:tc>
          <w:tcPr>
            <w:tcW w:w="964" w:type="dxa"/>
            <w:gridSpan w:val="2"/>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FFFFFF"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0.19</w:t>
            </w:r>
          </w:p>
        </w:tc>
      </w:tr>
      <w:tr>
        <w:trPr>
          <w:cantSplit w:val="true"/>
        </w:trPr>
        <w:tc>
          <w:tcPr>
            <w:tcW w:w="2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bottom"/>
          </w:tcPr>
          <w:p>
            <w:pPr>
              <w:pStyle w:val="NormalTabla"/>
              <w:spacing w:before="60" w:after="20"/>
              <w:rPr>
                <w:color w:val="264A60"/>
                <w:szCs w:val="18"/>
                <w:lang w:val="en-US" w:eastAsia="en-US"/>
              </w:rPr>
            </w:pPr>
            <w:r>
              <w:rPr>
                <w:color w:val="264A60"/>
                <w:szCs w:val="18"/>
                <w:lang w:val="en-US" w:eastAsia="en-US"/>
              </w:rPr>
              <w:t>BD_gp_eval_proy_hard</w:t>
            </w:r>
          </w:p>
        </w:tc>
        <w:tc>
          <w:tcPr>
            <w:tcW w:w="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spacing w:before="60" w:after="20"/>
              <w:jc w:val="center"/>
              <w:rPr>
                <w:color w:val="010205"/>
                <w:szCs w:val="18"/>
                <w:lang w:val="en-US" w:eastAsia="en-US"/>
              </w:rPr>
            </w:pPr>
            <w:r>
              <w:rPr>
                <w:color w:val="010205"/>
                <w:szCs w:val="18"/>
                <w:lang w:val="en-US" w:eastAsia="en-US"/>
              </w:rPr>
            </w:r>
          </w:p>
        </w:tc>
        <w:tc>
          <w:tcPr>
            <w:tcW w:w="102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eastAsia="en-US"/>
              </w:rPr>
            </w:pPr>
            <w:r>
              <w:rPr>
                <w:sz w:val="18"/>
                <w:szCs w:val="18"/>
              </w:rPr>
              <w:t>0.08</w:t>
            </w:r>
          </w:p>
        </w:tc>
        <w:tc>
          <w:tcPr>
            <w:tcW w:w="93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eastAsia="en-US"/>
              </w:rPr>
            </w:pPr>
            <w:r>
              <w:rPr>
                <w:sz w:val="18"/>
                <w:szCs w:val="18"/>
              </w:rPr>
              <w:t>0.09</w:t>
            </w:r>
          </w:p>
        </w:tc>
        <w:tc>
          <w:tcPr>
            <w:tcW w:w="111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eastAsia="en-US"/>
              </w:rPr>
            </w:pPr>
            <w:r>
              <w:rPr>
                <w:sz w:val="18"/>
                <w:szCs w:val="18"/>
              </w:rPr>
              <w:t>0.19</w:t>
            </w:r>
          </w:p>
        </w:tc>
        <w:tc>
          <w:tcPr>
            <w:tcW w:w="1038"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eastAsia="en-US"/>
              </w:rPr>
            </w:pPr>
            <w:r>
              <w:rPr>
                <w:sz w:val="18"/>
                <w:szCs w:val="18"/>
              </w:rPr>
              <w:t>0.03</w:t>
            </w:r>
          </w:p>
        </w:tc>
        <w:tc>
          <w:tcPr>
            <w:tcW w:w="94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eastAsia="en-US"/>
              </w:rPr>
            </w:pPr>
            <w:r>
              <w:rPr>
                <w:sz w:val="18"/>
                <w:szCs w:val="18"/>
              </w:rPr>
              <w:t>0.38</w:t>
            </w:r>
          </w:p>
        </w:tc>
        <w:tc>
          <w:tcPr>
            <w:tcW w:w="964" w:type="dxa"/>
            <w:gridSpan w:val="2"/>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eastAsia="en-US"/>
              </w:rPr>
            </w:pPr>
            <w:r>
              <w:rPr>
                <w:sz w:val="18"/>
                <w:szCs w:val="18"/>
              </w:rPr>
              <w:t>0.19</w:t>
            </w:r>
          </w:p>
        </w:tc>
      </w:tr>
      <w:tr>
        <w:trPr>
          <w:cantSplit w:val="true"/>
        </w:trPr>
        <w:tc>
          <w:tcPr>
            <w:tcW w:w="2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bottom"/>
          </w:tcPr>
          <w:p>
            <w:pPr>
              <w:pStyle w:val="NormalTabla"/>
              <w:spacing w:before="60" w:after="20"/>
              <w:rPr>
                <w:color w:val="264A60"/>
                <w:szCs w:val="18"/>
                <w:lang w:eastAsia="en-US"/>
              </w:rPr>
            </w:pPr>
            <w:r>
              <w:rPr>
                <w:color w:val="264A60"/>
                <w:szCs w:val="18"/>
                <w:lang w:eastAsia="en-US"/>
              </w:rPr>
              <w:t>BD_gp_eval_proy_integral</w:t>
            </w:r>
          </w:p>
        </w:tc>
        <w:tc>
          <w:tcPr>
            <w:tcW w:w="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spacing w:before="60" w:after="20"/>
              <w:jc w:val="center"/>
              <w:rPr/>
            </w:pPr>
            <w:r>
              <w:rPr/>
            </w:r>
          </w:p>
        </w:tc>
        <w:tc>
          <w:tcPr>
            <w:tcW w:w="102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00000" w:themeColor="text1"/>
                <w:sz w:val="18"/>
                <w:szCs w:val="18"/>
              </w:rPr>
            </w:pPr>
            <w:r>
              <w:rPr>
                <w:sz w:val="18"/>
                <w:szCs w:val="18"/>
              </w:rPr>
              <w:t>0.10</w:t>
            </w:r>
          </w:p>
        </w:tc>
        <w:tc>
          <w:tcPr>
            <w:tcW w:w="93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00000" w:themeColor="text1"/>
                <w:sz w:val="18"/>
                <w:szCs w:val="18"/>
              </w:rPr>
            </w:pPr>
            <w:r>
              <w:rPr>
                <w:sz w:val="18"/>
                <w:szCs w:val="18"/>
              </w:rPr>
              <w:t>0.18</w:t>
            </w:r>
          </w:p>
        </w:tc>
        <w:tc>
          <w:tcPr>
            <w:tcW w:w="111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00000" w:themeColor="text1"/>
                <w:sz w:val="18"/>
                <w:szCs w:val="18"/>
              </w:rPr>
            </w:pPr>
            <w:r>
              <w:rPr>
                <w:sz w:val="18"/>
                <w:szCs w:val="18"/>
              </w:rPr>
              <w:t>0.14</w:t>
            </w:r>
          </w:p>
        </w:tc>
        <w:tc>
          <w:tcPr>
            <w:tcW w:w="1038"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00000" w:themeColor="text1"/>
                <w:sz w:val="18"/>
                <w:szCs w:val="18"/>
              </w:rPr>
            </w:pPr>
            <w:r>
              <w:rPr>
                <w:sz w:val="18"/>
                <w:szCs w:val="18"/>
              </w:rPr>
              <w:t>0.04</w:t>
            </w:r>
          </w:p>
        </w:tc>
        <w:tc>
          <w:tcPr>
            <w:tcW w:w="94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00000" w:themeColor="text1"/>
                <w:sz w:val="18"/>
                <w:szCs w:val="18"/>
              </w:rPr>
            </w:pPr>
            <w:r>
              <w:rPr>
                <w:sz w:val="18"/>
                <w:szCs w:val="18"/>
              </w:rPr>
              <w:t>0.36</w:t>
            </w:r>
          </w:p>
        </w:tc>
        <w:tc>
          <w:tcPr>
            <w:tcW w:w="964" w:type="dxa"/>
            <w:gridSpan w:val="2"/>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00000" w:themeColor="text1"/>
                <w:sz w:val="18"/>
                <w:szCs w:val="18"/>
              </w:rPr>
            </w:pPr>
            <w:r>
              <w:rPr>
                <w:sz w:val="18"/>
                <w:szCs w:val="18"/>
              </w:rPr>
              <w:t>0.14</w:t>
            </w:r>
          </w:p>
        </w:tc>
      </w:tr>
      <w:tr>
        <w:trPr>
          <w:cantSplit w:val="true"/>
        </w:trPr>
        <w:tc>
          <w:tcPr>
            <w:tcW w:w="2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bottom"/>
          </w:tcPr>
          <w:p>
            <w:pPr>
              <w:pStyle w:val="NormalTabla"/>
              <w:spacing w:before="60" w:after="20"/>
              <w:rPr>
                <w:color w:val="264A60"/>
                <w:szCs w:val="18"/>
                <w:lang w:val="en-US" w:eastAsia="en-US"/>
              </w:rPr>
            </w:pPr>
            <w:r>
              <w:rPr>
                <w:color w:val="264A60"/>
                <w:szCs w:val="18"/>
                <w:lang w:val="en-US" w:eastAsia="en-US"/>
              </w:rPr>
              <w:t>BD_gp_indicadores</w:t>
            </w:r>
          </w:p>
        </w:tc>
        <w:tc>
          <w:tcPr>
            <w:tcW w:w="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spacing w:before="60" w:after="20"/>
              <w:jc w:val="center"/>
              <w:rPr>
                <w:color w:val="010205"/>
                <w:szCs w:val="18"/>
                <w:lang w:val="en-US" w:eastAsia="en-US"/>
              </w:rPr>
            </w:pPr>
            <w:r>
              <w:rPr>
                <w:color w:val="010205"/>
                <w:szCs w:val="18"/>
                <w:lang w:val="en-US" w:eastAsia="en-US"/>
              </w:rPr>
            </w:r>
          </w:p>
        </w:tc>
        <w:tc>
          <w:tcPr>
            <w:tcW w:w="102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0.08</w:t>
            </w:r>
          </w:p>
        </w:tc>
        <w:tc>
          <w:tcPr>
            <w:tcW w:w="93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0.20</w:t>
            </w:r>
          </w:p>
        </w:tc>
        <w:tc>
          <w:tcPr>
            <w:tcW w:w="111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0.26</w:t>
            </w:r>
          </w:p>
        </w:tc>
        <w:tc>
          <w:tcPr>
            <w:tcW w:w="1038"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0.04</w:t>
            </w:r>
          </w:p>
        </w:tc>
        <w:tc>
          <w:tcPr>
            <w:tcW w:w="94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0.25</w:t>
            </w:r>
          </w:p>
        </w:tc>
        <w:tc>
          <w:tcPr>
            <w:tcW w:w="964" w:type="dxa"/>
            <w:gridSpan w:val="2"/>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0.26</w:t>
            </w:r>
          </w:p>
        </w:tc>
      </w:tr>
      <w:tr>
        <w:trPr>
          <w:cantSplit w:val="true"/>
        </w:trPr>
        <w:tc>
          <w:tcPr>
            <w:tcW w:w="2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bottom"/>
          </w:tcPr>
          <w:p>
            <w:pPr>
              <w:pStyle w:val="NormalTabla"/>
              <w:spacing w:before="60" w:after="20"/>
              <w:rPr>
                <w:color w:val="264A60"/>
                <w:szCs w:val="18"/>
                <w:lang w:val="en-US" w:eastAsia="en-US"/>
              </w:rPr>
            </w:pPr>
            <w:r>
              <w:rPr>
                <w:color w:val="264A60"/>
                <w:szCs w:val="18"/>
                <w:lang w:val="en-US" w:eastAsia="en-US"/>
              </w:rPr>
              <w:t>BD_gp_requerimientos</w:t>
            </w:r>
          </w:p>
        </w:tc>
        <w:tc>
          <w:tcPr>
            <w:tcW w:w="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spacing w:before="60" w:after="20"/>
              <w:jc w:val="center"/>
              <w:rPr>
                <w:color w:val="010205"/>
                <w:szCs w:val="18"/>
                <w:lang w:val="en-US" w:eastAsia="en-US"/>
              </w:rPr>
            </w:pPr>
            <w:r>
              <w:rPr>
                <w:color w:val="010205"/>
                <w:szCs w:val="18"/>
                <w:lang w:val="en-US" w:eastAsia="en-US"/>
              </w:rPr>
            </w:r>
          </w:p>
        </w:tc>
        <w:tc>
          <w:tcPr>
            <w:tcW w:w="102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0.14</w:t>
            </w:r>
          </w:p>
        </w:tc>
        <w:tc>
          <w:tcPr>
            <w:tcW w:w="93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0.18</w:t>
            </w:r>
          </w:p>
        </w:tc>
        <w:tc>
          <w:tcPr>
            <w:tcW w:w="111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0.32</w:t>
            </w:r>
          </w:p>
        </w:tc>
        <w:tc>
          <w:tcPr>
            <w:tcW w:w="1038"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0.04</w:t>
            </w:r>
          </w:p>
        </w:tc>
        <w:tc>
          <w:tcPr>
            <w:tcW w:w="94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0.32</w:t>
            </w:r>
          </w:p>
        </w:tc>
        <w:tc>
          <w:tcPr>
            <w:tcW w:w="964" w:type="dxa"/>
            <w:gridSpan w:val="2"/>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0.32</w:t>
            </w:r>
          </w:p>
        </w:tc>
      </w:tr>
      <w:tr>
        <w:trPr>
          <w:cantSplit w:val="true"/>
        </w:trPr>
        <w:tc>
          <w:tcPr>
            <w:tcW w:w="2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bottom"/>
          </w:tcPr>
          <w:p>
            <w:pPr>
              <w:pStyle w:val="NormalTabla"/>
              <w:spacing w:before="60" w:after="20"/>
              <w:rPr>
                <w:color w:val="264A60"/>
                <w:szCs w:val="18"/>
                <w:lang w:val="en-US" w:eastAsia="en-US"/>
              </w:rPr>
            </w:pPr>
            <w:r>
              <w:rPr>
                <w:color w:val="264A60"/>
                <w:szCs w:val="18"/>
                <w:lang w:val="en-US" w:eastAsia="en-US"/>
              </w:rPr>
              <w:t>BD_gp_toma_decisiones</w:t>
            </w:r>
          </w:p>
        </w:tc>
        <w:tc>
          <w:tcPr>
            <w:tcW w:w="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spacing w:before="60" w:after="20"/>
              <w:jc w:val="center"/>
              <w:rPr>
                <w:color w:val="010205"/>
                <w:szCs w:val="18"/>
                <w:lang w:val="en-US" w:eastAsia="en-US"/>
              </w:rPr>
            </w:pPr>
            <w:r>
              <w:rPr>
                <w:color w:val="010205"/>
                <w:szCs w:val="18"/>
                <w:lang w:val="en-US" w:eastAsia="en-US"/>
              </w:rPr>
            </w:r>
          </w:p>
        </w:tc>
        <w:tc>
          <w:tcPr>
            <w:tcW w:w="102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0.19</w:t>
            </w:r>
          </w:p>
        </w:tc>
        <w:tc>
          <w:tcPr>
            <w:tcW w:w="93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0.21</w:t>
            </w:r>
          </w:p>
        </w:tc>
        <w:tc>
          <w:tcPr>
            <w:tcW w:w="111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0.25</w:t>
            </w:r>
          </w:p>
        </w:tc>
        <w:tc>
          <w:tcPr>
            <w:tcW w:w="1038"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0.05</w:t>
            </w:r>
          </w:p>
        </w:tc>
        <w:tc>
          <w:tcPr>
            <w:tcW w:w="94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0.37</w:t>
            </w:r>
          </w:p>
        </w:tc>
        <w:tc>
          <w:tcPr>
            <w:tcW w:w="964" w:type="dxa"/>
            <w:gridSpan w:val="2"/>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0.25</w:t>
            </w:r>
          </w:p>
        </w:tc>
      </w:tr>
      <w:tr>
        <w:trPr>
          <w:cantSplit w:val="true"/>
        </w:trPr>
        <w:tc>
          <w:tcPr>
            <w:tcW w:w="2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bottom"/>
          </w:tcPr>
          <w:p>
            <w:pPr>
              <w:pStyle w:val="NormalTabla"/>
              <w:spacing w:before="60" w:after="20"/>
              <w:rPr>
                <w:color w:val="264A60"/>
                <w:szCs w:val="18"/>
                <w:lang w:val="en-US" w:eastAsia="en-US"/>
              </w:rPr>
            </w:pPr>
            <w:r>
              <w:rPr>
                <w:color w:val="264A60"/>
                <w:szCs w:val="18"/>
                <w:lang w:val="en-US" w:eastAsia="en-US"/>
              </w:rPr>
              <w:t>BD_gp_rrhh</w:t>
            </w:r>
          </w:p>
        </w:tc>
        <w:tc>
          <w:tcPr>
            <w:tcW w:w="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spacing w:before="60" w:after="20"/>
              <w:jc w:val="center"/>
              <w:rPr>
                <w:color w:val="010205"/>
                <w:szCs w:val="18"/>
                <w:lang w:val="en-US" w:eastAsia="en-US"/>
              </w:rPr>
            </w:pPr>
            <w:r>
              <w:rPr>
                <w:color w:val="010205"/>
                <w:szCs w:val="18"/>
                <w:lang w:val="en-US" w:eastAsia="en-US"/>
              </w:rPr>
            </w:r>
          </w:p>
        </w:tc>
        <w:tc>
          <w:tcPr>
            <w:tcW w:w="102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0.11</w:t>
            </w:r>
          </w:p>
        </w:tc>
        <w:tc>
          <w:tcPr>
            <w:tcW w:w="93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0.18</w:t>
            </w:r>
          </w:p>
        </w:tc>
        <w:tc>
          <w:tcPr>
            <w:tcW w:w="111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0.28</w:t>
            </w:r>
          </w:p>
        </w:tc>
        <w:tc>
          <w:tcPr>
            <w:tcW w:w="1038"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0.02</w:t>
            </w:r>
          </w:p>
        </w:tc>
        <w:tc>
          <w:tcPr>
            <w:tcW w:w="94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0.22</w:t>
            </w:r>
          </w:p>
        </w:tc>
        <w:tc>
          <w:tcPr>
            <w:tcW w:w="964" w:type="dxa"/>
            <w:gridSpan w:val="2"/>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0.38</w:t>
            </w:r>
          </w:p>
        </w:tc>
      </w:tr>
      <w:tr>
        <w:trPr>
          <w:cantSplit w:val="true"/>
        </w:trPr>
        <w:tc>
          <w:tcPr>
            <w:tcW w:w="3628" w:type="dxa"/>
            <w:gridSpan w:val="4"/>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E0E0E0" w:val="clear"/>
            <w:tcMar>
              <w:left w:w="-10" w:type="dxa"/>
            </w:tcMar>
            <w:vAlign w:val="center"/>
          </w:tcPr>
          <w:p>
            <w:pPr>
              <w:pStyle w:val="Normal"/>
              <w:suppressAutoHyphens w:val="false"/>
              <w:overflowPunct w:val="true"/>
              <w:spacing w:lineRule="auto" w:line="240" w:before="80" w:after="20"/>
              <w:ind w:left="60" w:right="60" w:hanging="0"/>
              <w:jc w:val="center"/>
              <w:textAlignment w:val="auto"/>
              <w:rPr>
                <w:color w:val="000000" w:themeColor="text1"/>
                <w:sz w:val="20"/>
                <w:szCs w:val="20"/>
              </w:rPr>
            </w:pPr>
            <w:r>
              <w:rPr>
                <w:b/>
                <w:color w:val="264A60"/>
                <w:szCs w:val="18"/>
                <w:lang w:val="en-US" w:eastAsia="en-US"/>
              </w:rPr>
              <w:t>BD sobre auditorías</w:t>
            </w:r>
          </w:p>
        </w:tc>
        <w:tc>
          <w:tcPr>
            <w:tcW w:w="4990" w:type="dxa"/>
            <w:gridSpan w:val="9"/>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tcPr>
          <w:p>
            <w:pPr>
              <w:pStyle w:val="Normal"/>
              <w:suppressAutoHyphens w:val="false"/>
              <w:overflowPunct w:val="true"/>
              <w:spacing w:lineRule="auto" w:line="240" w:before="80" w:after="20"/>
              <w:ind w:left="60" w:right="60" w:hanging="0"/>
              <w:jc w:val="center"/>
              <w:textAlignment w:val="auto"/>
              <w:rPr>
                <w:color w:val="000000" w:themeColor="text1"/>
                <w:sz w:val="20"/>
                <w:szCs w:val="20"/>
              </w:rPr>
            </w:pPr>
            <w:r>
              <w:rPr>
                <w:color w:val="000000" w:themeColor="text1"/>
                <w:sz w:val="20"/>
                <w:szCs w:val="20"/>
              </w:rPr>
            </w:r>
          </w:p>
        </w:tc>
      </w:tr>
      <w:tr>
        <w:trPr>
          <w:trHeight w:val="333" w:hRule="atLeast"/>
          <w:cantSplit w:val="true"/>
        </w:trPr>
        <w:tc>
          <w:tcPr>
            <w:tcW w:w="2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bottom"/>
          </w:tcPr>
          <w:p>
            <w:pPr>
              <w:pStyle w:val="NormalTabla"/>
              <w:spacing w:before="60" w:after="20"/>
              <w:rPr>
                <w:color w:val="264A60"/>
                <w:szCs w:val="18"/>
                <w:lang w:val="en-US" w:eastAsia="en-US"/>
              </w:rPr>
            </w:pPr>
            <w:r>
              <w:rPr>
                <w:color w:val="264A60"/>
                <w:szCs w:val="18"/>
                <w:lang w:val="en-US" w:eastAsia="en-US"/>
              </w:rPr>
              <w:t>BD_audit_sinOrganismos</w:t>
            </w:r>
          </w:p>
        </w:tc>
        <w:tc>
          <w:tcPr>
            <w:tcW w:w="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spacing w:before="60" w:after="20"/>
              <w:jc w:val="center"/>
              <w:rPr/>
            </w:pPr>
            <w:r>
              <w:rPr/>
            </w:r>
          </w:p>
        </w:tc>
        <w:tc>
          <w:tcPr>
            <w:tcW w:w="102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0.28</w:t>
            </w:r>
          </w:p>
        </w:tc>
        <w:tc>
          <w:tcPr>
            <w:tcW w:w="93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0.31</w:t>
            </w:r>
          </w:p>
        </w:tc>
        <w:tc>
          <w:tcPr>
            <w:tcW w:w="111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0.23</w:t>
            </w:r>
          </w:p>
        </w:tc>
        <w:tc>
          <w:tcPr>
            <w:tcW w:w="1038"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0.02</w:t>
            </w:r>
          </w:p>
        </w:tc>
        <w:tc>
          <w:tcPr>
            <w:tcW w:w="94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0.38</w:t>
            </w:r>
          </w:p>
        </w:tc>
        <w:tc>
          <w:tcPr>
            <w:tcW w:w="964" w:type="dxa"/>
            <w:gridSpan w:val="2"/>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0.24</w:t>
            </w:r>
          </w:p>
        </w:tc>
      </w:tr>
      <w:tr>
        <w:trPr>
          <w:trHeight w:val="267" w:hRule="atLeast"/>
          <w:cantSplit w:val="true"/>
        </w:trPr>
        <w:tc>
          <w:tcPr>
            <w:tcW w:w="2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bottom"/>
          </w:tcPr>
          <w:p>
            <w:pPr>
              <w:pStyle w:val="NormalTabla"/>
              <w:spacing w:before="60" w:after="20"/>
              <w:rPr>
                <w:color w:val="264A60"/>
                <w:szCs w:val="18"/>
                <w:lang w:val="en-US" w:eastAsia="en-US"/>
              </w:rPr>
            </w:pPr>
            <w:r>
              <w:rPr>
                <w:color w:val="264A60"/>
                <w:szCs w:val="18"/>
                <w:lang w:val="en-US" w:eastAsia="en-US"/>
              </w:rPr>
              <w:t>BD_audit_sinProvMinistInstit</w:t>
            </w:r>
          </w:p>
        </w:tc>
        <w:tc>
          <w:tcPr>
            <w:tcW w:w="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spacing w:before="60" w:after="20"/>
              <w:jc w:val="center"/>
              <w:rPr/>
            </w:pPr>
            <w:r>
              <w:rPr/>
            </w:r>
          </w:p>
        </w:tc>
        <w:tc>
          <w:tcPr>
            <w:tcW w:w="102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0.23</w:t>
            </w:r>
          </w:p>
        </w:tc>
        <w:tc>
          <w:tcPr>
            <w:tcW w:w="93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0.27</w:t>
            </w:r>
          </w:p>
        </w:tc>
        <w:tc>
          <w:tcPr>
            <w:tcW w:w="111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0.23</w:t>
            </w:r>
          </w:p>
        </w:tc>
        <w:tc>
          <w:tcPr>
            <w:tcW w:w="1038"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0.05</w:t>
            </w:r>
          </w:p>
        </w:tc>
        <w:tc>
          <w:tcPr>
            <w:tcW w:w="94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0.38</w:t>
            </w:r>
          </w:p>
        </w:tc>
        <w:tc>
          <w:tcPr>
            <w:tcW w:w="964" w:type="dxa"/>
            <w:gridSpan w:val="2"/>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0.24</w:t>
            </w:r>
          </w:p>
        </w:tc>
      </w:tr>
      <w:tr>
        <w:trPr>
          <w:trHeight w:val="267" w:hRule="atLeast"/>
          <w:cantSplit w:val="true"/>
        </w:trPr>
        <w:tc>
          <w:tcPr>
            <w:tcW w:w="3628" w:type="dxa"/>
            <w:gridSpan w:val="4"/>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E0E0E0" w:val="clear"/>
            <w:tcMar>
              <w:left w:w="-10" w:type="dxa"/>
            </w:tcMar>
            <w:vAlign w:val="center"/>
          </w:tcPr>
          <w:p>
            <w:pPr>
              <w:pStyle w:val="NormalTabla"/>
              <w:spacing w:before="60" w:after="20"/>
              <w:jc w:val="center"/>
              <w:rPr>
                <w:color w:val="000000" w:themeColor="text1"/>
              </w:rPr>
            </w:pPr>
            <w:r>
              <w:rPr>
                <w:b/>
                <w:color w:val="264A60"/>
                <w:szCs w:val="18"/>
                <w:lang w:val="en-US" w:eastAsia="en-US"/>
              </w:rPr>
              <w:t>BD sobre medicina</w:t>
            </w:r>
          </w:p>
        </w:tc>
        <w:tc>
          <w:tcPr>
            <w:tcW w:w="4990" w:type="dxa"/>
            <w:gridSpan w:val="9"/>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tcPr>
          <w:p>
            <w:pPr>
              <w:pStyle w:val="NormalTabla"/>
              <w:spacing w:before="60" w:after="20"/>
              <w:jc w:val="center"/>
              <w:rPr>
                <w:color w:val="000000" w:themeColor="text1"/>
              </w:rPr>
            </w:pPr>
            <w:r>
              <w:rPr>
                <w:color w:val="000000" w:themeColor="text1"/>
              </w:rPr>
            </w:r>
          </w:p>
        </w:tc>
      </w:tr>
      <w:tr>
        <w:trPr>
          <w:trHeight w:val="271" w:hRule="atLeast"/>
          <w:cantSplit w:val="true"/>
        </w:trPr>
        <w:tc>
          <w:tcPr>
            <w:tcW w:w="2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bottom"/>
          </w:tcPr>
          <w:p>
            <w:pPr>
              <w:pStyle w:val="NormalTabla"/>
              <w:spacing w:before="60" w:after="20"/>
              <w:rPr>
                <w:color w:val="264A60"/>
                <w:szCs w:val="18"/>
                <w:lang w:val="en-US" w:eastAsia="en-US"/>
              </w:rPr>
            </w:pPr>
            <w:r>
              <w:rPr>
                <w:color w:val="264A60"/>
                <w:szCs w:val="18"/>
                <w:lang w:val="en-US" w:eastAsia="en-US"/>
              </w:rPr>
              <w:t>BD_med_congenito</w:t>
            </w:r>
          </w:p>
        </w:tc>
        <w:tc>
          <w:tcPr>
            <w:tcW w:w="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Tabla"/>
              <w:spacing w:before="60" w:after="20"/>
              <w:rPr>
                <w:color w:val="264A60"/>
                <w:szCs w:val="18"/>
                <w:lang w:val="en-US" w:eastAsia="en-US"/>
              </w:rPr>
            </w:pPr>
            <w:r>
              <w:rPr>
                <w:color w:val="264A60"/>
                <w:szCs w:val="18"/>
                <w:lang w:val="en-US" w:eastAsia="en-US"/>
              </w:rPr>
            </w:r>
          </w:p>
        </w:tc>
        <w:tc>
          <w:tcPr>
            <w:tcW w:w="102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0.11</w:t>
            </w:r>
          </w:p>
        </w:tc>
        <w:tc>
          <w:tcPr>
            <w:tcW w:w="93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0.21</w:t>
            </w:r>
          </w:p>
        </w:tc>
        <w:tc>
          <w:tcPr>
            <w:tcW w:w="111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0.22</w:t>
            </w:r>
          </w:p>
        </w:tc>
        <w:tc>
          <w:tcPr>
            <w:tcW w:w="1038"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0.38</w:t>
            </w:r>
          </w:p>
        </w:tc>
        <w:tc>
          <w:tcPr>
            <w:tcW w:w="94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0.38</w:t>
            </w:r>
          </w:p>
        </w:tc>
        <w:tc>
          <w:tcPr>
            <w:tcW w:w="964" w:type="dxa"/>
            <w:gridSpan w:val="2"/>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0.22</w:t>
            </w:r>
          </w:p>
        </w:tc>
      </w:tr>
      <w:tr>
        <w:trPr>
          <w:trHeight w:val="271" w:hRule="atLeast"/>
          <w:cantSplit w:val="true"/>
        </w:trPr>
        <w:tc>
          <w:tcPr>
            <w:tcW w:w="2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bottom"/>
          </w:tcPr>
          <w:p>
            <w:pPr>
              <w:pStyle w:val="NormalTabla"/>
              <w:spacing w:before="60" w:after="20"/>
              <w:rPr>
                <w:color w:val="264A60"/>
                <w:szCs w:val="18"/>
                <w:lang w:val="en-US" w:eastAsia="en-US"/>
              </w:rPr>
            </w:pPr>
            <w:r>
              <w:rPr>
                <w:color w:val="264A60"/>
                <w:szCs w:val="18"/>
                <w:lang w:val="en-US" w:eastAsia="en-US"/>
              </w:rPr>
              <w:t>BD_med_valvular</w:t>
            </w:r>
          </w:p>
        </w:tc>
        <w:tc>
          <w:tcPr>
            <w:tcW w:w="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Tabla"/>
              <w:spacing w:before="60" w:after="20"/>
              <w:rPr>
                <w:color w:val="264A60"/>
                <w:szCs w:val="18"/>
                <w:lang w:val="en-US" w:eastAsia="en-US"/>
              </w:rPr>
            </w:pPr>
            <w:r>
              <w:rPr>
                <w:color w:val="264A60"/>
                <w:szCs w:val="18"/>
                <w:lang w:val="en-US" w:eastAsia="en-US"/>
              </w:rPr>
            </w:r>
          </w:p>
        </w:tc>
        <w:tc>
          <w:tcPr>
            <w:tcW w:w="102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0.11</w:t>
            </w:r>
          </w:p>
        </w:tc>
        <w:tc>
          <w:tcPr>
            <w:tcW w:w="93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0.38</w:t>
            </w:r>
          </w:p>
        </w:tc>
        <w:tc>
          <w:tcPr>
            <w:tcW w:w="111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0.33</w:t>
            </w:r>
          </w:p>
        </w:tc>
        <w:tc>
          <w:tcPr>
            <w:tcW w:w="1038"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0.04</w:t>
            </w:r>
          </w:p>
        </w:tc>
        <w:tc>
          <w:tcPr>
            <w:tcW w:w="94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0.38</w:t>
            </w:r>
          </w:p>
        </w:tc>
        <w:tc>
          <w:tcPr>
            <w:tcW w:w="964" w:type="dxa"/>
            <w:gridSpan w:val="2"/>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0.33</w:t>
            </w:r>
          </w:p>
        </w:tc>
      </w:tr>
      <w:tr>
        <w:trPr>
          <w:trHeight w:val="247" w:hRule="atLeast"/>
          <w:cantSplit w:val="true"/>
        </w:trPr>
        <w:tc>
          <w:tcPr>
            <w:tcW w:w="2571" w:type="dxa"/>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bottom"/>
          </w:tcPr>
          <w:p>
            <w:pPr>
              <w:pStyle w:val="NormalTabla"/>
              <w:spacing w:before="60" w:after="20"/>
              <w:rPr>
                <w:color w:val="264A60"/>
                <w:szCs w:val="18"/>
                <w:lang w:val="en-US" w:eastAsia="en-US"/>
              </w:rPr>
            </w:pPr>
            <w:r>
              <w:rPr>
                <w:color w:val="264A60"/>
                <w:szCs w:val="18"/>
                <w:lang w:val="en-US" w:eastAsia="en-US"/>
              </w:rPr>
              <w:t>BD_med_covidCuba</w:t>
            </w:r>
          </w:p>
        </w:tc>
        <w:tc>
          <w:tcPr>
            <w:tcW w:w="27" w:type="dxa"/>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FFFFFF" w:val="clear"/>
            <w:tcMar>
              <w:left w:w="-10" w:type="dxa"/>
            </w:tcMar>
            <w:vAlign w:val="center"/>
          </w:tcPr>
          <w:p>
            <w:pPr>
              <w:pStyle w:val="NormalTabla"/>
              <w:spacing w:before="60" w:after="20"/>
              <w:rPr>
                <w:color w:val="264A60"/>
                <w:szCs w:val="18"/>
                <w:lang w:val="en-US" w:eastAsia="en-US"/>
              </w:rPr>
            </w:pPr>
            <w:r>
              <w:rPr>
                <w:color w:val="264A60"/>
                <w:szCs w:val="18"/>
                <w:lang w:val="en-US" w:eastAsia="en-US"/>
              </w:rPr>
            </w:r>
          </w:p>
        </w:tc>
        <w:tc>
          <w:tcPr>
            <w:tcW w:w="1029" w:type="dxa"/>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0.36</w:t>
            </w:r>
          </w:p>
        </w:tc>
        <w:tc>
          <w:tcPr>
            <w:tcW w:w="933" w:type="dxa"/>
            <w:gridSpan w:val="2"/>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0.36</w:t>
            </w:r>
          </w:p>
        </w:tc>
        <w:tc>
          <w:tcPr>
            <w:tcW w:w="1113" w:type="dxa"/>
            <w:gridSpan w:val="2"/>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0.38</w:t>
            </w:r>
          </w:p>
        </w:tc>
        <w:tc>
          <w:tcPr>
            <w:tcW w:w="1038" w:type="dxa"/>
            <w:gridSpan w:val="2"/>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0.03</w:t>
            </w:r>
          </w:p>
        </w:tc>
        <w:tc>
          <w:tcPr>
            <w:tcW w:w="943" w:type="dxa"/>
            <w:gridSpan w:val="2"/>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0.37</w:t>
            </w:r>
          </w:p>
        </w:tc>
        <w:tc>
          <w:tcPr>
            <w:tcW w:w="964" w:type="dxa"/>
            <w:gridSpan w:val="2"/>
            <w:tcBorders>
              <w:top w:val="single" w:sz="8" w:space="0" w:color="AEAEAE"/>
              <w:left w:val="single" w:sz="8" w:space="0" w:color="E0E0E0"/>
              <w:bottom w:val="single" w:sz="8" w:space="0" w:color="000001"/>
              <w:right w:val="single" w:sz="8" w:space="0" w:color="AEAEAE"/>
              <w:insideH w:val="single" w:sz="8" w:space="0" w:color="000001"/>
              <w:insideV w:val="single" w:sz="8" w:space="0" w:color="AEAEAE"/>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0.38</w:t>
            </w:r>
          </w:p>
        </w:tc>
      </w:tr>
    </w:tbl>
    <w:p>
      <w:pPr>
        <w:pStyle w:val="Normal"/>
        <w:rPr/>
      </w:pPr>
      <w:r>
        <w:rPr/>
      </w:r>
    </w:p>
    <w:p>
      <w:pPr>
        <w:pStyle w:val="Caption1"/>
        <w:keepNext/>
        <w:rPr/>
      </w:pPr>
      <w:bookmarkStart w:id="3839" w:name="_Toc84599005"/>
      <w:bookmarkStart w:id="3840" w:name="_Ref68937407"/>
      <w:r>
        <w:rPr/>
        <w:t xml:space="preserve">Tabla </w:t>
      </w:r>
      <w:r>
        <w:rPr/>
        <w:fldChar w:fldCharType="begin"/>
      </w:r>
      <w:r>
        <w:instrText> SEQ Tabla \* ARABIC </w:instrText>
      </w:r>
      <w:r>
        <w:fldChar w:fldCharType="separate"/>
      </w:r>
      <w:r>
        <w:t>35</w:t>
      </w:r>
      <w:r>
        <w:fldChar w:fldCharType="end"/>
      </w:r>
      <w:bookmarkEnd w:id="3839"/>
      <w:bookmarkEnd w:id="3840"/>
      <w:r>
        <w:rPr/>
        <w:t>: Resultado de los algoritmos respecto a la Fortaleza de las dependencias en los resúmenes.</w:t>
      </w:r>
    </w:p>
    <w:tbl>
      <w:tblPr>
        <w:tblW w:w="4800" w:type="pct"/>
        <w:jc w:val="center"/>
        <w:tblInd w:w="0" w:type="dxa"/>
        <w:tblBorders>
          <w:top w:val="single" w:sz="8" w:space="0" w:color="000001"/>
          <w:left w:val="single" w:sz="8" w:space="0" w:color="AEAEAE"/>
          <w:bottom w:val="single" w:sz="8" w:space="0" w:color="AEAEAE"/>
          <w:right w:val="single" w:sz="8" w:space="0" w:color="E0E0E0"/>
          <w:insideH w:val="single" w:sz="8" w:space="0" w:color="AEAEAE"/>
          <w:insideV w:val="single" w:sz="8" w:space="0" w:color="E0E0E0"/>
        </w:tblBorders>
        <w:tblCellMar>
          <w:top w:w="0" w:type="dxa"/>
          <w:left w:w="-10" w:type="dxa"/>
          <w:bottom w:w="0" w:type="dxa"/>
          <w:right w:w="0" w:type="dxa"/>
        </w:tblCellMar>
        <w:tblLook w:val="0000" w:noVBand="0" w:noHBand="0" w:lastColumn="0" w:firstColumn="0" w:lastRow="0" w:firstRow="0"/>
      </w:tblPr>
      <w:tblGrid>
        <w:gridCol w:w="2571"/>
        <w:gridCol w:w="27"/>
        <w:gridCol w:w="1029"/>
        <w:gridCol w:w="1"/>
        <w:gridCol w:w="932"/>
        <w:gridCol w:w="1"/>
        <w:gridCol w:w="1112"/>
        <w:gridCol w:w="1"/>
        <w:gridCol w:w="1037"/>
        <w:gridCol w:w="1"/>
        <w:gridCol w:w="942"/>
        <w:gridCol w:w="1"/>
        <w:gridCol w:w="963"/>
      </w:tblGrid>
      <w:tr>
        <w:trPr>
          <w:cantSplit w:val="true"/>
        </w:trPr>
        <w:tc>
          <w:tcPr>
            <w:tcW w:w="2571" w:type="dxa"/>
            <w:tcBorders>
              <w:top w:val="single" w:sz="8" w:space="0" w:color="000001"/>
              <w:left w:val="single" w:sz="8" w:space="0" w:color="AEAEAE"/>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
              <w:suppressAutoHyphens w:val="false"/>
              <w:overflowPunct w:val="true"/>
              <w:spacing w:lineRule="auto" w:line="240" w:before="80" w:after="20"/>
              <w:ind w:left="60" w:right="60" w:hanging="0"/>
              <w:jc w:val="center"/>
              <w:textAlignment w:val="auto"/>
              <w:rPr>
                <w:color w:val="264A60"/>
                <w:sz w:val="18"/>
                <w:szCs w:val="18"/>
                <w:lang w:eastAsia="en-US"/>
              </w:rPr>
            </w:pPr>
            <w:r>
              <w:rPr>
                <w:b/>
                <w:color w:val="264A60"/>
                <w:szCs w:val="18"/>
                <w:lang w:eastAsia="en-US"/>
              </w:rPr>
              <w:t>T. de ejecución</w:t>
            </w:r>
          </w:p>
        </w:tc>
        <w:tc>
          <w:tcPr>
            <w:tcW w:w="1057" w:type="dxa"/>
            <w:gridSpan w:val="3"/>
            <w:tcBorders>
              <w:top w:val="single" w:sz="8" w:space="0" w:color="000001"/>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tcPr>
          <w:p>
            <w:pPr>
              <w:pStyle w:val="Normal"/>
              <w:suppressAutoHyphens w:val="false"/>
              <w:overflowPunct w:val="true"/>
              <w:spacing w:lineRule="auto" w:line="240" w:before="80" w:after="20"/>
              <w:ind w:left="60" w:right="60" w:hanging="0"/>
              <w:jc w:val="center"/>
              <w:textAlignment w:val="auto"/>
              <w:rPr>
                <w:color w:val="264A60"/>
                <w:sz w:val="18"/>
                <w:szCs w:val="18"/>
                <w:lang w:eastAsia="en-US"/>
              </w:rPr>
            </w:pPr>
            <w:r>
              <w:rPr>
                <w:color w:val="264A60"/>
                <w:sz w:val="18"/>
                <w:szCs w:val="18"/>
                <w:lang w:eastAsia="en-US"/>
              </w:rPr>
              <w:t xml:space="preserve">RST_LDS </w:t>
            </w:r>
          </w:p>
        </w:tc>
        <w:tc>
          <w:tcPr>
            <w:tcW w:w="933" w:type="dxa"/>
            <w:gridSpan w:val="2"/>
            <w:tcBorders>
              <w:top w:val="single" w:sz="8" w:space="0" w:color="000001"/>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tcPr>
          <w:p>
            <w:pPr>
              <w:pStyle w:val="Normal"/>
              <w:suppressAutoHyphens w:val="false"/>
              <w:overflowPunct w:val="true"/>
              <w:spacing w:lineRule="auto" w:line="240" w:before="80" w:after="20"/>
              <w:ind w:left="60" w:right="60" w:hanging="0"/>
              <w:jc w:val="center"/>
              <w:textAlignment w:val="auto"/>
              <w:rPr>
                <w:color w:val="264A60"/>
                <w:sz w:val="18"/>
                <w:szCs w:val="18"/>
                <w:lang w:eastAsia="en-US"/>
              </w:rPr>
            </w:pPr>
            <w:r>
              <w:rPr>
                <w:color w:val="264A60"/>
                <w:sz w:val="18"/>
                <w:szCs w:val="18"/>
                <w:lang w:eastAsia="en-US"/>
              </w:rPr>
              <w:t xml:space="preserve">LPA_LDS </w:t>
            </w:r>
          </w:p>
        </w:tc>
        <w:tc>
          <w:tcPr>
            <w:tcW w:w="1113" w:type="dxa"/>
            <w:gridSpan w:val="2"/>
            <w:tcBorders>
              <w:top w:val="single" w:sz="8" w:space="0" w:color="000001"/>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tcPr>
          <w:p>
            <w:pPr>
              <w:pStyle w:val="Normal"/>
              <w:suppressAutoHyphens w:val="false"/>
              <w:overflowPunct w:val="true"/>
              <w:spacing w:lineRule="auto" w:line="240" w:before="80" w:after="20"/>
              <w:ind w:left="60" w:right="60" w:hanging="0"/>
              <w:jc w:val="center"/>
              <w:textAlignment w:val="auto"/>
              <w:rPr>
                <w:color w:val="264A60"/>
                <w:sz w:val="18"/>
                <w:szCs w:val="18"/>
                <w:lang w:eastAsia="en-US"/>
              </w:rPr>
            </w:pPr>
            <w:r>
              <w:rPr>
                <w:color w:val="264A60"/>
                <w:sz w:val="18"/>
                <w:szCs w:val="18"/>
                <w:lang w:eastAsia="en-US"/>
              </w:rPr>
              <w:t>Apriori_LDS</w:t>
            </w:r>
          </w:p>
        </w:tc>
        <w:tc>
          <w:tcPr>
            <w:tcW w:w="1038" w:type="dxa"/>
            <w:gridSpan w:val="2"/>
            <w:tcBorders>
              <w:top w:val="single" w:sz="8" w:space="0" w:color="000001"/>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tcPr>
          <w:p>
            <w:pPr>
              <w:pStyle w:val="Normal"/>
              <w:suppressAutoHyphens w:val="false"/>
              <w:overflowPunct w:val="true"/>
              <w:spacing w:lineRule="auto" w:line="240" w:before="80" w:after="20"/>
              <w:ind w:left="60" w:right="60" w:hanging="0"/>
              <w:jc w:val="center"/>
              <w:textAlignment w:val="auto"/>
              <w:rPr>
                <w:color w:val="264A60"/>
                <w:sz w:val="18"/>
                <w:szCs w:val="18"/>
                <w:lang w:eastAsia="en-US"/>
              </w:rPr>
            </w:pPr>
            <w:r>
              <w:rPr>
                <w:color w:val="264A60"/>
                <w:sz w:val="18"/>
                <w:szCs w:val="18"/>
                <w:lang w:eastAsia="en-US"/>
              </w:rPr>
              <w:t>ACO_LDS</w:t>
            </w:r>
          </w:p>
        </w:tc>
        <w:tc>
          <w:tcPr>
            <w:tcW w:w="943" w:type="dxa"/>
            <w:gridSpan w:val="2"/>
            <w:tcBorders>
              <w:top w:val="single" w:sz="8" w:space="0" w:color="000001"/>
              <w:left w:val="single" w:sz="8" w:space="0" w:color="E0E0E0"/>
              <w:bottom w:val="single" w:sz="8" w:space="0" w:color="152935"/>
              <w:right w:val="single" w:sz="8" w:space="0" w:color="E0E0E0"/>
              <w:insideH w:val="single" w:sz="8" w:space="0" w:color="152935"/>
              <w:insideV w:val="single" w:sz="8" w:space="0" w:color="E0E0E0"/>
            </w:tcBorders>
            <w:shd w:color="auto" w:fill="FFFFFF" w:val="clear"/>
            <w:tcMar>
              <w:left w:w="-10" w:type="dxa"/>
            </w:tcMar>
          </w:tcPr>
          <w:p>
            <w:pPr>
              <w:pStyle w:val="Normal"/>
              <w:suppressAutoHyphens w:val="false"/>
              <w:overflowPunct w:val="true"/>
              <w:spacing w:lineRule="auto" w:line="240" w:before="80" w:after="20"/>
              <w:ind w:left="60" w:right="60" w:hanging="0"/>
              <w:jc w:val="center"/>
              <w:textAlignment w:val="auto"/>
              <w:rPr>
                <w:color w:val="264A60"/>
                <w:sz w:val="18"/>
                <w:szCs w:val="18"/>
                <w:lang w:eastAsia="en-US"/>
              </w:rPr>
            </w:pPr>
            <w:r>
              <w:rPr>
                <w:color w:val="264A60"/>
                <w:sz w:val="18"/>
                <w:szCs w:val="18"/>
                <w:lang w:eastAsia="en-US"/>
              </w:rPr>
              <w:t>GA_LDS</w:t>
            </w:r>
          </w:p>
        </w:tc>
        <w:tc>
          <w:tcPr>
            <w:tcW w:w="963" w:type="dxa"/>
            <w:tcBorders>
              <w:top w:val="single" w:sz="8" w:space="0" w:color="000001"/>
              <w:left w:val="single" w:sz="8" w:space="0" w:color="E0E0E0"/>
              <w:bottom w:val="single" w:sz="8" w:space="0" w:color="152935"/>
              <w:right w:val="single" w:sz="8" w:space="0" w:color="AEAEAE"/>
              <w:insideH w:val="single" w:sz="8" w:space="0" w:color="152935"/>
              <w:insideV w:val="single" w:sz="8" w:space="0" w:color="AEAEAE"/>
            </w:tcBorders>
            <w:shd w:color="auto" w:fill="FFFFFF" w:val="clear"/>
            <w:tcMar>
              <w:left w:w="-10" w:type="dxa"/>
            </w:tcMar>
          </w:tcPr>
          <w:p>
            <w:pPr>
              <w:pStyle w:val="Normal"/>
              <w:suppressAutoHyphens w:val="false"/>
              <w:overflowPunct w:val="true"/>
              <w:spacing w:lineRule="auto" w:line="240" w:before="80" w:after="20"/>
              <w:ind w:left="60" w:right="60" w:hanging="0"/>
              <w:jc w:val="center"/>
              <w:textAlignment w:val="auto"/>
              <w:rPr>
                <w:color w:val="264A60"/>
                <w:sz w:val="18"/>
                <w:szCs w:val="18"/>
                <w:lang w:eastAsia="en-US"/>
              </w:rPr>
            </w:pPr>
            <w:r>
              <w:rPr>
                <w:color w:val="264A60"/>
                <w:sz w:val="18"/>
                <w:szCs w:val="18"/>
                <w:lang w:eastAsia="en-US"/>
              </w:rPr>
              <w:t>PCA_LDS</w:t>
            </w:r>
          </w:p>
        </w:tc>
      </w:tr>
      <w:tr>
        <w:trPr>
          <w:trHeight w:val="195" w:hRule="atLeast"/>
          <w:cantSplit w:val="true"/>
        </w:trPr>
        <w:tc>
          <w:tcPr>
            <w:tcW w:w="3628" w:type="dxa"/>
            <w:gridSpan w:val="4"/>
            <w:tcBorders>
              <w:top w:val="single" w:sz="8" w:space="0" w:color="152935"/>
              <w:left w:val="single" w:sz="8" w:space="0" w:color="E0E0E0"/>
              <w:bottom w:val="single" w:sz="8" w:space="0" w:color="AEAEAE"/>
              <w:right w:val="single" w:sz="8" w:space="0" w:color="AEAEAE"/>
              <w:insideH w:val="single" w:sz="8" w:space="0" w:color="AEAEAE"/>
              <w:insideV w:val="single" w:sz="8" w:space="0" w:color="AEAEAE"/>
            </w:tcBorders>
            <w:shd w:color="auto" w:fill="E0E0E0" w:val="clear"/>
            <w:tcMar>
              <w:left w:w="-10" w:type="dxa"/>
            </w:tcMar>
            <w:vAlign w:val="center"/>
          </w:tcPr>
          <w:p>
            <w:pPr>
              <w:pStyle w:val="Normal"/>
              <w:suppressAutoHyphens w:val="false"/>
              <w:overflowPunct w:val="true"/>
              <w:spacing w:lineRule="auto" w:line="240" w:before="80" w:after="20"/>
              <w:ind w:left="60" w:right="60" w:hanging="0"/>
              <w:jc w:val="center"/>
              <w:textAlignment w:val="auto"/>
              <w:rPr>
                <w:color w:val="010205"/>
                <w:sz w:val="20"/>
                <w:szCs w:val="20"/>
                <w:lang w:val="en-US" w:eastAsia="en-US"/>
              </w:rPr>
            </w:pPr>
            <w:r>
              <w:rPr>
                <w:b/>
                <w:color w:val="264A60"/>
                <w:szCs w:val="18"/>
                <w:lang w:val="en-US" w:eastAsia="en-US"/>
              </w:rPr>
              <w:t>BD sobre proyectos</w:t>
            </w:r>
          </w:p>
        </w:tc>
        <w:tc>
          <w:tcPr>
            <w:tcW w:w="4990" w:type="dxa"/>
            <w:gridSpan w:val="9"/>
            <w:tcBorders>
              <w:top w:val="single" w:sz="8" w:space="0" w:color="152935"/>
              <w:left w:val="single" w:sz="8" w:space="0" w:color="E0E0E0"/>
              <w:bottom w:val="single" w:sz="8" w:space="0" w:color="AEAEAE"/>
              <w:right w:val="single" w:sz="8" w:space="0" w:color="AEAEAE"/>
              <w:insideH w:val="single" w:sz="8" w:space="0" w:color="AEAEAE"/>
              <w:insideV w:val="single" w:sz="8" w:space="0" w:color="AEAEAE"/>
            </w:tcBorders>
            <w:shd w:color="auto" w:fill="FFFFFF" w:val="clear"/>
            <w:tcMar>
              <w:left w:w="-10" w:type="dxa"/>
            </w:tcMar>
          </w:tcPr>
          <w:p>
            <w:pPr>
              <w:pStyle w:val="Normal"/>
              <w:suppressAutoHyphens w:val="false"/>
              <w:overflowPunct w:val="true"/>
              <w:spacing w:lineRule="auto" w:line="240" w:before="80" w:after="20"/>
              <w:ind w:left="60" w:right="60" w:hanging="0"/>
              <w:jc w:val="center"/>
              <w:textAlignment w:val="auto"/>
              <w:rPr>
                <w:color w:val="010205"/>
                <w:sz w:val="20"/>
                <w:szCs w:val="20"/>
                <w:lang w:val="en-US" w:eastAsia="en-US"/>
              </w:rPr>
            </w:pPr>
            <w:r>
              <w:rPr>
                <w:color w:val="010205"/>
                <w:sz w:val="20"/>
                <w:szCs w:val="20"/>
                <w:lang w:val="en-US" w:eastAsia="en-US"/>
              </w:rPr>
            </w:r>
          </w:p>
        </w:tc>
      </w:tr>
      <w:tr>
        <w:trPr>
          <w:trHeight w:val="195" w:hRule="atLeast"/>
          <w:cantSplit w:val="true"/>
        </w:trPr>
        <w:tc>
          <w:tcPr>
            <w:tcW w:w="2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bottom"/>
          </w:tcPr>
          <w:p>
            <w:pPr>
              <w:pStyle w:val="NormalTabla"/>
              <w:spacing w:before="60" w:after="20"/>
              <w:rPr>
                <w:color w:val="264A60"/>
                <w:szCs w:val="18"/>
                <w:lang w:val="en-US" w:eastAsia="en-US"/>
              </w:rPr>
            </w:pPr>
            <w:r>
              <w:rPr>
                <w:color w:val="264A60"/>
                <w:szCs w:val="18"/>
                <w:lang w:val="en-US" w:eastAsia="en-US"/>
              </w:rPr>
              <w:t>BD_gp_competencias</w:t>
            </w:r>
          </w:p>
        </w:tc>
        <w:tc>
          <w:tcPr>
            <w:tcW w:w="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spacing w:before="60" w:after="20"/>
              <w:jc w:val="center"/>
              <w:rPr>
                <w:color w:val="010205"/>
                <w:szCs w:val="18"/>
                <w:lang w:val="en-US" w:eastAsia="en-US"/>
              </w:rPr>
            </w:pPr>
            <w:r>
              <w:rPr>
                <w:color w:val="010205"/>
                <w:szCs w:val="18"/>
                <w:lang w:val="en-US" w:eastAsia="en-US"/>
              </w:rPr>
            </w:r>
          </w:p>
        </w:tc>
        <w:tc>
          <w:tcPr>
            <w:tcW w:w="102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0.42</w:t>
            </w:r>
          </w:p>
        </w:tc>
        <w:tc>
          <w:tcPr>
            <w:tcW w:w="93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0.41</w:t>
            </w:r>
          </w:p>
        </w:tc>
        <w:tc>
          <w:tcPr>
            <w:tcW w:w="111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0.28</w:t>
            </w:r>
          </w:p>
        </w:tc>
        <w:tc>
          <w:tcPr>
            <w:tcW w:w="1038"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0.31</w:t>
            </w:r>
          </w:p>
        </w:tc>
        <w:tc>
          <w:tcPr>
            <w:tcW w:w="94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0.40</w:t>
            </w:r>
          </w:p>
        </w:tc>
        <w:tc>
          <w:tcPr>
            <w:tcW w:w="964" w:type="dxa"/>
            <w:gridSpan w:val="2"/>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FFFFFF"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0.28</w:t>
            </w:r>
          </w:p>
        </w:tc>
      </w:tr>
      <w:tr>
        <w:trPr>
          <w:cantSplit w:val="true"/>
        </w:trPr>
        <w:tc>
          <w:tcPr>
            <w:tcW w:w="2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bottom"/>
          </w:tcPr>
          <w:p>
            <w:pPr>
              <w:pStyle w:val="NormalTabla"/>
              <w:spacing w:before="60" w:after="20"/>
              <w:rPr>
                <w:color w:val="264A60"/>
                <w:szCs w:val="18"/>
                <w:lang w:val="en-US" w:eastAsia="en-US"/>
              </w:rPr>
            </w:pPr>
            <w:r>
              <w:rPr>
                <w:color w:val="264A60"/>
                <w:szCs w:val="18"/>
                <w:lang w:val="en-US" w:eastAsia="en-US"/>
              </w:rPr>
              <w:t>BD_gp_eval_proy_hard</w:t>
            </w:r>
          </w:p>
        </w:tc>
        <w:tc>
          <w:tcPr>
            <w:tcW w:w="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spacing w:before="60" w:after="20"/>
              <w:jc w:val="center"/>
              <w:rPr>
                <w:color w:val="010205"/>
                <w:szCs w:val="18"/>
                <w:lang w:val="en-US" w:eastAsia="en-US"/>
              </w:rPr>
            </w:pPr>
            <w:r>
              <w:rPr>
                <w:color w:val="010205"/>
                <w:szCs w:val="18"/>
                <w:lang w:val="en-US" w:eastAsia="en-US"/>
              </w:rPr>
            </w:r>
          </w:p>
        </w:tc>
        <w:tc>
          <w:tcPr>
            <w:tcW w:w="102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eastAsia="en-US"/>
              </w:rPr>
            </w:pPr>
            <w:r>
              <w:rPr>
                <w:sz w:val="18"/>
                <w:szCs w:val="18"/>
              </w:rPr>
              <w:t>0.42</w:t>
            </w:r>
          </w:p>
        </w:tc>
        <w:tc>
          <w:tcPr>
            <w:tcW w:w="93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eastAsia="en-US"/>
              </w:rPr>
            </w:pPr>
            <w:r>
              <w:rPr>
                <w:sz w:val="18"/>
                <w:szCs w:val="18"/>
              </w:rPr>
              <w:t>0.41</w:t>
            </w:r>
          </w:p>
        </w:tc>
        <w:tc>
          <w:tcPr>
            <w:tcW w:w="111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eastAsia="en-US"/>
              </w:rPr>
            </w:pPr>
            <w:r>
              <w:rPr>
                <w:sz w:val="18"/>
                <w:szCs w:val="18"/>
              </w:rPr>
              <w:t>0.35</w:t>
            </w:r>
          </w:p>
        </w:tc>
        <w:tc>
          <w:tcPr>
            <w:tcW w:w="1038"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eastAsia="en-US"/>
              </w:rPr>
            </w:pPr>
            <w:r>
              <w:rPr>
                <w:sz w:val="18"/>
                <w:szCs w:val="18"/>
              </w:rPr>
              <w:t>0.34</w:t>
            </w:r>
          </w:p>
        </w:tc>
        <w:tc>
          <w:tcPr>
            <w:tcW w:w="94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eastAsia="en-US"/>
              </w:rPr>
            </w:pPr>
            <w:r>
              <w:rPr>
                <w:sz w:val="18"/>
                <w:szCs w:val="18"/>
              </w:rPr>
              <w:t>0.34</w:t>
            </w:r>
          </w:p>
        </w:tc>
        <w:tc>
          <w:tcPr>
            <w:tcW w:w="964" w:type="dxa"/>
            <w:gridSpan w:val="2"/>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eastAsia="en-US"/>
              </w:rPr>
            </w:pPr>
            <w:r>
              <w:rPr>
                <w:sz w:val="18"/>
                <w:szCs w:val="18"/>
              </w:rPr>
              <w:t>0.35</w:t>
            </w:r>
          </w:p>
        </w:tc>
      </w:tr>
      <w:tr>
        <w:trPr>
          <w:cantSplit w:val="true"/>
        </w:trPr>
        <w:tc>
          <w:tcPr>
            <w:tcW w:w="2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bottom"/>
          </w:tcPr>
          <w:p>
            <w:pPr>
              <w:pStyle w:val="NormalTabla"/>
              <w:spacing w:before="60" w:after="20"/>
              <w:rPr>
                <w:color w:val="264A60"/>
                <w:szCs w:val="18"/>
                <w:lang w:eastAsia="en-US"/>
              </w:rPr>
            </w:pPr>
            <w:r>
              <w:rPr>
                <w:color w:val="264A60"/>
                <w:szCs w:val="18"/>
                <w:lang w:eastAsia="en-US"/>
              </w:rPr>
              <w:t>BD_gp_eval_proy_integral</w:t>
            </w:r>
          </w:p>
        </w:tc>
        <w:tc>
          <w:tcPr>
            <w:tcW w:w="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spacing w:before="60" w:after="20"/>
              <w:jc w:val="center"/>
              <w:rPr/>
            </w:pPr>
            <w:r>
              <w:rPr/>
            </w:r>
          </w:p>
        </w:tc>
        <w:tc>
          <w:tcPr>
            <w:tcW w:w="102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00000" w:themeColor="text1"/>
                <w:sz w:val="18"/>
                <w:szCs w:val="18"/>
              </w:rPr>
            </w:pPr>
            <w:r>
              <w:rPr>
                <w:sz w:val="18"/>
                <w:szCs w:val="18"/>
              </w:rPr>
              <w:t>0.42</w:t>
            </w:r>
          </w:p>
        </w:tc>
        <w:tc>
          <w:tcPr>
            <w:tcW w:w="93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00000" w:themeColor="text1"/>
                <w:sz w:val="18"/>
                <w:szCs w:val="18"/>
              </w:rPr>
            </w:pPr>
            <w:r>
              <w:rPr>
                <w:sz w:val="18"/>
                <w:szCs w:val="18"/>
              </w:rPr>
              <w:t>0.41</w:t>
            </w:r>
          </w:p>
        </w:tc>
        <w:tc>
          <w:tcPr>
            <w:tcW w:w="111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00000" w:themeColor="text1"/>
                <w:sz w:val="18"/>
                <w:szCs w:val="18"/>
              </w:rPr>
            </w:pPr>
            <w:r>
              <w:rPr>
                <w:sz w:val="18"/>
                <w:szCs w:val="18"/>
              </w:rPr>
              <w:t>0.32</w:t>
            </w:r>
          </w:p>
        </w:tc>
        <w:tc>
          <w:tcPr>
            <w:tcW w:w="1038"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00000" w:themeColor="text1"/>
                <w:sz w:val="18"/>
                <w:szCs w:val="18"/>
              </w:rPr>
            </w:pPr>
            <w:r>
              <w:rPr>
                <w:sz w:val="18"/>
                <w:szCs w:val="18"/>
              </w:rPr>
              <w:t>0.24</w:t>
            </w:r>
          </w:p>
        </w:tc>
        <w:tc>
          <w:tcPr>
            <w:tcW w:w="94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00000" w:themeColor="text1"/>
                <w:sz w:val="18"/>
                <w:szCs w:val="18"/>
              </w:rPr>
            </w:pPr>
            <w:r>
              <w:rPr>
                <w:sz w:val="18"/>
                <w:szCs w:val="18"/>
              </w:rPr>
              <w:t>0.40</w:t>
            </w:r>
          </w:p>
        </w:tc>
        <w:tc>
          <w:tcPr>
            <w:tcW w:w="964" w:type="dxa"/>
            <w:gridSpan w:val="2"/>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00000" w:themeColor="text1"/>
                <w:sz w:val="18"/>
                <w:szCs w:val="18"/>
              </w:rPr>
            </w:pPr>
            <w:r>
              <w:rPr>
                <w:sz w:val="18"/>
                <w:szCs w:val="18"/>
              </w:rPr>
              <w:t>0.32</w:t>
            </w:r>
          </w:p>
        </w:tc>
      </w:tr>
      <w:tr>
        <w:trPr>
          <w:cantSplit w:val="true"/>
        </w:trPr>
        <w:tc>
          <w:tcPr>
            <w:tcW w:w="2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bottom"/>
          </w:tcPr>
          <w:p>
            <w:pPr>
              <w:pStyle w:val="NormalTabla"/>
              <w:spacing w:before="60" w:after="20"/>
              <w:rPr>
                <w:color w:val="264A60"/>
                <w:szCs w:val="18"/>
                <w:lang w:val="en-US" w:eastAsia="en-US"/>
              </w:rPr>
            </w:pPr>
            <w:r>
              <w:rPr>
                <w:color w:val="264A60"/>
                <w:szCs w:val="18"/>
                <w:lang w:val="en-US" w:eastAsia="en-US"/>
              </w:rPr>
              <w:t>BD_gp_indicadores</w:t>
            </w:r>
          </w:p>
        </w:tc>
        <w:tc>
          <w:tcPr>
            <w:tcW w:w="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spacing w:before="60" w:after="20"/>
              <w:jc w:val="center"/>
              <w:rPr>
                <w:color w:val="010205"/>
                <w:szCs w:val="18"/>
                <w:lang w:val="en-US" w:eastAsia="en-US"/>
              </w:rPr>
            </w:pPr>
            <w:r>
              <w:rPr>
                <w:color w:val="010205"/>
                <w:szCs w:val="18"/>
                <w:lang w:val="en-US" w:eastAsia="en-US"/>
              </w:rPr>
            </w:r>
          </w:p>
        </w:tc>
        <w:tc>
          <w:tcPr>
            <w:tcW w:w="102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0.42</w:t>
            </w:r>
          </w:p>
        </w:tc>
        <w:tc>
          <w:tcPr>
            <w:tcW w:w="93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0.42</w:t>
            </w:r>
          </w:p>
        </w:tc>
        <w:tc>
          <w:tcPr>
            <w:tcW w:w="111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0.35</w:t>
            </w:r>
          </w:p>
        </w:tc>
        <w:tc>
          <w:tcPr>
            <w:tcW w:w="1038"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0.09</w:t>
            </w:r>
          </w:p>
        </w:tc>
        <w:tc>
          <w:tcPr>
            <w:tcW w:w="94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0.38</w:t>
            </w:r>
          </w:p>
        </w:tc>
        <w:tc>
          <w:tcPr>
            <w:tcW w:w="964" w:type="dxa"/>
            <w:gridSpan w:val="2"/>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0.35</w:t>
            </w:r>
          </w:p>
        </w:tc>
      </w:tr>
      <w:tr>
        <w:trPr>
          <w:cantSplit w:val="true"/>
        </w:trPr>
        <w:tc>
          <w:tcPr>
            <w:tcW w:w="2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bottom"/>
          </w:tcPr>
          <w:p>
            <w:pPr>
              <w:pStyle w:val="NormalTabla"/>
              <w:spacing w:before="60" w:after="20"/>
              <w:rPr>
                <w:color w:val="264A60"/>
                <w:szCs w:val="18"/>
                <w:lang w:val="en-US" w:eastAsia="en-US"/>
              </w:rPr>
            </w:pPr>
            <w:r>
              <w:rPr>
                <w:color w:val="264A60"/>
                <w:szCs w:val="18"/>
                <w:lang w:val="en-US" w:eastAsia="en-US"/>
              </w:rPr>
              <w:t>BD_gp_requerimientos</w:t>
            </w:r>
          </w:p>
        </w:tc>
        <w:tc>
          <w:tcPr>
            <w:tcW w:w="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spacing w:before="60" w:after="20"/>
              <w:jc w:val="center"/>
              <w:rPr>
                <w:color w:val="010205"/>
                <w:szCs w:val="18"/>
                <w:lang w:val="en-US" w:eastAsia="en-US"/>
              </w:rPr>
            </w:pPr>
            <w:r>
              <w:rPr>
                <w:color w:val="010205"/>
                <w:szCs w:val="18"/>
                <w:lang w:val="en-US" w:eastAsia="en-US"/>
              </w:rPr>
            </w:r>
          </w:p>
        </w:tc>
        <w:tc>
          <w:tcPr>
            <w:tcW w:w="102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0.42</w:t>
            </w:r>
          </w:p>
        </w:tc>
        <w:tc>
          <w:tcPr>
            <w:tcW w:w="93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0.41</w:t>
            </w:r>
          </w:p>
        </w:tc>
        <w:tc>
          <w:tcPr>
            <w:tcW w:w="111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0.33</w:t>
            </w:r>
          </w:p>
        </w:tc>
        <w:tc>
          <w:tcPr>
            <w:tcW w:w="1038"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0.16</w:t>
            </w:r>
          </w:p>
        </w:tc>
        <w:tc>
          <w:tcPr>
            <w:tcW w:w="94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0.39</w:t>
            </w:r>
          </w:p>
        </w:tc>
        <w:tc>
          <w:tcPr>
            <w:tcW w:w="964" w:type="dxa"/>
            <w:gridSpan w:val="2"/>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0.33</w:t>
            </w:r>
          </w:p>
        </w:tc>
      </w:tr>
      <w:tr>
        <w:trPr>
          <w:cantSplit w:val="true"/>
        </w:trPr>
        <w:tc>
          <w:tcPr>
            <w:tcW w:w="2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bottom"/>
          </w:tcPr>
          <w:p>
            <w:pPr>
              <w:pStyle w:val="NormalTabla"/>
              <w:spacing w:before="60" w:after="20"/>
              <w:rPr>
                <w:color w:val="264A60"/>
                <w:szCs w:val="18"/>
                <w:lang w:val="en-US" w:eastAsia="en-US"/>
              </w:rPr>
            </w:pPr>
            <w:r>
              <w:rPr>
                <w:color w:val="264A60"/>
                <w:szCs w:val="18"/>
                <w:lang w:val="en-US" w:eastAsia="en-US"/>
              </w:rPr>
              <w:t>BD_gp_toma_decisiones</w:t>
            </w:r>
          </w:p>
        </w:tc>
        <w:tc>
          <w:tcPr>
            <w:tcW w:w="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spacing w:before="60" w:after="20"/>
              <w:jc w:val="center"/>
              <w:rPr>
                <w:color w:val="010205"/>
                <w:szCs w:val="18"/>
                <w:lang w:val="en-US" w:eastAsia="en-US"/>
              </w:rPr>
            </w:pPr>
            <w:r>
              <w:rPr>
                <w:color w:val="010205"/>
                <w:szCs w:val="18"/>
                <w:lang w:val="en-US" w:eastAsia="en-US"/>
              </w:rPr>
            </w:r>
          </w:p>
        </w:tc>
        <w:tc>
          <w:tcPr>
            <w:tcW w:w="102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0.42</w:t>
            </w:r>
          </w:p>
        </w:tc>
        <w:tc>
          <w:tcPr>
            <w:tcW w:w="93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0.41</w:t>
            </w:r>
          </w:p>
        </w:tc>
        <w:tc>
          <w:tcPr>
            <w:tcW w:w="111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0.31</w:t>
            </w:r>
          </w:p>
        </w:tc>
        <w:tc>
          <w:tcPr>
            <w:tcW w:w="1038"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0.02</w:t>
            </w:r>
          </w:p>
        </w:tc>
        <w:tc>
          <w:tcPr>
            <w:tcW w:w="94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0.42</w:t>
            </w:r>
          </w:p>
        </w:tc>
        <w:tc>
          <w:tcPr>
            <w:tcW w:w="964" w:type="dxa"/>
            <w:gridSpan w:val="2"/>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0.31</w:t>
            </w:r>
          </w:p>
        </w:tc>
      </w:tr>
      <w:tr>
        <w:trPr>
          <w:cantSplit w:val="true"/>
        </w:trPr>
        <w:tc>
          <w:tcPr>
            <w:tcW w:w="2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bottom"/>
          </w:tcPr>
          <w:p>
            <w:pPr>
              <w:pStyle w:val="NormalTabla"/>
              <w:spacing w:before="60" w:after="20"/>
              <w:rPr>
                <w:color w:val="264A60"/>
                <w:szCs w:val="18"/>
                <w:lang w:val="en-US" w:eastAsia="en-US"/>
              </w:rPr>
            </w:pPr>
            <w:r>
              <w:rPr>
                <w:color w:val="264A60"/>
                <w:szCs w:val="18"/>
                <w:lang w:val="en-US" w:eastAsia="en-US"/>
              </w:rPr>
              <w:t>BD_gp_rrhh</w:t>
            </w:r>
          </w:p>
        </w:tc>
        <w:tc>
          <w:tcPr>
            <w:tcW w:w="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spacing w:before="60" w:after="20"/>
              <w:jc w:val="center"/>
              <w:rPr>
                <w:color w:val="010205"/>
                <w:szCs w:val="18"/>
                <w:lang w:val="en-US" w:eastAsia="en-US"/>
              </w:rPr>
            </w:pPr>
            <w:r>
              <w:rPr>
                <w:color w:val="010205"/>
                <w:szCs w:val="18"/>
                <w:lang w:val="en-US" w:eastAsia="en-US"/>
              </w:rPr>
            </w:r>
          </w:p>
        </w:tc>
        <w:tc>
          <w:tcPr>
            <w:tcW w:w="102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0.42</w:t>
            </w:r>
          </w:p>
        </w:tc>
        <w:tc>
          <w:tcPr>
            <w:tcW w:w="93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0.41</w:t>
            </w:r>
          </w:p>
        </w:tc>
        <w:tc>
          <w:tcPr>
            <w:tcW w:w="111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0.25</w:t>
            </w:r>
          </w:p>
        </w:tc>
        <w:tc>
          <w:tcPr>
            <w:tcW w:w="1038"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0.13</w:t>
            </w:r>
          </w:p>
        </w:tc>
        <w:tc>
          <w:tcPr>
            <w:tcW w:w="94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0.24</w:t>
            </w:r>
          </w:p>
        </w:tc>
        <w:tc>
          <w:tcPr>
            <w:tcW w:w="964" w:type="dxa"/>
            <w:gridSpan w:val="2"/>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
              <w:suppressAutoHyphens w:val="false"/>
              <w:overflowPunct w:val="true"/>
              <w:spacing w:lineRule="auto" w:line="240" w:before="80" w:after="20"/>
              <w:ind w:left="60" w:right="60" w:hanging="0"/>
              <w:jc w:val="center"/>
              <w:textAlignment w:val="auto"/>
              <w:rPr>
                <w:color w:val="010205"/>
                <w:sz w:val="18"/>
                <w:szCs w:val="18"/>
                <w:lang w:val="en-US" w:eastAsia="en-US"/>
              </w:rPr>
            </w:pPr>
            <w:r>
              <w:rPr>
                <w:sz w:val="18"/>
                <w:szCs w:val="18"/>
              </w:rPr>
              <w:t>0.25</w:t>
            </w:r>
          </w:p>
        </w:tc>
      </w:tr>
      <w:tr>
        <w:trPr>
          <w:cantSplit w:val="true"/>
        </w:trPr>
        <w:tc>
          <w:tcPr>
            <w:tcW w:w="3628" w:type="dxa"/>
            <w:gridSpan w:val="4"/>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E0E0E0" w:val="clear"/>
            <w:tcMar>
              <w:left w:w="-10" w:type="dxa"/>
            </w:tcMar>
            <w:vAlign w:val="center"/>
          </w:tcPr>
          <w:p>
            <w:pPr>
              <w:pStyle w:val="Normal"/>
              <w:suppressAutoHyphens w:val="false"/>
              <w:overflowPunct w:val="true"/>
              <w:spacing w:lineRule="auto" w:line="240" w:before="80" w:after="20"/>
              <w:ind w:left="60" w:right="60" w:hanging="0"/>
              <w:jc w:val="center"/>
              <w:textAlignment w:val="auto"/>
              <w:rPr>
                <w:color w:val="000000" w:themeColor="text1"/>
                <w:sz w:val="20"/>
                <w:szCs w:val="20"/>
              </w:rPr>
            </w:pPr>
            <w:r>
              <w:rPr>
                <w:b/>
                <w:color w:val="264A60"/>
                <w:szCs w:val="18"/>
                <w:lang w:val="en-US" w:eastAsia="en-US"/>
              </w:rPr>
              <w:t>BD sobre auditorías</w:t>
            </w:r>
          </w:p>
        </w:tc>
        <w:tc>
          <w:tcPr>
            <w:tcW w:w="4990" w:type="dxa"/>
            <w:gridSpan w:val="9"/>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tcPr>
          <w:p>
            <w:pPr>
              <w:pStyle w:val="Normal"/>
              <w:suppressAutoHyphens w:val="false"/>
              <w:overflowPunct w:val="true"/>
              <w:spacing w:lineRule="auto" w:line="240" w:before="80" w:after="20"/>
              <w:ind w:left="60" w:right="60" w:hanging="0"/>
              <w:jc w:val="center"/>
              <w:textAlignment w:val="auto"/>
              <w:rPr>
                <w:color w:val="000000" w:themeColor="text1"/>
                <w:sz w:val="20"/>
                <w:szCs w:val="20"/>
              </w:rPr>
            </w:pPr>
            <w:r>
              <w:rPr>
                <w:color w:val="000000" w:themeColor="text1"/>
                <w:sz w:val="20"/>
                <w:szCs w:val="20"/>
              </w:rPr>
            </w:r>
          </w:p>
        </w:tc>
      </w:tr>
      <w:tr>
        <w:trPr>
          <w:trHeight w:val="333" w:hRule="atLeast"/>
          <w:cantSplit w:val="true"/>
        </w:trPr>
        <w:tc>
          <w:tcPr>
            <w:tcW w:w="2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bottom"/>
          </w:tcPr>
          <w:p>
            <w:pPr>
              <w:pStyle w:val="NormalTabla"/>
              <w:spacing w:before="60" w:after="20"/>
              <w:rPr>
                <w:color w:val="264A60"/>
                <w:szCs w:val="18"/>
                <w:lang w:val="en-US" w:eastAsia="en-US"/>
              </w:rPr>
            </w:pPr>
            <w:r>
              <w:rPr>
                <w:color w:val="264A60"/>
                <w:szCs w:val="18"/>
                <w:lang w:val="en-US" w:eastAsia="en-US"/>
              </w:rPr>
              <w:t>BD_audit_sinOrganismos</w:t>
            </w:r>
          </w:p>
        </w:tc>
        <w:tc>
          <w:tcPr>
            <w:tcW w:w="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spacing w:before="60" w:after="20"/>
              <w:jc w:val="center"/>
              <w:rPr/>
            </w:pPr>
            <w:r>
              <w:rPr/>
            </w:r>
          </w:p>
        </w:tc>
        <w:tc>
          <w:tcPr>
            <w:tcW w:w="102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0.42</w:t>
            </w:r>
          </w:p>
        </w:tc>
        <w:tc>
          <w:tcPr>
            <w:tcW w:w="93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0.42</w:t>
            </w:r>
          </w:p>
        </w:tc>
        <w:tc>
          <w:tcPr>
            <w:tcW w:w="111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0.30</w:t>
            </w:r>
          </w:p>
        </w:tc>
        <w:tc>
          <w:tcPr>
            <w:tcW w:w="1038"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0.15</w:t>
            </w:r>
          </w:p>
        </w:tc>
        <w:tc>
          <w:tcPr>
            <w:tcW w:w="94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0.42</w:t>
            </w:r>
          </w:p>
        </w:tc>
        <w:tc>
          <w:tcPr>
            <w:tcW w:w="964" w:type="dxa"/>
            <w:gridSpan w:val="2"/>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0.30</w:t>
            </w:r>
          </w:p>
        </w:tc>
      </w:tr>
      <w:tr>
        <w:trPr>
          <w:trHeight w:val="267" w:hRule="atLeast"/>
          <w:cantSplit w:val="true"/>
        </w:trPr>
        <w:tc>
          <w:tcPr>
            <w:tcW w:w="2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bottom"/>
          </w:tcPr>
          <w:p>
            <w:pPr>
              <w:pStyle w:val="NormalTabla"/>
              <w:spacing w:before="60" w:after="20"/>
              <w:rPr>
                <w:color w:val="264A60"/>
                <w:szCs w:val="18"/>
                <w:lang w:val="en-US" w:eastAsia="en-US"/>
              </w:rPr>
            </w:pPr>
            <w:r>
              <w:rPr>
                <w:color w:val="264A60"/>
                <w:szCs w:val="18"/>
                <w:lang w:val="en-US" w:eastAsia="en-US"/>
              </w:rPr>
              <w:t>BD_audit_sinProvMinistInstit</w:t>
            </w:r>
          </w:p>
        </w:tc>
        <w:tc>
          <w:tcPr>
            <w:tcW w:w="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vAlign w:val="center"/>
          </w:tcPr>
          <w:p>
            <w:pPr>
              <w:pStyle w:val="NormalTabla"/>
              <w:spacing w:before="60" w:after="20"/>
              <w:jc w:val="center"/>
              <w:rPr/>
            </w:pPr>
            <w:r>
              <w:rPr/>
            </w:r>
          </w:p>
        </w:tc>
        <w:tc>
          <w:tcPr>
            <w:tcW w:w="102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0.42</w:t>
            </w:r>
          </w:p>
        </w:tc>
        <w:tc>
          <w:tcPr>
            <w:tcW w:w="93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0.42</w:t>
            </w:r>
          </w:p>
        </w:tc>
        <w:tc>
          <w:tcPr>
            <w:tcW w:w="111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0.30</w:t>
            </w:r>
          </w:p>
        </w:tc>
        <w:tc>
          <w:tcPr>
            <w:tcW w:w="1038"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0.07</w:t>
            </w:r>
          </w:p>
        </w:tc>
        <w:tc>
          <w:tcPr>
            <w:tcW w:w="94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0.42</w:t>
            </w:r>
          </w:p>
        </w:tc>
        <w:tc>
          <w:tcPr>
            <w:tcW w:w="964" w:type="dxa"/>
            <w:gridSpan w:val="2"/>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0.30</w:t>
            </w:r>
          </w:p>
        </w:tc>
      </w:tr>
      <w:tr>
        <w:trPr>
          <w:trHeight w:val="267" w:hRule="atLeast"/>
          <w:cantSplit w:val="true"/>
        </w:trPr>
        <w:tc>
          <w:tcPr>
            <w:tcW w:w="3628" w:type="dxa"/>
            <w:gridSpan w:val="4"/>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E0E0E0" w:val="clear"/>
            <w:tcMar>
              <w:left w:w="-10" w:type="dxa"/>
            </w:tcMar>
            <w:vAlign w:val="center"/>
          </w:tcPr>
          <w:p>
            <w:pPr>
              <w:pStyle w:val="NormalTabla"/>
              <w:spacing w:before="60" w:after="20"/>
              <w:jc w:val="center"/>
              <w:rPr>
                <w:color w:val="000000" w:themeColor="text1"/>
              </w:rPr>
            </w:pPr>
            <w:r>
              <w:rPr>
                <w:b/>
                <w:color w:val="264A60"/>
                <w:szCs w:val="18"/>
                <w:lang w:val="en-US" w:eastAsia="en-US"/>
              </w:rPr>
              <w:t>BD sobre medicina</w:t>
            </w:r>
          </w:p>
        </w:tc>
        <w:tc>
          <w:tcPr>
            <w:tcW w:w="4990" w:type="dxa"/>
            <w:gridSpan w:val="9"/>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tcPr>
          <w:p>
            <w:pPr>
              <w:pStyle w:val="NormalTabla"/>
              <w:spacing w:before="60" w:after="20"/>
              <w:jc w:val="center"/>
              <w:rPr>
                <w:color w:val="000000" w:themeColor="text1"/>
              </w:rPr>
            </w:pPr>
            <w:r>
              <w:rPr>
                <w:color w:val="000000" w:themeColor="text1"/>
              </w:rPr>
            </w:r>
          </w:p>
        </w:tc>
      </w:tr>
      <w:tr>
        <w:trPr>
          <w:trHeight w:val="271" w:hRule="atLeast"/>
          <w:cantSplit w:val="true"/>
        </w:trPr>
        <w:tc>
          <w:tcPr>
            <w:tcW w:w="2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bottom"/>
          </w:tcPr>
          <w:p>
            <w:pPr>
              <w:pStyle w:val="NormalTabla"/>
              <w:spacing w:before="60" w:after="20"/>
              <w:rPr>
                <w:color w:val="264A60"/>
                <w:szCs w:val="18"/>
                <w:lang w:val="en-US" w:eastAsia="en-US"/>
              </w:rPr>
            </w:pPr>
            <w:r>
              <w:rPr>
                <w:color w:val="264A60"/>
                <w:szCs w:val="18"/>
                <w:lang w:val="en-US" w:eastAsia="en-US"/>
              </w:rPr>
              <w:t>BD_med_congenito</w:t>
            </w:r>
          </w:p>
        </w:tc>
        <w:tc>
          <w:tcPr>
            <w:tcW w:w="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Tabla"/>
              <w:spacing w:before="60" w:after="20"/>
              <w:rPr>
                <w:color w:val="264A60"/>
                <w:szCs w:val="18"/>
                <w:lang w:val="en-US" w:eastAsia="en-US"/>
              </w:rPr>
            </w:pPr>
            <w:r>
              <w:rPr>
                <w:color w:val="264A60"/>
                <w:szCs w:val="18"/>
                <w:lang w:val="en-US" w:eastAsia="en-US"/>
              </w:rPr>
            </w:r>
          </w:p>
        </w:tc>
        <w:tc>
          <w:tcPr>
            <w:tcW w:w="102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0.42</w:t>
            </w:r>
          </w:p>
        </w:tc>
        <w:tc>
          <w:tcPr>
            <w:tcW w:w="93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0.42</w:t>
            </w:r>
          </w:p>
        </w:tc>
        <w:tc>
          <w:tcPr>
            <w:tcW w:w="111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0.39</w:t>
            </w:r>
          </w:p>
        </w:tc>
        <w:tc>
          <w:tcPr>
            <w:tcW w:w="1038"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0.42</w:t>
            </w:r>
          </w:p>
        </w:tc>
        <w:tc>
          <w:tcPr>
            <w:tcW w:w="94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0.42</w:t>
            </w:r>
          </w:p>
        </w:tc>
        <w:tc>
          <w:tcPr>
            <w:tcW w:w="964" w:type="dxa"/>
            <w:gridSpan w:val="2"/>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0.39</w:t>
            </w:r>
          </w:p>
        </w:tc>
      </w:tr>
      <w:tr>
        <w:trPr>
          <w:trHeight w:val="271" w:hRule="atLeast"/>
          <w:cantSplit w:val="true"/>
        </w:trPr>
        <w:tc>
          <w:tcPr>
            <w:tcW w:w="2571"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E0E0E0" w:val="clear"/>
            <w:tcMar>
              <w:left w:w="-10" w:type="dxa"/>
            </w:tcMar>
            <w:vAlign w:val="bottom"/>
          </w:tcPr>
          <w:p>
            <w:pPr>
              <w:pStyle w:val="NormalTabla"/>
              <w:spacing w:before="60" w:after="20"/>
              <w:rPr>
                <w:color w:val="264A60"/>
                <w:szCs w:val="18"/>
                <w:lang w:val="en-US" w:eastAsia="en-US"/>
              </w:rPr>
            </w:pPr>
            <w:r>
              <w:rPr>
                <w:color w:val="264A60"/>
                <w:szCs w:val="18"/>
                <w:lang w:val="en-US" w:eastAsia="en-US"/>
              </w:rPr>
              <w:t>BD_med_valvular</w:t>
            </w:r>
          </w:p>
        </w:tc>
        <w:tc>
          <w:tcPr>
            <w:tcW w:w="27"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FFFFFF" w:val="clear"/>
            <w:tcMar>
              <w:left w:w="-10" w:type="dxa"/>
            </w:tcMar>
            <w:vAlign w:val="center"/>
          </w:tcPr>
          <w:p>
            <w:pPr>
              <w:pStyle w:val="NormalTabla"/>
              <w:spacing w:before="60" w:after="20"/>
              <w:rPr>
                <w:color w:val="264A60"/>
                <w:szCs w:val="18"/>
                <w:lang w:val="en-US" w:eastAsia="en-US"/>
              </w:rPr>
            </w:pPr>
            <w:r>
              <w:rPr>
                <w:color w:val="264A60"/>
                <w:szCs w:val="18"/>
                <w:lang w:val="en-US" w:eastAsia="en-US"/>
              </w:rPr>
            </w:r>
          </w:p>
        </w:tc>
        <w:tc>
          <w:tcPr>
            <w:tcW w:w="1029" w:type="dxa"/>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0.42</w:t>
            </w:r>
          </w:p>
        </w:tc>
        <w:tc>
          <w:tcPr>
            <w:tcW w:w="93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0.42</w:t>
            </w:r>
          </w:p>
        </w:tc>
        <w:tc>
          <w:tcPr>
            <w:tcW w:w="111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0.33</w:t>
            </w:r>
          </w:p>
        </w:tc>
        <w:tc>
          <w:tcPr>
            <w:tcW w:w="1038"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0.28</w:t>
            </w:r>
          </w:p>
        </w:tc>
        <w:tc>
          <w:tcPr>
            <w:tcW w:w="943" w:type="dxa"/>
            <w:gridSpan w:val="2"/>
            <w:tcBorders>
              <w:top w:val="single" w:sz="8" w:space="0" w:color="AEAEAE"/>
              <w:left w:val="single" w:sz="8" w:space="0" w:color="E0E0E0"/>
              <w:bottom w:val="single" w:sz="8" w:space="0" w:color="AEAEAE"/>
              <w:right w:val="single" w:sz="8" w:space="0" w:color="E0E0E0"/>
              <w:insideH w:val="single" w:sz="8" w:space="0" w:color="AEAEAE"/>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0.42</w:t>
            </w:r>
          </w:p>
        </w:tc>
        <w:tc>
          <w:tcPr>
            <w:tcW w:w="964" w:type="dxa"/>
            <w:gridSpan w:val="2"/>
            <w:tcBorders>
              <w:top w:val="single" w:sz="8" w:space="0" w:color="AEAEAE"/>
              <w:left w:val="single" w:sz="8" w:space="0" w:color="E0E0E0"/>
              <w:bottom w:val="single" w:sz="8" w:space="0" w:color="AEAEAE"/>
              <w:right w:val="single" w:sz="8" w:space="0" w:color="AEAEAE"/>
              <w:insideH w:val="single" w:sz="8" w:space="0" w:color="AEAEAE"/>
              <w:insideV w:val="single" w:sz="8" w:space="0" w:color="AEAEAE"/>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0.33</w:t>
            </w:r>
          </w:p>
        </w:tc>
      </w:tr>
      <w:tr>
        <w:trPr>
          <w:trHeight w:val="247" w:hRule="atLeast"/>
          <w:cantSplit w:val="true"/>
        </w:trPr>
        <w:tc>
          <w:tcPr>
            <w:tcW w:w="2571" w:type="dxa"/>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E0E0E0" w:val="clear"/>
            <w:tcMar>
              <w:left w:w="-10" w:type="dxa"/>
            </w:tcMar>
            <w:vAlign w:val="bottom"/>
          </w:tcPr>
          <w:p>
            <w:pPr>
              <w:pStyle w:val="NormalTabla"/>
              <w:spacing w:before="60" w:after="20"/>
              <w:rPr>
                <w:color w:val="264A60"/>
                <w:szCs w:val="18"/>
                <w:lang w:val="en-US" w:eastAsia="en-US"/>
              </w:rPr>
            </w:pPr>
            <w:r>
              <w:rPr>
                <w:color w:val="264A60"/>
                <w:szCs w:val="18"/>
                <w:lang w:val="en-US" w:eastAsia="en-US"/>
              </w:rPr>
              <w:t>BD_med_covidCuba</w:t>
            </w:r>
          </w:p>
        </w:tc>
        <w:tc>
          <w:tcPr>
            <w:tcW w:w="27" w:type="dxa"/>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FFFFFF" w:val="clear"/>
            <w:tcMar>
              <w:left w:w="-10" w:type="dxa"/>
            </w:tcMar>
            <w:vAlign w:val="center"/>
          </w:tcPr>
          <w:p>
            <w:pPr>
              <w:pStyle w:val="NormalTabla"/>
              <w:spacing w:before="60" w:after="20"/>
              <w:rPr>
                <w:color w:val="264A60"/>
                <w:szCs w:val="18"/>
                <w:lang w:val="en-US" w:eastAsia="en-US"/>
              </w:rPr>
            </w:pPr>
            <w:r>
              <w:rPr>
                <w:color w:val="264A60"/>
                <w:szCs w:val="18"/>
                <w:lang w:val="en-US" w:eastAsia="en-US"/>
              </w:rPr>
            </w:r>
          </w:p>
        </w:tc>
        <w:tc>
          <w:tcPr>
            <w:tcW w:w="1029" w:type="dxa"/>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0.42</w:t>
            </w:r>
          </w:p>
        </w:tc>
        <w:tc>
          <w:tcPr>
            <w:tcW w:w="933" w:type="dxa"/>
            <w:gridSpan w:val="2"/>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0.42</w:t>
            </w:r>
          </w:p>
        </w:tc>
        <w:tc>
          <w:tcPr>
            <w:tcW w:w="1113" w:type="dxa"/>
            <w:gridSpan w:val="2"/>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0.26</w:t>
            </w:r>
          </w:p>
        </w:tc>
        <w:tc>
          <w:tcPr>
            <w:tcW w:w="1038" w:type="dxa"/>
            <w:gridSpan w:val="2"/>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0.03</w:t>
            </w:r>
          </w:p>
        </w:tc>
        <w:tc>
          <w:tcPr>
            <w:tcW w:w="943" w:type="dxa"/>
            <w:gridSpan w:val="2"/>
            <w:tcBorders>
              <w:top w:val="single" w:sz="8" w:space="0" w:color="AEAEAE"/>
              <w:left w:val="single" w:sz="8" w:space="0" w:color="E0E0E0"/>
              <w:bottom w:val="single" w:sz="8" w:space="0" w:color="000001"/>
              <w:right w:val="single" w:sz="8" w:space="0" w:color="E0E0E0"/>
              <w:insideH w:val="single" w:sz="8" w:space="0" w:color="000001"/>
              <w:insideV w:val="single" w:sz="8" w:space="0" w:color="E0E0E0"/>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0.40</w:t>
            </w:r>
          </w:p>
        </w:tc>
        <w:tc>
          <w:tcPr>
            <w:tcW w:w="964" w:type="dxa"/>
            <w:gridSpan w:val="2"/>
            <w:tcBorders>
              <w:top w:val="single" w:sz="8" w:space="0" w:color="AEAEAE"/>
              <w:left w:val="single" w:sz="8" w:space="0" w:color="E0E0E0"/>
              <w:bottom w:val="single" w:sz="8" w:space="0" w:color="000001"/>
              <w:right w:val="single" w:sz="8" w:space="0" w:color="AEAEAE"/>
              <w:insideH w:val="single" w:sz="8" w:space="0" w:color="000001"/>
              <w:insideV w:val="single" w:sz="8" w:space="0" w:color="AEAEAE"/>
            </w:tcBorders>
            <w:shd w:color="auto" w:fill="auto" w:val="clear"/>
            <w:tcMar>
              <w:left w:w="-10" w:type="dxa"/>
            </w:tcMar>
            <w:vAlign w:val="bottom"/>
          </w:tcPr>
          <w:p>
            <w:pPr>
              <w:pStyle w:val="NormalTabla"/>
              <w:spacing w:before="60" w:after="20"/>
              <w:jc w:val="center"/>
              <w:rPr>
                <w:color w:val="000000" w:themeColor="text1"/>
                <w:sz w:val="18"/>
                <w:szCs w:val="18"/>
              </w:rPr>
            </w:pPr>
            <w:r>
              <w:rPr>
                <w:sz w:val="18"/>
                <w:szCs w:val="18"/>
              </w:rPr>
              <w:t>0.26</w:t>
            </w:r>
          </w:p>
        </w:tc>
      </w:tr>
    </w:tbl>
    <w:p>
      <w:pPr>
        <w:pStyle w:val="Normal"/>
        <w:rPr/>
      </w:pPr>
      <w:r>
        <w:rPr/>
      </w:r>
    </w:p>
    <w:p>
      <w:pPr>
        <w:pStyle w:val="Heading2"/>
        <w:numPr>
          <w:ilvl w:val="1"/>
          <w:numId w:val="80"/>
        </w:numPr>
        <w:rPr/>
      </w:pPr>
      <w:bookmarkStart w:id="3841" w:name="_Toc84598968"/>
      <w:bookmarkStart w:id="3842" w:name="_Ref68938491"/>
      <w:r>
        <w:rPr/>
        <w:t xml:space="preserve">Anexo </w:t>
      </w:r>
      <w:r>
        <w:rPr/>
        <w:fldChar w:fldCharType="begin"/>
      </w:r>
      <w:r>
        <w:instrText> SEQ Anexo \* ARABIC </w:instrText>
      </w:r>
      <w:r>
        <w:fldChar w:fldCharType="separate"/>
      </w:r>
      <w:r>
        <w:t>14</w:t>
      </w:r>
      <w:r>
        <w:fldChar w:fldCharType="end"/>
      </w:r>
      <w:bookmarkEnd w:id="3842"/>
      <w:r>
        <w:rPr/>
        <w:t xml:space="preserve">. Resultados de la aplicación del </w:t>
      </w:r>
      <w:bookmarkEnd w:id="3841"/>
      <w:r>
        <w:rPr>
          <w:i/>
          <w:lang w:val="en-US"/>
        </w:rPr>
        <w:t>Page´L Trent Test</w:t>
      </w:r>
    </w:p>
    <w:p>
      <w:pPr>
        <w:pStyle w:val="Caption1"/>
        <w:keepNext/>
        <w:rPr/>
      </w:pPr>
      <w:bookmarkStart w:id="3843" w:name="_Toc84599006"/>
      <w:bookmarkStart w:id="3844" w:name="_Ref70241634"/>
      <w:bookmarkStart w:id="3845" w:name="_Ref663584821"/>
      <w:bookmarkStart w:id="3846" w:name="_Ref5093157411"/>
      <w:bookmarkStart w:id="3847" w:name="_Ref4791708431"/>
      <w:bookmarkStart w:id="3848" w:name="_Ref4840897381"/>
      <w:bookmarkStart w:id="3849" w:name="_Toc4842939781"/>
      <w:bookmarkEnd w:id="3845"/>
      <w:bookmarkEnd w:id="3846"/>
      <w:bookmarkEnd w:id="3847"/>
      <w:bookmarkEnd w:id="3848"/>
      <w:bookmarkEnd w:id="3849"/>
      <w:r>
        <w:rPr/>
        <w:t xml:space="preserve">Tabla </w:t>
      </w:r>
      <w:r>
        <w:rPr/>
        <w:fldChar w:fldCharType="begin"/>
      </w:r>
      <w:r>
        <w:instrText> SEQ Tabla \* ARABIC </w:instrText>
      </w:r>
      <w:r>
        <w:fldChar w:fldCharType="separate"/>
      </w:r>
      <w:r>
        <w:t>36</w:t>
      </w:r>
      <w:r>
        <w:fldChar w:fldCharType="end"/>
      </w:r>
      <w:bookmarkEnd w:id="3843"/>
      <w:bookmarkEnd w:id="3844"/>
      <w:r>
        <w:rPr/>
        <w:t>: Resumen de posiciones de los algoritmos respecto a cada indicador de comparación.</w:t>
      </w:r>
    </w:p>
    <w:tbl>
      <w:tblPr>
        <w:tblStyle w:val="Tablaconcuadrcula"/>
        <w:tblW w:w="4850" w:type="pct"/>
        <w:jc w:val="left"/>
        <w:tblInd w:w="-15" w:type="dxa"/>
        <w:tblCellMar>
          <w:top w:w="0" w:type="dxa"/>
          <w:left w:w="93" w:type="dxa"/>
          <w:bottom w:w="0" w:type="dxa"/>
          <w:right w:w="108" w:type="dxa"/>
        </w:tblCellMar>
        <w:tblLook w:val="04a0" w:noVBand="1" w:noHBand="0" w:lastColumn="0" w:firstColumn="1" w:lastRow="0" w:firstRow="1"/>
      </w:tblPr>
      <w:tblGrid>
        <w:gridCol w:w="1211"/>
        <w:gridCol w:w="964"/>
        <w:gridCol w:w="1285"/>
        <w:gridCol w:w="1393"/>
        <w:gridCol w:w="1285"/>
        <w:gridCol w:w="1286"/>
        <w:gridCol w:w="1284"/>
      </w:tblGrid>
      <w:tr>
        <w:trPr/>
        <w:tc>
          <w:tcPr>
            <w:tcW w:w="1211" w:type="dxa"/>
            <w:tcBorders>
              <w:right w:val="nil"/>
              <w:insideV w:val="nil"/>
            </w:tcBorders>
            <w:shd w:color="auto" w:fill="auto" w:val="clear"/>
            <w:tcMar>
              <w:left w:w="93" w:type="dxa"/>
            </w:tcMar>
          </w:tcPr>
          <w:p>
            <w:pPr>
              <w:pStyle w:val="Normal"/>
              <w:spacing w:lineRule="auto" w:line="240" w:before="60" w:after="60"/>
              <w:jc w:val="center"/>
              <w:rPr>
                <w:rFonts w:ascii="ArialMT" w:hAnsi="ArialMT"/>
                <w:sz w:val="20"/>
                <w:szCs w:val="20"/>
                <w:lang w:val="es-CO"/>
              </w:rPr>
            </w:pPr>
            <w:r>
              <w:rPr>
                <w:rFonts w:ascii="ArialMT" w:hAnsi="ArialMT"/>
                <w:sz w:val="20"/>
                <w:szCs w:val="20"/>
                <w:lang w:val="es-CO"/>
              </w:rPr>
              <w:t>Rank</w:t>
            </w:r>
          </w:p>
        </w:tc>
        <w:tc>
          <w:tcPr>
            <w:tcW w:w="964" w:type="dxa"/>
            <w:tcBorders>
              <w:left w:val="nil"/>
              <w:right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ascii="ArialMT" w:hAnsi="ArialMT"/>
                <w:sz w:val="20"/>
                <w:szCs w:val="20"/>
                <w:lang w:val="es-CO"/>
              </w:rPr>
              <w:t>1</w:t>
            </w:r>
          </w:p>
        </w:tc>
        <w:tc>
          <w:tcPr>
            <w:tcW w:w="1285" w:type="dxa"/>
            <w:tcBorders>
              <w:left w:val="nil"/>
              <w:right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ascii="ArialMT" w:hAnsi="ArialMT"/>
                <w:sz w:val="20"/>
                <w:szCs w:val="20"/>
                <w:lang w:val="es-CO"/>
              </w:rPr>
              <w:t>2</w:t>
            </w:r>
          </w:p>
        </w:tc>
        <w:tc>
          <w:tcPr>
            <w:tcW w:w="1393" w:type="dxa"/>
            <w:tcBorders>
              <w:left w:val="nil"/>
              <w:right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ascii="ArialMT" w:hAnsi="ArialMT"/>
                <w:sz w:val="20"/>
                <w:szCs w:val="20"/>
                <w:lang w:val="es-CO"/>
              </w:rPr>
              <w:t>3</w:t>
            </w:r>
          </w:p>
        </w:tc>
        <w:tc>
          <w:tcPr>
            <w:tcW w:w="1285" w:type="dxa"/>
            <w:tcBorders>
              <w:left w:val="nil"/>
              <w:right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ascii="ArialMT" w:hAnsi="ArialMT"/>
                <w:sz w:val="20"/>
                <w:szCs w:val="20"/>
                <w:lang w:val="es-CO"/>
              </w:rPr>
              <w:t>4</w:t>
            </w:r>
          </w:p>
        </w:tc>
        <w:tc>
          <w:tcPr>
            <w:tcW w:w="1286" w:type="dxa"/>
            <w:tcBorders>
              <w:left w:val="nil"/>
              <w:right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ascii="ArialMT" w:hAnsi="ArialMT"/>
                <w:sz w:val="20"/>
                <w:szCs w:val="20"/>
                <w:lang w:val="es-CO"/>
              </w:rPr>
              <w:t>5</w:t>
            </w:r>
          </w:p>
        </w:tc>
        <w:tc>
          <w:tcPr>
            <w:tcW w:w="1284" w:type="dxa"/>
            <w:tcBorders>
              <w:left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ascii="ArialMT" w:hAnsi="ArialMT"/>
                <w:sz w:val="20"/>
                <w:szCs w:val="20"/>
                <w:lang w:val="es-CO"/>
              </w:rPr>
              <w:t>6</w:t>
            </w:r>
          </w:p>
        </w:tc>
      </w:tr>
      <w:tr>
        <w:trPr/>
        <w:tc>
          <w:tcPr>
            <w:tcW w:w="1211" w:type="dxa"/>
            <w:tcBorders>
              <w:top w:val="nil"/>
              <w:bottom w:val="nil"/>
              <w:right w:val="nil"/>
              <w:insideH w:val="nil"/>
              <w:insideV w:val="nil"/>
            </w:tcBorders>
            <w:shd w:color="auto" w:fill="auto" w:val="clear"/>
            <w:tcMar>
              <w:left w:w="93" w:type="dxa"/>
            </w:tcMar>
          </w:tcPr>
          <w:p>
            <w:pPr>
              <w:pStyle w:val="Normal"/>
              <w:spacing w:lineRule="auto" w:line="240" w:before="60" w:after="60"/>
              <w:jc w:val="center"/>
              <w:rPr>
                <w:rFonts w:ascii="ArialMT" w:hAnsi="ArialMT"/>
                <w:sz w:val="20"/>
                <w:szCs w:val="20"/>
                <w:lang w:val="es-CO"/>
              </w:rPr>
            </w:pPr>
            <w:r>
              <w:rPr>
                <w:rFonts w:ascii="ArialMT" w:hAnsi="ArialMT"/>
                <w:sz w:val="20"/>
                <w:szCs w:val="20"/>
                <w:lang w:val="es-CO"/>
              </w:rPr>
              <w:t>T</w:t>
            </w:r>
            <w:r>
              <w:rPr>
                <w:rFonts w:ascii="ArialMT" w:hAnsi="ArialMT"/>
                <w:sz w:val="20"/>
                <w:szCs w:val="20"/>
                <w:vertAlign w:val="subscript"/>
                <w:lang w:val="es-CO"/>
              </w:rPr>
              <w:t>1</w:t>
            </w:r>
          </w:p>
        </w:tc>
        <w:tc>
          <w:tcPr>
            <w:tcW w:w="964"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GA_LDS</w:t>
            </w:r>
          </w:p>
        </w:tc>
        <w:tc>
          <w:tcPr>
            <w:tcW w:w="1285"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PCA_LDS</w:t>
            </w:r>
          </w:p>
        </w:tc>
        <w:tc>
          <w:tcPr>
            <w:tcW w:w="1393"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Apriori_LDS</w:t>
            </w:r>
          </w:p>
        </w:tc>
        <w:tc>
          <w:tcPr>
            <w:tcW w:w="1285"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RST_LDS</w:t>
            </w:r>
          </w:p>
        </w:tc>
        <w:tc>
          <w:tcPr>
            <w:tcW w:w="1286"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ACO_LDS</w:t>
            </w:r>
          </w:p>
        </w:tc>
        <w:tc>
          <w:tcPr>
            <w:tcW w:w="1284" w:type="dxa"/>
            <w:tcBorders>
              <w:top w:val="nil"/>
              <w:left w:val="nil"/>
              <w:bottom w:val="nil"/>
              <w:insideH w:val="nil"/>
            </w:tcBorders>
            <w:shd w:color="auto" w:fill="auto" w:val="clear"/>
            <w:tcMar>
              <w:left w:w="113" w:type="dxa"/>
            </w:tcMar>
            <w:vAlign w:val="center"/>
          </w:tcPr>
          <w:p>
            <w:pPr>
              <w:pStyle w:val="Normal"/>
              <w:spacing w:lineRule="auto" w:line="240" w:before="60" w:after="60"/>
              <w:jc w:val="center"/>
              <w:rPr>
                <w:rFonts w:ascii="Courier New" w:hAnsi="Courier New" w:cs="Courier New"/>
                <w:sz w:val="20"/>
                <w:szCs w:val="20"/>
              </w:rPr>
            </w:pPr>
            <w:r>
              <w:rPr>
                <w:rFonts w:cs="Courier New" w:ascii="Courier New" w:hAnsi="Courier New"/>
                <w:sz w:val="20"/>
                <w:szCs w:val="20"/>
              </w:rPr>
              <w:t>LPA_LDS</w:t>
            </w:r>
          </w:p>
        </w:tc>
      </w:tr>
      <w:tr>
        <w:trPr/>
        <w:tc>
          <w:tcPr>
            <w:tcW w:w="1211" w:type="dxa"/>
            <w:tcBorders>
              <w:top w:val="nil"/>
              <w:bottom w:val="nil"/>
              <w:right w:val="nil"/>
              <w:insideH w:val="nil"/>
              <w:insideV w:val="nil"/>
            </w:tcBorders>
            <w:shd w:color="auto" w:fill="auto" w:val="clear"/>
            <w:tcMar>
              <w:left w:w="93" w:type="dxa"/>
            </w:tcMar>
          </w:tcPr>
          <w:p>
            <w:pPr>
              <w:pStyle w:val="Normal"/>
              <w:spacing w:lineRule="auto" w:line="240" w:before="60" w:after="60"/>
              <w:jc w:val="center"/>
              <w:rPr>
                <w:rFonts w:ascii="ArialMT" w:hAnsi="ArialMT"/>
                <w:sz w:val="20"/>
                <w:szCs w:val="20"/>
                <w:lang w:val="es-CO"/>
              </w:rPr>
            </w:pPr>
            <w:r>
              <w:rPr>
                <w:rFonts w:ascii="ArialMT" w:hAnsi="ArialMT"/>
                <w:sz w:val="20"/>
                <w:szCs w:val="20"/>
                <w:lang w:val="es-CO"/>
              </w:rPr>
              <w:t>T</w:t>
            </w:r>
            <w:r>
              <w:rPr>
                <w:rFonts w:ascii="ArialMT" w:hAnsi="ArialMT"/>
                <w:sz w:val="20"/>
                <w:szCs w:val="20"/>
                <w:vertAlign w:val="subscript"/>
                <w:lang w:val="es-CO"/>
              </w:rPr>
              <w:t>2</w:t>
            </w:r>
          </w:p>
        </w:tc>
        <w:tc>
          <w:tcPr>
            <w:tcW w:w="964"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RST_LDS</w:t>
            </w:r>
          </w:p>
        </w:tc>
        <w:tc>
          <w:tcPr>
            <w:tcW w:w="1285"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ACO_LDS</w:t>
            </w:r>
          </w:p>
        </w:tc>
        <w:tc>
          <w:tcPr>
            <w:tcW w:w="1393"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GA_LDS</w:t>
            </w:r>
          </w:p>
        </w:tc>
        <w:tc>
          <w:tcPr>
            <w:tcW w:w="1285"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PCA_LDS</w:t>
            </w:r>
          </w:p>
        </w:tc>
        <w:tc>
          <w:tcPr>
            <w:tcW w:w="1286"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Apriori_LDS</w:t>
            </w:r>
          </w:p>
        </w:tc>
        <w:tc>
          <w:tcPr>
            <w:tcW w:w="1284" w:type="dxa"/>
            <w:tcBorders>
              <w:top w:val="nil"/>
              <w:left w:val="nil"/>
              <w:bottom w:val="nil"/>
              <w:insideH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LPA_LDS</w:t>
            </w:r>
          </w:p>
        </w:tc>
      </w:tr>
      <w:tr>
        <w:trPr/>
        <w:tc>
          <w:tcPr>
            <w:tcW w:w="1211" w:type="dxa"/>
            <w:tcBorders>
              <w:top w:val="nil"/>
              <w:bottom w:val="nil"/>
              <w:right w:val="nil"/>
              <w:insideH w:val="nil"/>
              <w:insideV w:val="nil"/>
            </w:tcBorders>
            <w:shd w:color="auto" w:fill="auto" w:val="clear"/>
            <w:tcMar>
              <w:left w:w="93" w:type="dxa"/>
            </w:tcMar>
          </w:tcPr>
          <w:p>
            <w:pPr>
              <w:pStyle w:val="Normal"/>
              <w:spacing w:lineRule="auto" w:line="240" w:before="60" w:after="60"/>
              <w:jc w:val="center"/>
              <w:rPr>
                <w:rFonts w:ascii="ArialMT" w:hAnsi="ArialMT"/>
                <w:sz w:val="20"/>
                <w:szCs w:val="20"/>
                <w:lang w:val="es-CO"/>
              </w:rPr>
            </w:pPr>
            <w:r>
              <w:rPr>
                <w:rFonts w:ascii="ArialMT" w:hAnsi="ArialMT"/>
                <w:sz w:val="20"/>
                <w:szCs w:val="20"/>
                <w:lang w:val="es-CO"/>
              </w:rPr>
              <w:t>T</w:t>
            </w:r>
            <w:r>
              <w:rPr>
                <w:rFonts w:ascii="ArialMT" w:hAnsi="ArialMT"/>
                <w:sz w:val="20"/>
                <w:szCs w:val="20"/>
                <w:vertAlign w:val="subscript"/>
                <w:lang w:val="es-CO"/>
              </w:rPr>
              <w:t>3</w:t>
            </w:r>
          </w:p>
        </w:tc>
        <w:tc>
          <w:tcPr>
            <w:tcW w:w="964"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RST_LDS</w:t>
            </w:r>
          </w:p>
        </w:tc>
        <w:tc>
          <w:tcPr>
            <w:tcW w:w="1285"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GA_LDS</w:t>
            </w:r>
          </w:p>
        </w:tc>
        <w:tc>
          <w:tcPr>
            <w:tcW w:w="1393"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PCA_LDS</w:t>
            </w:r>
          </w:p>
        </w:tc>
        <w:tc>
          <w:tcPr>
            <w:tcW w:w="1285"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Apriori_LDS</w:t>
            </w:r>
          </w:p>
        </w:tc>
        <w:tc>
          <w:tcPr>
            <w:tcW w:w="1286"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LPA_LDS</w:t>
            </w:r>
          </w:p>
        </w:tc>
        <w:tc>
          <w:tcPr>
            <w:tcW w:w="1284" w:type="dxa"/>
            <w:tcBorders>
              <w:top w:val="nil"/>
              <w:left w:val="nil"/>
              <w:bottom w:val="nil"/>
              <w:insideH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ACO_LDS</w:t>
            </w:r>
          </w:p>
        </w:tc>
      </w:tr>
      <w:tr>
        <w:trPr/>
        <w:tc>
          <w:tcPr>
            <w:tcW w:w="1211" w:type="dxa"/>
            <w:tcBorders>
              <w:top w:val="nil"/>
              <w:bottom w:val="nil"/>
              <w:right w:val="nil"/>
              <w:insideH w:val="nil"/>
              <w:insideV w:val="nil"/>
            </w:tcBorders>
            <w:shd w:color="auto" w:fill="auto" w:val="clear"/>
            <w:tcMar>
              <w:left w:w="93" w:type="dxa"/>
            </w:tcMar>
          </w:tcPr>
          <w:p>
            <w:pPr>
              <w:pStyle w:val="Normal"/>
              <w:spacing w:lineRule="auto" w:line="240" w:before="60" w:after="60"/>
              <w:jc w:val="center"/>
              <w:rPr>
                <w:rFonts w:ascii="ArialMT" w:hAnsi="ArialMT"/>
                <w:sz w:val="20"/>
                <w:szCs w:val="20"/>
                <w:lang w:val="es-CO"/>
              </w:rPr>
            </w:pPr>
            <w:r>
              <w:rPr>
                <w:rFonts w:ascii="ArialMT" w:hAnsi="ArialMT"/>
                <w:sz w:val="20"/>
                <w:szCs w:val="20"/>
                <w:lang w:val="es-CO"/>
              </w:rPr>
              <w:t>T</w:t>
            </w:r>
            <w:r>
              <w:rPr>
                <w:rFonts w:ascii="ArialMT" w:hAnsi="ArialMT"/>
                <w:sz w:val="20"/>
                <w:szCs w:val="20"/>
                <w:vertAlign w:val="subscript"/>
                <w:lang w:val="es-CO"/>
              </w:rPr>
              <w:t>4</w:t>
            </w:r>
          </w:p>
        </w:tc>
        <w:tc>
          <w:tcPr>
            <w:tcW w:w="964"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GA_LDS</w:t>
            </w:r>
          </w:p>
        </w:tc>
        <w:tc>
          <w:tcPr>
            <w:tcW w:w="1285"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LPA_LDS</w:t>
            </w:r>
          </w:p>
        </w:tc>
        <w:tc>
          <w:tcPr>
            <w:tcW w:w="1393"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RST_LDS</w:t>
            </w:r>
          </w:p>
        </w:tc>
        <w:tc>
          <w:tcPr>
            <w:tcW w:w="1285"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ACO_LDS</w:t>
            </w:r>
          </w:p>
        </w:tc>
        <w:tc>
          <w:tcPr>
            <w:tcW w:w="1286"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Apriori_LDS</w:t>
            </w:r>
          </w:p>
        </w:tc>
        <w:tc>
          <w:tcPr>
            <w:tcW w:w="1284" w:type="dxa"/>
            <w:tcBorders>
              <w:top w:val="nil"/>
              <w:left w:val="nil"/>
              <w:bottom w:val="nil"/>
              <w:insideH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PCA_LDS</w:t>
            </w:r>
          </w:p>
        </w:tc>
      </w:tr>
      <w:tr>
        <w:trPr/>
        <w:tc>
          <w:tcPr>
            <w:tcW w:w="1211" w:type="dxa"/>
            <w:tcBorders>
              <w:top w:val="nil"/>
              <w:bottom w:val="nil"/>
              <w:right w:val="nil"/>
              <w:insideH w:val="nil"/>
              <w:insideV w:val="nil"/>
            </w:tcBorders>
            <w:shd w:color="auto" w:fill="auto" w:val="clear"/>
            <w:tcMar>
              <w:left w:w="93" w:type="dxa"/>
            </w:tcMar>
          </w:tcPr>
          <w:p>
            <w:pPr>
              <w:pStyle w:val="Normal"/>
              <w:spacing w:lineRule="auto" w:line="240" w:before="60" w:after="60"/>
              <w:jc w:val="center"/>
              <w:rPr>
                <w:rFonts w:ascii="ArialMT" w:hAnsi="ArialMT"/>
                <w:sz w:val="20"/>
                <w:szCs w:val="20"/>
                <w:lang w:val="es-CO"/>
              </w:rPr>
            </w:pPr>
            <w:r>
              <w:rPr>
                <w:rFonts w:ascii="ArialMT" w:hAnsi="ArialMT"/>
                <w:sz w:val="20"/>
                <w:szCs w:val="20"/>
                <w:lang w:val="es-CO"/>
              </w:rPr>
              <w:t>T</w:t>
            </w:r>
            <w:r>
              <w:rPr>
                <w:rFonts w:ascii="ArialMT" w:hAnsi="ArialMT"/>
                <w:sz w:val="20"/>
                <w:szCs w:val="20"/>
                <w:vertAlign w:val="subscript"/>
                <w:lang w:val="es-CO"/>
              </w:rPr>
              <w:t>5</w:t>
            </w:r>
          </w:p>
        </w:tc>
        <w:tc>
          <w:tcPr>
            <w:tcW w:w="964"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RST_LDS</w:t>
            </w:r>
          </w:p>
        </w:tc>
        <w:tc>
          <w:tcPr>
            <w:tcW w:w="1285"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GA_LDS</w:t>
            </w:r>
          </w:p>
        </w:tc>
        <w:tc>
          <w:tcPr>
            <w:tcW w:w="1393"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LPA_LDS</w:t>
            </w:r>
          </w:p>
        </w:tc>
        <w:tc>
          <w:tcPr>
            <w:tcW w:w="1285"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PCA_LDS</w:t>
            </w:r>
          </w:p>
        </w:tc>
        <w:tc>
          <w:tcPr>
            <w:tcW w:w="1286"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Apriori_LDS</w:t>
            </w:r>
          </w:p>
        </w:tc>
        <w:tc>
          <w:tcPr>
            <w:tcW w:w="1284" w:type="dxa"/>
            <w:tcBorders>
              <w:top w:val="nil"/>
              <w:left w:val="nil"/>
              <w:bottom w:val="nil"/>
              <w:insideH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ACO_LDS</w:t>
            </w:r>
          </w:p>
        </w:tc>
      </w:tr>
      <w:tr>
        <w:trPr/>
        <w:tc>
          <w:tcPr>
            <w:tcW w:w="1211" w:type="dxa"/>
            <w:tcBorders>
              <w:top w:val="nil"/>
              <w:bottom w:val="nil"/>
              <w:right w:val="nil"/>
              <w:insideH w:val="nil"/>
              <w:insideV w:val="nil"/>
            </w:tcBorders>
            <w:shd w:color="auto" w:fill="auto" w:val="clear"/>
            <w:tcMar>
              <w:left w:w="93" w:type="dxa"/>
            </w:tcMar>
          </w:tcPr>
          <w:p>
            <w:pPr>
              <w:pStyle w:val="Normal"/>
              <w:spacing w:lineRule="auto" w:line="240" w:before="60" w:after="60"/>
              <w:jc w:val="center"/>
              <w:rPr>
                <w:rFonts w:ascii="ArialMT" w:hAnsi="ArialMT"/>
                <w:sz w:val="20"/>
                <w:szCs w:val="20"/>
                <w:lang w:val="es-CO"/>
              </w:rPr>
            </w:pPr>
            <w:r>
              <w:rPr>
                <w:rFonts w:ascii="ArialMT" w:hAnsi="ArialMT"/>
                <w:sz w:val="20"/>
                <w:szCs w:val="20"/>
                <w:lang w:val="es-CO"/>
              </w:rPr>
              <w:t>Te</w:t>
            </w:r>
            <w:r>
              <w:rPr>
                <w:rFonts w:ascii="ArialMT" w:hAnsi="ArialMT"/>
                <w:sz w:val="20"/>
                <w:szCs w:val="20"/>
                <w:vertAlign w:val="subscript"/>
                <w:lang w:val="es-CO"/>
              </w:rPr>
              <w:t>1a</w:t>
            </w:r>
          </w:p>
        </w:tc>
        <w:tc>
          <w:tcPr>
            <w:tcW w:w="964"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RST_LDS</w:t>
            </w:r>
          </w:p>
        </w:tc>
        <w:tc>
          <w:tcPr>
            <w:tcW w:w="1285"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Apriori_LDS</w:t>
            </w:r>
          </w:p>
        </w:tc>
        <w:tc>
          <w:tcPr>
            <w:tcW w:w="1393"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PCA_LDS</w:t>
            </w:r>
          </w:p>
        </w:tc>
        <w:tc>
          <w:tcPr>
            <w:tcW w:w="1285"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LPA_LDS</w:t>
            </w:r>
          </w:p>
        </w:tc>
        <w:tc>
          <w:tcPr>
            <w:tcW w:w="1286"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ACO_LDS</w:t>
            </w:r>
          </w:p>
        </w:tc>
        <w:tc>
          <w:tcPr>
            <w:tcW w:w="1284" w:type="dxa"/>
            <w:tcBorders>
              <w:top w:val="nil"/>
              <w:left w:val="nil"/>
              <w:bottom w:val="nil"/>
              <w:insideH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GA_LDS</w:t>
            </w:r>
          </w:p>
        </w:tc>
      </w:tr>
      <w:tr>
        <w:trPr/>
        <w:tc>
          <w:tcPr>
            <w:tcW w:w="1211" w:type="dxa"/>
            <w:tcBorders>
              <w:top w:val="nil"/>
              <w:bottom w:val="nil"/>
              <w:right w:val="nil"/>
              <w:insideH w:val="nil"/>
              <w:insideV w:val="nil"/>
            </w:tcBorders>
            <w:shd w:color="auto" w:fill="auto" w:val="clear"/>
            <w:tcMar>
              <w:left w:w="93" w:type="dxa"/>
            </w:tcMar>
          </w:tcPr>
          <w:p>
            <w:pPr>
              <w:pStyle w:val="Normal"/>
              <w:spacing w:lineRule="auto" w:line="240" w:before="60" w:after="60"/>
              <w:jc w:val="center"/>
              <w:rPr>
                <w:rFonts w:ascii="ArialMT" w:hAnsi="ArialMT"/>
                <w:sz w:val="20"/>
                <w:szCs w:val="20"/>
                <w:lang w:val="es-CO"/>
              </w:rPr>
            </w:pPr>
            <w:r>
              <w:rPr>
                <w:rFonts w:ascii="ArialMT" w:hAnsi="ArialMT"/>
                <w:sz w:val="20"/>
                <w:szCs w:val="20"/>
                <w:lang w:val="es-CO"/>
              </w:rPr>
              <w:t>Te</w:t>
            </w:r>
            <w:r>
              <w:rPr>
                <w:rFonts w:ascii="ArialMT" w:hAnsi="ArialMT"/>
                <w:sz w:val="20"/>
                <w:szCs w:val="20"/>
                <w:vertAlign w:val="subscript"/>
                <w:lang w:val="es-CO"/>
              </w:rPr>
              <w:t>1b</w:t>
            </w:r>
          </w:p>
        </w:tc>
        <w:tc>
          <w:tcPr>
            <w:tcW w:w="964"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RST_LDS</w:t>
            </w:r>
          </w:p>
        </w:tc>
        <w:tc>
          <w:tcPr>
            <w:tcW w:w="1285"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Apriori_LDS</w:t>
            </w:r>
          </w:p>
        </w:tc>
        <w:tc>
          <w:tcPr>
            <w:tcW w:w="1393"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GA_LDS</w:t>
            </w:r>
          </w:p>
        </w:tc>
        <w:tc>
          <w:tcPr>
            <w:tcW w:w="1285"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PCA_LDS</w:t>
            </w:r>
          </w:p>
        </w:tc>
        <w:tc>
          <w:tcPr>
            <w:tcW w:w="1286"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LPA_LDS</w:t>
            </w:r>
          </w:p>
        </w:tc>
        <w:tc>
          <w:tcPr>
            <w:tcW w:w="1284" w:type="dxa"/>
            <w:tcBorders>
              <w:top w:val="nil"/>
              <w:left w:val="nil"/>
              <w:bottom w:val="nil"/>
              <w:insideH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ACO_LDS</w:t>
            </w:r>
          </w:p>
        </w:tc>
      </w:tr>
      <w:tr>
        <w:trPr/>
        <w:tc>
          <w:tcPr>
            <w:tcW w:w="1211" w:type="dxa"/>
            <w:tcBorders>
              <w:top w:val="nil"/>
              <w:bottom w:val="nil"/>
              <w:right w:val="nil"/>
              <w:insideH w:val="nil"/>
              <w:insideV w:val="nil"/>
            </w:tcBorders>
            <w:shd w:color="auto" w:fill="auto" w:val="clear"/>
            <w:tcMar>
              <w:left w:w="93" w:type="dxa"/>
            </w:tcMar>
          </w:tcPr>
          <w:p>
            <w:pPr>
              <w:pStyle w:val="Normal"/>
              <w:spacing w:lineRule="auto" w:line="240" w:before="60" w:after="60"/>
              <w:jc w:val="center"/>
              <w:rPr>
                <w:rFonts w:ascii="ArialMT" w:hAnsi="ArialMT"/>
                <w:sz w:val="20"/>
                <w:szCs w:val="20"/>
                <w:lang w:val="es-CO"/>
              </w:rPr>
            </w:pPr>
            <w:r>
              <w:rPr>
                <w:rFonts w:ascii="ArialMT" w:hAnsi="ArialMT"/>
                <w:sz w:val="20"/>
                <w:szCs w:val="20"/>
                <w:lang w:val="es-CO"/>
              </w:rPr>
              <w:t>Te</w:t>
            </w:r>
            <w:r>
              <w:rPr>
                <w:rFonts w:ascii="ArialMT" w:hAnsi="ArialMT"/>
                <w:sz w:val="20"/>
                <w:szCs w:val="20"/>
                <w:vertAlign w:val="subscript"/>
                <w:lang w:val="es-CO"/>
              </w:rPr>
              <w:t>3</w:t>
            </w:r>
          </w:p>
        </w:tc>
        <w:tc>
          <w:tcPr>
            <w:tcW w:w="964"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Courier New" w:hAnsi="Courier New" w:cs="Courier New"/>
                <w:sz w:val="20"/>
                <w:szCs w:val="20"/>
              </w:rPr>
            </w:pPr>
            <w:r>
              <w:rPr>
                <w:rFonts w:cs="Courier New" w:ascii="Courier New" w:hAnsi="Courier New"/>
                <w:sz w:val="20"/>
                <w:szCs w:val="20"/>
              </w:rPr>
              <w:t>PCA_LDS</w:t>
            </w:r>
          </w:p>
        </w:tc>
        <w:tc>
          <w:tcPr>
            <w:tcW w:w="1285"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Apriori_LDS</w:t>
            </w:r>
          </w:p>
        </w:tc>
        <w:tc>
          <w:tcPr>
            <w:tcW w:w="1393"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RST_LDS</w:t>
            </w:r>
          </w:p>
        </w:tc>
        <w:tc>
          <w:tcPr>
            <w:tcW w:w="1285"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ACO_LDS</w:t>
            </w:r>
          </w:p>
        </w:tc>
        <w:tc>
          <w:tcPr>
            <w:tcW w:w="1286"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LPA_LDS</w:t>
            </w:r>
          </w:p>
        </w:tc>
        <w:tc>
          <w:tcPr>
            <w:tcW w:w="1284" w:type="dxa"/>
            <w:tcBorders>
              <w:top w:val="nil"/>
              <w:left w:val="nil"/>
              <w:bottom w:val="nil"/>
              <w:insideH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GA_LDS</w:t>
            </w:r>
          </w:p>
        </w:tc>
      </w:tr>
      <w:tr>
        <w:trPr/>
        <w:tc>
          <w:tcPr>
            <w:tcW w:w="1211" w:type="dxa"/>
            <w:tcBorders>
              <w:top w:val="nil"/>
              <w:bottom w:val="nil"/>
              <w:right w:val="nil"/>
              <w:insideH w:val="nil"/>
              <w:insideV w:val="nil"/>
            </w:tcBorders>
            <w:shd w:color="auto" w:fill="auto" w:val="clear"/>
            <w:tcMar>
              <w:left w:w="93" w:type="dxa"/>
            </w:tcMar>
          </w:tcPr>
          <w:p>
            <w:pPr>
              <w:pStyle w:val="Normal"/>
              <w:spacing w:lineRule="auto" w:line="240" w:before="60" w:after="60"/>
              <w:jc w:val="center"/>
              <w:rPr>
                <w:rFonts w:ascii="ArialMT" w:hAnsi="ArialMT"/>
                <w:sz w:val="20"/>
                <w:szCs w:val="20"/>
                <w:lang w:val="es-CO"/>
              </w:rPr>
            </w:pPr>
            <w:r>
              <w:rPr>
                <w:rFonts w:ascii="ArialMT" w:hAnsi="ArialMT"/>
                <w:sz w:val="20"/>
                <w:szCs w:val="20"/>
                <w:lang w:val="es-CO"/>
              </w:rPr>
              <w:t>Te</w:t>
            </w:r>
            <w:r>
              <w:rPr>
                <w:rFonts w:ascii="ArialMT" w:hAnsi="ArialMT"/>
                <w:sz w:val="20"/>
                <w:szCs w:val="20"/>
                <w:vertAlign w:val="subscript"/>
                <w:lang w:val="es-CO"/>
              </w:rPr>
              <w:t>4</w:t>
            </w:r>
          </w:p>
        </w:tc>
        <w:tc>
          <w:tcPr>
            <w:tcW w:w="964"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PCA_LDS</w:t>
            </w:r>
          </w:p>
        </w:tc>
        <w:tc>
          <w:tcPr>
            <w:tcW w:w="1285"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Apriori_LDS</w:t>
            </w:r>
          </w:p>
        </w:tc>
        <w:tc>
          <w:tcPr>
            <w:tcW w:w="1393"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GA_LDS</w:t>
            </w:r>
          </w:p>
        </w:tc>
        <w:tc>
          <w:tcPr>
            <w:tcW w:w="1285"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RST_LDS</w:t>
            </w:r>
          </w:p>
        </w:tc>
        <w:tc>
          <w:tcPr>
            <w:tcW w:w="1286"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LPA_LDS</w:t>
            </w:r>
          </w:p>
        </w:tc>
        <w:tc>
          <w:tcPr>
            <w:tcW w:w="1284" w:type="dxa"/>
            <w:tcBorders>
              <w:top w:val="nil"/>
              <w:left w:val="nil"/>
              <w:bottom w:val="nil"/>
              <w:insideH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ACO_LDS</w:t>
            </w:r>
          </w:p>
        </w:tc>
      </w:tr>
      <w:tr>
        <w:trPr/>
        <w:tc>
          <w:tcPr>
            <w:tcW w:w="1211" w:type="dxa"/>
            <w:tcBorders>
              <w:top w:val="nil"/>
              <w:bottom w:val="nil"/>
              <w:right w:val="nil"/>
              <w:insideH w:val="nil"/>
              <w:insideV w:val="nil"/>
            </w:tcBorders>
            <w:shd w:color="auto" w:fill="auto" w:val="clear"/>
            <w:tcMar>
              <w:left w:w="93" w:type="dxa"/>
            </w:tcMar>
          </w:tcPr>
          <w:p>
            <w:pPr>
              <w:pStyle w:val="Normal"/>
              <w:spacing w:lineRule="auto" w:line="240" w:before="60" w:after="60"/>
              <w:jc w:val="center"/>
              <w:rPr>
                <w:rFonts w:ascii="ArialMT" w:hAnsi="ArialMT"/>
                <w:sz w:val="20"/>
                <w:szCs w:val="20"/>
                <w:lang w:val="es-CO"/>
              </w:rPr>
            </w:pPr>
            <w:r>
              <w:rPr>
                <w:rFonts w:ascii="ArialMT" w:hAnsi="ArialMT"/>
                <w:sz w:val="20"/>
                <w:szCs w:val="20"/>
                <w:lang w:val="es-CO"/>
              </w:rPr>
              <w:t>Te</w:t>
            </w:r>
            <w:r>
              <w:rPr>
                <w:rFonts w:ascii="ArialMT" w:hAnsi="ArialMT"/>
                <w:sz w:val="20"/>
                <w:szCs w:val="20"/>
                <w:vertAlign w:val="subscript"/>
                <w:lang w:val="es-CO"/>
              </w:rPr>
              <w:t>5</w:t>
            </w:r>
          </w:p>
        </w:tc>
        <w:tc>
          <w:tcPr>
            <w:tcW w:w="964"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GA_LDS</w:t>
            </w:r>
          </w:p>
        </w:tc>
        <w:tc>
          <w:tcPr>
            <w:tcW w:w="1285"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ACO_LDS</w:t>
            </w:r>
          </w:p>
        </w:tc>
        <w:tc>
          <w:tcPr>
            <w:tcW w:w="1393"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RST_LDS</w:t>
            </w:r>
          </w:p>
        </w:tc>
        <w:tc>
          <w:tcPr>
            <w:tcW w:w="1285"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LPA_LDS</w:t>
            </w:r>
          </w:p>
        </w:tc>
        <w:tc>
          <w:tcPr>
            <w:tcW w:w="1286"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PCA_LDS</w:t>
            </w:r>
          </w:p>
        </w:tc>
        <w:tc>
          <w:tcPr>
            <w:tcW w:w="1284" w:type="dxa"/>
            <w:tcBorders>
              <w:top w:val="nil"/>
              <w:left w:val="nil"/>
              <w:bottom w:val="nil"/>
              <w:insideH w:val="nil"/>
            </w:tcBorders>
            <w:shd w:color="auto" w:fill="auto" w:val="clear"/>
            <w:tcMar>
              <w:left w:w="113" w:type="dxa"/>
            </w:tcMar>
            <w:vAlign w:val="center"/>
          </w:tcPr>
          <w:p>
            <w:pPr>
              <w:pStyle w:val="Normal"/>
              <w:spacing w:lineRule="auto" w:line="240" w:before="60" w:after="60"/>
              <w:jc w:val="center"/>
              <w:rPr>
                <w:rFonts w:ascii="ArialMT" w:hAnsi="ArialMT"/>
                <w:sz w:val="20"/>
                <w:szCs w:val="20"/>
                <w:lang w:val="es-CO"/>
              </w:rPr>
            </w:pPr>
            <w:r>
              <w:rPr>
                <w:rFonts w:cs="Courier New" w:ascii="Courier New" w:hAnsi="Courier New"/>
                <w:sz w:val="20"/>
                <w:szCs w:val="20"/>
              </w:rPr>
              <w:t>Apriori_LDS</w:t>
            </w:r>
          </w:p>
        </w:tc>
      </w:tr>
      <w:tr>
        <w:trPr/>
        <w:tc>
          <w:tcPr>
            <w:tcW w:w="1211" w:type="dxa"/>
            <w:tcBorders>
              <w:top w:val="nil"/>
              <w:bottom w:val="nil"/>
              <w:right w:val="nil"/>
              <w:insideH w:val="nil"/>
              <w:insideV w:val="nil"/>
            </w:tcBorders>
            <w:shd w:color="auto" w:fill="auto" w:val="clear"/>
            <w:tcMar>
              <w:left w:w="93" w:type="dxa"/>
            </w:tcMar>
          </w:tcPr>
          <w:p>
            <w:pPr>
              <w:pStyle w:val="Normal"/>
              <w:spacing w:lineRule="auto" w:line="240" w:before="60" w:after="60"/>
              <w:jc w:val="center"/>
              <w:rPr>
                <w:rFonts w:ascii="ArialMT" w:hAnsi="ArialMT"/>
                <w:sz w:val="20"/>
                <w:szCs w:val="20"/>
                <w:lang w:val="es-CO"/>
              </w:rPr>
            </w:pPr>
            <w:r>
              <w:rPr>
                <w:sz w:val="20"/>
                <w:szCs w:val="20"/>
              </w:rPr>
              <w:t>Cubrimiento de diferentes situaciones</w:t>
            </w:r>
          </w:p>
        </w:tc>
        <w:tc>
          <w:tcPr>
            <w:tcW w:w="964"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Courier New" w:hAnsi="Courier New" w:cs="Courier New"/>
                <w:sz w:val="20"/>
                <w:szCs w:val="20"/>
              </w:rPr>
            </w:pPr>
            <w:r>
              <w:rPr>
                <w:rFonts w:cs="Courier New" w:ascii="Courier New" w:hAnsi="Courier New"/>
                <w:sz w:val="20"/>
                <w:szCs w:val="20"/>
              </w:rPr>
              <w:t>ACO_LDS</w:t>
            </w:r>
          </w:p>
        </w:tc>
        <w:tc>
          <w:tcPr>
            <w:tcW w:w="1285"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Courier New" w:hAnsi="Courier New" w:cs="Courier New"/>
                <w:sz w:val="20"/>
                <w:szCs w:val="20"/>
              </w:rPr>
            </w:pPr>
            <w:r>
              <w:rPr>
                <w:rFonts w:cs="Courier New" w:ascii="Courier New" w:hAnsi="Courier New"/>
                <w:sz w:val="20"/>
                <w:szCs w:val="20"/>
              </w:rPr>
              <w:t>RST_LDS</w:t>
            </w:r>
          </w:p>
        </w:tc>
        <w:tc>
          <w:tcPr>
            <w:tcW w:w="1393"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Courier New" w:hAnsi="Courier New" w:cs="Courier New"/>
                <w:sz w:val="20"/>
                <w:szCs w:val="20"/>
              </w:rPr>
            </w:pPr>
            <w:r>
              <w:rPr>
                <w:rFonts w:cs="Courier New" w:ascii="Courier New" w:hAnsi="Courier New"/>
                <w:sz w:val="20"/>
                <w:szCs w:val="20"/>
              </w:rPr>
              <w:t>LPA_LDS</w:t>
            </w:r>
          </w:p>
        </w:tc>
        <w:tc>
          <w:tcPr>
            <w:tcW w:w="1285"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Courier New" w:hAnsi="Courier New" w:cs="Courier New"/>
                <w:sz w:val="20"/>
                <w:szCs w:val="20"/>
              </w:rPr>
            </w:pPr>
            <w:r>
              <w:rPr>
                <w:rFonts w:cs="Courier New" w:ascii="Courier New" w:hAnsi="Courier New"/>
                <w:sz w:val="20"/>
                <w:szCs w:val="20"/>
              </w:rPr>
              <w:t>Apriori_LDS</w:t>
            </w:r>
          </w:p>
        </w:tc>
        <w:tc>
          <w:tcPr>
            <w:tcW w:w="1286"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Courier New" w:hAnsi="Courier New" w:cs="Courier New"/>
                <w:sz w:val="20"/>
                <w:szCs w:val="20"/>
              </w:rPr>
            </w:pPr>
            <w:r>
              <w:rPr>
                <w:rFonts w:cs="Courier New" w:ascii="Courier New" w:hAnsi="Courier New"/>
                <w:sz w:val="20"/>
                <w:szCs w:val="20"/>
              </w:rPr>
              <w:t>PCA_LDS</w:t>
            </w:r>
          </w:p>
        </w:tc>
        <w:tc>
          <w:tcPr>
            <w:tcW w:w="1284" w:type="dxa"/>
            <w:tcBorders>
              <w:top w:val="nil"/>
              <w:left w:val="nil"/>
              <w:bottom w:val="nil"/>
              <w:insideH w:val="nil"/>
            </w:tcBorders>
            <w:shd w:color="auto" w:fill="auto" w:val="clear"/>
            <w:tcMar>
              <w:left w:w="113" w:type="dxa"/>
            </w:tcMar>
            <w:vAlign w:val="center"/>
          </w:tcPr>
          <w:p>
            <w:pPr>
              <w:pStyle w:val="Normal"/>
              <w:spacing w:lineRule="auto" w:line="240" w:before="60" w:after="60"/>
              <w:jc w:val="center"/>
              <w:rPr>
                <w:rFonts w:ascii="Courier New" w:hAnsi="Courier New" w:cs="Courier New"/>
                <w:sz w:val="20"/>
                <w:szCs w:val="20"/>
              </w:rPr>
            </w:pPr>
            <w:r>
              <w:rPr>
                <w:rFonts w:cs="Courier New" w:ascii="Courier New" w:hAnsi="Courier New"/>
                <w:sz w:val="20"/>
                <w:szCs w:val="20"/>
              </w:rPr>
              <w:t>GA_LDS</w:t>
            </w:r>
          </w:p>
        </w:tc>
      </w:tr>
      <w:tr>
        <w:trPr/>
        <w:tc>
          <w:tcPr>
            <w:tcW w:w="1211" w:type="dxa"/>
            <w:tcBorders>
              <w:top w:val="nil"/>
              <w:bottom w:val="nil"/>
              <w:right w:val="nil"/>
              <w:insideH w:val="nil"/>
              <w:insideV w:val="nil"/>
            </w:tcBorders>
            <w:shd w:color="auto" w:fill="auto" w:val="clear"/>
            <w:tcMar>
              <w:left w:w="93" w:type="dxa"/>
            </w:tcMar>
          </w:tcPr>
          <w:p>
            <w:pPr>
              <w:pStyle w:val="Normal"/>
              <w:spacing w:lineRule="auto" w:line="240" w:before="60" w:after="60"/>
              <w:jc w:val="center"/>
              <w:rPr>
                <w:sz w:val="20"/>
                <w:szCs w:val="20"/>
              </w:rPr>
            </w:pPr>
            <w:r>
              <w:rPr>
                <w:sz w:val="20"/>
                <w:szCs w:val="20"/>
              </w:rPr>
              <w:t>Fortaleza de las dependencias</w:t>
            </w:r>
          </w:p>
        </w:tc>
        <w:tc>
          <w:tcPr>
            <w:tcW w:w="964"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Courier New" w:hAnsi="Courier New" w:cs="Courier New"/>
                <w:sz w:val="20"/>
                <w:szCs w:val="20"/>
              </w:rPr>
            </w:pPr>
            <w:r>
              <w:rPr>
                <w:rFonts w:cs="Courier New" w:ascii="Courier New" w:hAnsi="Courier New"/>
                <w:sz w:val="20"/>
                <w:szCs w:val="20"/>
              </w:rPr>
              <w:t>RST_LDS</w:t>
            </w:r>
          </w:p>
        </w:tc>
        <w:tc>
          <w:tcPr>
            <w:tcW w:w="1285"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Courier New" w:hAnsi="Courier New" w:cs="Courier New"/>
                <w:sz w:val="20"/>
                <w:szCs w:val="20"/>
              </w:rPr>
            </w:pPr>
            <w:r>
              <w:rPr>
                <w:rFonts w:cs="Courier New" w:ascii="Courier New" w:hAnsi="Courier New"/>
                <w:sz w:val="20"/>
                <w:szCs w:val="20"/>
              </w:rPr>
              <w:t>LPA_LDS</w:t>
            </w:r>
          </w:p>
        </w:tc>
        <w:tc>
          <w:tcPr>
            <w:tcW w:w="1393"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Courier New" w:hAnsi="Courier New" w:cs="Courier New"/>
                <w:sz w:val="20"/>
                <w:szCs w:val="20"/>
              </w:rPr>
            </w:pPr>
            <w:r>
              <w:rPr>
                <w:rFonts w:cs="Courier New" w:ascii="Courier New" w:hAnsi="Courier New"/>
                <w:sz w:val="20"/>
                <w:szCs w:val="20"/>
              </w:rPr>
              <w:t>GA_LDS</w:t>
            </w:r>
          </w:p>
        </w:tc>
        <w:tc>
          <w:tcPr>
            <w:tcW w:w="1285"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Courier New" w:hAnsi="Courier New" w:cs="Courier New"/>
                <w:sz w:val="20"/>
                <w:szCs w:val="20"/>
              </w:rPr>
            </w:pPr>
            <w:r>
              <w:rPr>
                <w:rFonts w:cs="Courier New" w:ascii="Courier New" w:hAnsi="Courier New"/>
                <w:sz w:val="20"/>
                <w:szCs w:val="20"/>
              </w:rPr>
              <w:t>PCA_LDS</w:t>
            </w:r>
          </w:p>
        </w:tc>
        <w:tc>
          <w:tcPr>
            <w:tcW w:w="1286" w:type="dxa"/>
            <w:tcBorders>
              <w:top w:val="nil"/>
              <w:left w:val="nil"/>
              <w:bottom w:val="nil"/>
              <w:right w:val="nil"/>
              <w:insideH w:val="nil"/>
              <w:insideV w:val="nil"/>
            </w:tcBorders>
            <w:shd w:color="auto" w:fill="auto" w:val="clear"/>
            <w:tcMar>
              <w:left w:w="113" w:type="dxa"/>
            </w:tcMar>
            <w:vAlign w:val="center"/>
          </w:tcPr>
          <w:p>
            <w:pPr>
              <w:pStyle w:val="Normal"/>
              <w:spacing w:lineRule="auto" w:line="240" w:before="60" w:after="60"/>
              <w:jc w:val="center"/>
              <w:rPr>
                <w:rFonts w:ascii="Courier New" w:hAnsi="Courier New" w:cs="Courier New"/>
                <w:sz w:val="20"/>
                <w:szCs w:val="20"/>
              </w:rPr>
            </w:pPr>
            <w:r>
              <w:rPr>
                <w:rFonts w:cs="Courier New" w:ascii="Courier New" w:hAnsi="Courier New"/>
                <w:sz w:val="20"/>
                <w:szCs w:val="20"/>
              </w:rPr>
              <w:t>Apriori_LDS</w:t>
            </w:r>
          </w:p>
        </w:tc>
        <w:tc>
          <w:tcPr>
            <w:tcW w:w="1284" w:type="dxa"/>
            <w:tcBorders>
              <w:top w:val="nil"/>
              <w:left w:val="nil"/>
              <w:bottom w:val="nil"/>
              <w:insideH w:val="nil"/>
            </w:tcBorders>
            <w:shd w:color="auto" w:fill="auto" w:val="clear"/>
            <w:tcMar>
              <w:left w:w="113" w:type="dxa"/>
            </w:tcMar>
            <w:vAlign w:val="center"/>
          </w:tcPr>
          <w:p>
            <w:pPr>
              <w:pStyle w:val="Normal"/>
              <w:spacing w:lineRule="auto" w:line="240" w:before="60" w:after="60"/>
              <w:jc w:val="center"/>
              <w:rPr>
                <w:rFonts w:ascii="Courier New" w:hAnsi="Courier New" w:cs="Courier New"/>
                <w:sz w:val="20"/>
                <w:szCs w:val="20"/>
              </w:rPr>
            </w:pPr>
            <w:r>
              <w:rPr>
                <w:rFonts w:cs="Courier New" w:ascii="Courier New" w:hAnsi="Courier New"/>
                <w:sz w:val="20"/>
                <w:szCs w:val="20"/>
              </w:rPr>
              <w:t>ACO_LDS</w:t>
            </w:r>
          </w:p>
        </w:tc>
      </w:tr>
      <w:tr>
        <w:trPr/>
        <w:tc>
          <w:tcPr>
            <w:tcW w:w="1211" w:type="dxa"/>
            <w:tcBorders>
              <w:top w:val="nil"/>
              <w:right w:val="nil"/>
              <w:insideV w:val="nil"/>
            </w:tcBorders>
            <w:shd w:color="auto" w:fill="auto" w:val="clear"/>
            <w:tcMar>
              <w:left w:w="93" w:type="dxa"/>
            </w:tcMar>
          </w:tcPr>
          <w:p>
            <w:pPr>
              <w:pStyle w:val="Normal"/>
              <w:spacing w:lineRule="auto" w:line="240" w:before="60" w:after="60"/>
              <w:jc w:val="center"/>
              <w:rPr>
                <w:sz w:val="20"/>
                <w:szCs w:val="20"/>
              </w:rPr>
            </w:pPr>
            <w:r>
              <w:rPr>
                <w:sz w:val="20"/>
                <w:szCs w:val="20"/>
              </w:rPr>
              <w:t>Tiempo de ejecución</w:t>
            </w:r>
          </w:p>
        </w:tc>
        <w:tc>
          <w:tcPr>
            <w:tcW w:w="964" w:type="dxa"/>
            <w:tcBorders>
              <w:top w:val="nil"/>
              <w:left w:val="nil"/>
              <w:right w:val="nil"/>
              <w:insideV w:val="nil"/>
            </w:tcBorders>
            <w:shd w:color="auto" w:fill="auto" w:val="clear"/>
            <w:tcMar>
              <w:left w:w="113" w:type="dxa"/>
            </w:tcMar>
            <w:vAlign w:val="center"/>
          </w:tcPr>
          <w:p>
            <w:pPr>
              <w:pStyle w:val="Normal"/>
              <w:spacing w:lineRule="auto" w:line="240" w:before="60" w:after="60"/>
              <w:jc w:val="center"/>
              <w:rPr>
                <w:rFonts w:ascii="Courier New" w:hAnsi="Courier New" w:cs="Courier New"/>
                <w:sz w:val="20"/>
                <w:szCs w:val="20"/>
              </w:rPr>
            </w:pPr>
            <w:r>
              <w:rPr>
                <w:rFonts w:cs="Courier New" w:ascii="Courier New" w:hAnsi="Courier New"/>
              </w:rPr>
              <w:t>RST_LDS</w:t>
            </w:r>
          </w:p>
        </w:tc>
        <w:tc>
          <w:tcPr>
            <w:tcW w:w="1285" w:type="dxa"/>
            <w:tcBorders>
              <w:top w:val="nil"/>
              <w:left w:val="nil"/>
              <w:right w:val="nil"/>
              <w:insideV w:val="nil"/>
            </w:tcBorders>
            <w:shd w:color="auto" w:fill="auto" w:val="clear"/>
            <w:tcMar>
              <w:left w:w="113" w:type="dxa"/>
            </w:tcMar>
            <w:vAlign w:val="center"/>
          </w:tcPr>
          <w:p>
            <w:pPr>
              <w:pStyle w:val="Normal"/>
              <w:spacing w:lineRule="auto" w:line="240" w:before="60" w:after="60"/>
              <w:jc w:val="center"/>
              <w:rPr>
                <w:rFonts w:ascii="Courier New" w:hAnsi="Courier New" w:cs="Courier New"/>
                <w:sz w:val="20"/>
                <w:szCs w:val="20"/>
              </w:rPr>
            </w:pPr>
            <w:r>
              <w:rPr>
                <w:rFonts w:cs="Courier New" w:ascii="Courier New" w:hAnsi="Courier New"/>
              </w:rPr>
              <w:t>PCA_LDS</w:t>
            </w:r>
          </w:p>
        </w:tc>
        <w:tc>
          <w:tcPr>
            <w:tcW w:w="1393" w:type="dxa"/>
            <w:tcBorders>
              <w:top w:val="nil"/>
              <w:left w:val="nil"/>
              <w:right w:val="nil"/>
              <w:insideV w:val="nil"/>
            </w:tcBorders>
            <w:shd w:color="auto" w:fill="auto" w:val="clear"/>
            <w:tcMar>
              <w:left w:w="113" w:type="dxa"/>
            </w:tcMar>
            <w:vAlign w:val="center"/>
          </w:tcPr>
          <w:p>
            <w:pPr>
              <w:pStyle w:val="Normal"/>
              <w:spacing w:lineRule="auto" w:line="240" w:before="60" w:after="60"/>
              <w:jc w:val="center"/>
              <w:rPr>
                <w:rFonts w:ascii="Courier New" w:hAnsi="Courier New" w:cs="Courier New"/>
                <w:sz w:val="20"/>
                <w:szCs w:val="20"/>
              </w:rPr>
            </w:pPr>
            <w:r>
              <w:rPr>
                <w:rFonts w:cs="Courier New" w:ascii="Courier New" w:hAnsi="Courier New"/>
              </w:rPr>
              <w:t>Apriori_LDS</w:t>
            </w:r>
          </w:p>
        </w:tc>
        <w:tc>
          <w:tcPr>
            <w:tcW w:w="1285" w:type="dxa"/>
            <w:tcBorders>
              <w:top w:val="nil"/>
              <w:left w:val="nil"/>
              <w:right w:val="nil"/>
              <w:insideV w:val="nil"/>
            </w:tcBorders>
            <w:shd w:color="auto" w:fill="auto" w:val="clear"/>
            <w:tcMar>
              <w:left w:w="113" w:type="dxa"/>
            </w:tcMar>
            <w:vAlign w:val="center"/>
          </w:tcPr>
          <w:p>
            <w:pPr>
              <w:pStyle w:val="Normal"/>
              <w:spacing w:lineRule="auto" w:line="240" w:before="60" w:after="60"/>
              <w:jc w:val="center"/>
              <w:rPr>
                <w:rFonts w:ascii="Courier New" w:hAnsi="Courier New" w:cs="Courier New"/>
                <w:sz w:val="20"/>
                <w:szCs w:val="20"/>
              </w:rPr>
            </w:pPr>
            <w:r>
              <w:rPr>
                <w:rFonts w:cs="Courier New" w:ascii="Courier New" w:hAnsi="Courier New"/>
              </w:rPr>
              <w:t>LPA_LDS</w:t>
            </w:r>
          </w:p>
        </w:tc>
        <w:tc>
          <w:tcPr>
            <w:tcW w:w="1286" w:type="dxa"/>
            <w:tcBorders>
              <w:top w:val="nil"/>
              <w:left w:val="nil"/>
              <w:right w:val="nil"/>
              <w:insideV w:val="nil"/>
            </w:tcBorders>
            <w:shd w:color="auto" w:fill="auto" w:val="clear"/>
            <w:tcMar>
              <w:left w:w="113" w:type="dxa"/>
            </w:tcMar>
            <w:vAlign w:val="center"/>
          </w:tcPr>
          <w:p>
            <w:pPr>
              <w:pStyle w:val="Normal"/>
              <w:spacing w:lineRule="auto" w:line="240" w:before="60" w:after="60"/>
              <w:jc w:val="center"/>
              <w:rPr>
                <w:rFonts w:ascii="Courier New" w:hAnsi="Courier New" w:cs="Courier New"/>
                <w:sz w:val="20"/>
                <w:szCs w:val="20"/>
              </w:rPr>
            </w:pPr>
            <w:r>
              <w:rPr>
                <w:rFonts w:cs="Courier New" w:ascii="Courier New" w:hAnsi="Courier New"/>
              </w:rPr>
              <w:t>GA_LDS</w:t>
            </w:r>
          </w:p>
        </w:tc>
        <w:tc>
          <w:tcPr>
            <w:tcW w:w="1284" w:type="dxa"/>
            <w:tcBorders>
              <w:top w:val="nil"/>
              <w:left w:val="nil"/>
            </w:tcBorders>
            <w:shd w:color="auto" w:fill="auto" w:val="clear"/>
            <w:tcMar>
              <w:left w:w="113" w:type="dxa"/>
            </w:tcMar>
            <w:vAlign w:val="center"/>
          </w:tcPr>
          <w:p>
            <w:pPr>
              <w:pStyle w:val="Normal"/>
              <w:spacing w:lineRule="auto" w:line="240" w:before="60" w:after="60"/>
              <w:jc w:val="center"/>
              <w:rPr>
                <w:rFonts w:ascii="Courier New" w:hAnsi="Courier New" w:cs="Courier New"/>
                <w:sz w:val="20"/>
                <w:szCs w:val="20"/>
              </w:rPr>
            </w:pPr>
            <w:r>
              <w:rPr>
                <w:rFonts w:cs="Courier New" w:ascii="Courier New" w:hAnsi="Courier New"/>
              </w:rPr>
              <w:t>ACO_LDS</w:t>
            </w:r>
          </w:p>
        </w:tc>
      </w:tr>
    </w:tbl>
    <w:p>
      <w:pPr>
        <w:pStyle w:val="Normal"/>
        <w:rPr>
          <w:lang w:bidi="hi-IN"/>
        </w:rPr>
      </w:pPr>
      <w:r>
        <w:rPr>
          <w:lang w:bidi="hi-IN"/>
        </w:rPr>
      </w:r>
    </w:p>
    <w:p>
      <w:pPr>
        <w:pStyle w:val="Heading2"/>
        <w:numPr>
          <w:ilvl w:val="1"/>
          <w:numId w:val="80"/>
        </w:numPr>
        <w:rPr/>
      </w:pPr>
      <w:bookmarkStart w:id="3850" w:name="_Toc84598969"/>
      <w:bookmarkStart w:id="3851" w:name="_Ref77700493"/>
      <w:r>
        <w:rPr/>
        <w:t xml:space="preserve">Anexo </w:t>
      </w:r>
      <w:r>
        <w:rPr/>
        <w:fldChar w:fldCharType="begin"/>
      </w:r>
      <w:r>
        <w:instrText> SEQ Anexo \* ARABIC </w:instrText>
      </w:r>
      <w:r>
        <w:fldChar w:fldCharType="separate"/>
      </w:r>
      <w:r>
        <w:t>15</w:t>
      </w:r>
      <w:r>
        <w:fldChar w:fldCharType="end"/>
      </w:r>
      <w:bookmarkEnd w:id="3850"/>
      <w:bookmarkEnd w:id="3851"/>
      <w:r>
        <w:rPr/>
        <w:t>. Expertos que participaron en la validación del enfoque multilingüe</w:t>
      </w:r>
    </w:p>
    <w:p>
      <w:pPr>
        <w:pStyle w:val="Normal"/>
        <w:rPr/>
      </w:pPr>
      <w:r>
        <w:rPr/>
      </w:r>
    </w:p>
    <w:p>
      <w:pPr>
        <w:pStyle w:val="Caption1"/>
        <w:keepNext/>
        <w:rPr/>
      </w:pPr>
      <w:bookmarkStart w:id="3852" w:name="_Toc84599007"/>
      <w:bookmarkStart w:id="3853" w:name="_Ref78461019"/>
      <w:r>
        <w:rPr/>
        <w:t xml:space="preserve">Tabla </w:t>
      </w:r>
      <w:r>
        <w:rPr/>
        <w:fldChar w:fldCharType="begin"/>
      </w:r>
      <w:r>
        <w:instrText> SEQ Tabla \* ARABIC </w:instrText>
      </w:r>
      <w:r>
        <w:fldChar w:fldCharType="separate"/>
      </w:r>
      <w:r>
        <w:t>37</w:t>
      </w:r>
      <w:r>
        <w:fldChar w:fldCharType="end"/>
      </w:r>
      <w:bookmarkEnd w:id="3852"/>
      <w:bookmarkEnd w:id="3853"/>
      <w:r>
        <w:rPr/>
        <w:t>: Expertos que participaron en la revisión de los resúmenes lingüísticos en diferentes idiomas.</w:t>
      </w:r>
    </w:p>
    <w:tbl>
      <w:tblPr>
        <w:tblStyle w:val="Tablaconcuadrcula"/>
        <w:tblW w:w="8971" w:type="dxa"/>
        <w:jc w:val="left"/>
        <w:tblInd w:w="0" w:type="dxa"/>
        <w:tblCellMar>
          <w:top w:w="0" w:type="dxa"/>
          <w:left w:w="123" w:type="dxa"/>
          <w:bottom w:w="0" w:type="dxa"/>
          <w:right w:w="108" w:type="dxa"/>
        </w:tblCellMar>
        <w:tblLook w:val="04a0" w:noVBand="1" w:noHBand="0" w:lastColumn="0" w:firstColumn="1" w:lastRow="0" w:firstRow="1"/>
      </w:tblPr>
      <w:tblGrid>
        <w:gridCol w:w="1794"/>
        <w:gridCol w:w="1179"/>
        <w:gridCol w:w="1277"/>
        <w:gridCol w:w="142"/>
        <w:gridCol w:w="1841"/>
        <w:gridCol w:w="712"/>
        <w:gridCol w:w="1"/>
        <w:gridCol w:w="228"/>
        <w:gridCol w:w="1797"/>
      </w:tblGrid>
      <w:tr>
        <w:trPr/>
        <w:tc>
          <w:tcPr>
            <w:tcW w:w="8971" w:type="dxa"/>
            <w:gridSpan w:val="9"/>
            <w:tcBorders>
              <w:left w:val="nil"/>
              <w:bottom w:val="nil"/>
              <w:right w:val="nil"/>
              <w:insideH w:val="nil"/>
              <w:insideV w:val="nil"/>
            </w:tcBorders>
            <w:shd w:color="auto" w:fill="auto" w:val="clear"/>
            <w:vAlign w:val="center"/>
          </w:tcPr>
          <w:p>
            <w:pPr>
              <w:pStyle w:val="Normal"/>
              <w:spacing w:lineRule="auto" w:line="247" w:before="60" w:after="60"/>
              <w:jc w:val="center"/>
              <w:rPr>
                <w:sz w:val="20"/>
                <w:szCs w:val="20"/>
              </w:rPr>
            </w:pPr>
            <w:r>
              <w:rPr>
                <w:sz w:val="20"/>
                <w:szCs w:val="20"/>
              </w:rPr>
              <w:t>Expertos que revisaron los resúmenes en idioma árabe:</w:t>
            </w:r>
          </w:p>
        </w:tc>
      </w:tr>
      <w:tr>
        <w:trPr/>
        <w:tc>
          <w:tcPr>
            <w:tcW w:w="1794" w:type="dxa"/>
            <w:tcBorders>
              <w:top w:val="nil"/>
              <w:left w:val="nil"/>
              <w:bottom w:val="nil"/>
              <w:right w:val="nil"/>
              <w:insideH w:val="nil"/>
              <w:insideV w:val="nil"/>
            </w:tcBorders>
            <w:shd w:color="auto" w:fill="auto" w:val="clear"/>
            <w:vAlign w:val="center"/>
          </w:tcPr>
          <w:p>
            <w:pPr>
              <w:pStyle w:val="Normal"/>
              <w:spacing w:lineRule="auto" w:line="247" w:before="60" w:after="60"/>
              <w:jc w:val="center"/>
              <w:rPr>
                <w:sz w:val="20"/>
                <w:szCs w:val="20"/>
              </w:rPr>
            </w:pPr>
            <w:r>
              <w:rPr>
                <w:sz w:val="20"/>
                <w:szCs w:val="20"/>
              </w:rPr>
              <w:t>Nombre</w:t>
            </w:r>
          </w:p>
        </w:tc>
        <w:tc>
          <w:tcPr>
            <w:tcW w:w="1179" w:type="dxa"/>
            <w:tcBorders>
              <w:top w:val="nil"/>
              <w:left w:val="nil"/>
              <w:bottom w:val="nil"/>
              <w:right w:val="nil"/>
              <w:insideH w:val="nil"/>
              <w:insideV w:val="nil"/>
            </w:tcBorders>
            <w:shd w:color="auto" w:fill="auto" w:val="clear"/>
            <w:vAlign w:val="center"/>
          </w:tcPr>
          <w:p>
            <w:pPr>
              <w:pStyle w:val="Normal"/>
              <w:spacing w:lineRule="auto" w:line="247" w:before="60" w:after="60"/>
              <w:jc w:val="center"/>
              <w:rPr>
                <w:sz w:val="20"/>
                <w:szCs w:val="20"/>
              </w:rPr>
            </w:pPr>
            <w:r>
              <w:rPr>
                <w:sz w:val="20"/>
                <w:szCs w:val="20"/>
              </w:rPr>
              <w:t>1ra lengua</w:t>
            </w:r>
          </w:p>
        </w:tc>
        <w:tc>
          <w:tcPr>
            <w:tcW w:w="1419" w:type="dxa"/>
            <w:gridSpan w:val="2"/>
            <w:tcBorders>
              <w:top w:val="nil"/>
              <w:left w:val="nil"/>
              <w:bottom w:val="nil"/>
              <w:right w:val="nil"/>
              <w:insideH w:val="nil"/>
              <w:insideV w:val="nil"/>
            </w:tcBorders>
            <w:shd w:color="auto" w:fill="auto" w:val="clear"/>
            <w:vAlign w:val="center"/>
          </w:tcPr>
          <w:p>
            <w:pPr>
              <w:pStyle w:val="Normal"/>
              <w:spacing w:lineRule="auto" w:line="247" w:before="60" w:after="60"/>
              <w:jc w:val="center"/>
              <w:rPr>
                <w:sz w:val="20"/>
                <w:szCs w:val="20"/>
              </w:rPr>
            </w:pPr>
            <w:r>
              <w:rPr>
                <w:sz w:val="20"/>
                <w:szCs w:val="20"/>
              </w:rPr>
              <w:t>2da lengua</w:t>
            </w:r>
          </w:p>
        </w:tc>
        <w:tc>
          <w:tcPr>
            <w:tcW w:w="2782" w:type="dxa"/>
            <w:gridSpan w:val="4"/>
            <w:tcBorders>
              <w:top w:val="nil"/>
              <w:left w:val="nil"/>
              <w:bottom w:val="nil"/>
              <w:right w:val="nil"/>
              <w:insideH w:val="nil"/>
              <w:insideV w:val="nil"/>
            </w:tcBorders>
            <w:shd w:color="auto" w:fill="auto" w:val="clear"/>
            <w:vAlign w:val="center"/>
          </w:tcPr>
          <w:p>
            <w:pPr>
              <w:pStyle w:val="Normal"/>
              <w:spacing w:lineRule="auto" w:line="247" w:before="60" w:after="60"/>
              <w:jc w:val="center"/>
              <w:rPr>
                <w:sz w:val="20"/>
                <w:szCs w:val="20"/>
              </w:rPr>
            </w:pPr>
            <w:r>
              <w:rPr>
                <w:sz w:val="20"/>
                <w:szCs w:val="20"/>
              </w:rPr>
              <w:t>Profesión</w:t>
            </w:r>
          </w:p>
        </w:tc>
        <w:tc>
          <w:tcPr>
            <w:tcW w:w="1797" w:type="dxa"/>
            <w:tcBorders>
              <w:top w:val="nil"/>
              <w:left w:val="nil"/>
              <w:bottom w:val="nil"/>
              <w:right w:val="nil"/>
              <w:insideH w:val="nil"/>
              <w:insideV w:val="nil"/>
            </w:tcBorders>
            <w:shd w:color="auto" w:fill="auto" w:val="clear"/>
            <w:vAlign w:val="center"/>
          </w:tcPr>
          <w:p>
            <w:pPr>
              <w:pStyle w:val="Normal"/>
              <w:spacing w:lineRule="auto" w:line="247" w:before="60" w:after="60"/>
              <w:jc w:val="center"/>
              <w:rPr>
                <w:sz w:val="20"/>
                <w:szCs w:val="20"/>
              </w:rPr>
            </w:pPr>
            <w:r>
              <w:rPr>
                <w:sz w:val="20"/>
                <w:szCs w:val="20"/>
              </w:rPr>
              <w:t>Tiempo</w:t>
            </w:r>
          </w:p>
        </w:tc>
      </w:tr>
      <w:tr>
        <w:trPr/>
        <w:tc>
          <w:tcPr>
            <w:tcW w:w="1794" w:type="dxa"/>
            <w:tcBorders>
              <w:top w:val="nil"/>
              <w:left w:val="nil"/>
              <w:bottom w:val="nil"/>
              <w:right w:val="nil"/>
              <w:insideH w:val="nil"/>
              <w:insideV w:val="nil"/>
            </w:tcBorders>
            <w:shd w:color="auto" w:fill="auto" w:val="clear"/>
            <w:vAlign w:val="center"/>
          </w:tcPr>
          <w:p>
            <w:pPr>
              <w:pStyle w:val="Normal"/>
              <w:spacing w:lineRule="auto" w:line="247" w:before="60" w:after="60"/>
              <w:jc w:val="center"/>
              <w:rPr>
                <w:sz w:val="20"/>
                <w:szCs w:val="20"/>
              </w:rPr>
            </w:pPr>
            <w:r>
              <w:rPr>
                <w:bCs w:val="false"/>
                <w:sz w:val="20"/>
                <w:szCs w:val="20"/>
              </w:rPr>
              <w:t>Gaafar Sadeq Saeed Mahdi</w:t>
            </w:r>
          </w:p>
        </w:tc>
        <w:tc>
          <w:tcPr>
            <w:tcW w:w="1179" w:type="dxa"/>
            <w:tcBorders>
              <w:top w:val="nil"/>
              <w:left w:val="nil"/>
              <w:bottom w:val="nil"/>
              <w:right w:val="nil"/>
              <w:insideH w:val="nil"/>
              <w:insideV w:val="nil"/>
            </w:tcBorders>
            <w:shd w:color="auto" w:fill="auto" w:val="clear"/>
            <w:vAlign w:val="center"/>
          </w:tcPr>
          <w:p>
            <w:pPr>
              <w:pStyle w:val="Normal"/>
              <w:spacing w:lineRule="auto" w:line="247" w:before="60" w:after="60"/>
              <w:jc w:val="center"/>
              <w:rPr>
                <w:sz w:val="20"/>
                <w:szCs w:val="20"/>
              </w:rPr>
            </w:pPr>
            <w:r>
              <w:rPr>
                <w:sz w:val="20"/>
                <w:szCs w:val="20"/>
              </w:rPr>
              <w:t>Árabe</w:t>
            </w:r>
          </w:p>
        </w:tc>
        <w:tc>
          <w:tcPr>
            <w:tcW w:w="1277" w:type="dxa"/>
            <w:tcBorders>
              <w:top w:val="nil"/>
              <w:left w:val="nil"/>
              <w:bottom w:val="nil"/>
              <w:right w:val="nil"/>
              <w:insideH w:val="nil"/>
              <w:insideV w:val="nil"/>
            </w:tcBorders>
            <w:shd w:color="auto" w:fill="auto" w:val="clear"/>
            <w:vAlign w:val="center"/>
          </w:tcPr>
          <w:p>
            <w:pPr>
              <w:pStyle w:val="Normal"/>
              <w:spacing w:lineRule="auto" w:line="247" w:before="60" w:after="60"/>
              <w:jc w:val="center"/>
              <w:rPr>
                <w:sz w:val="20"/>
                <w:szCs w:val="20"/>
              </w:rPr>
            </w:pPr>
            <w:r>
              <w:rPr>
                <w:sz w:val="20"/>
                <w:szCs w:val="20"/>
              </w:rPr>
              <w:t>Español</w:t>
            </w:r>
          </w:p>
        </w:tc>
        <w:tc>
          <w:tcPr>
            <w:tcW w:w="2695" w:type="dxa"/>
            <w:gridSpan w:val="3"/>
            <w:tcBorders>
              <w:top w:val="nil"/>
              <w:left w:val="nil"/>
              <w:bottom w:val="nil"/>
              <w:right w:val="nil"/>
              <w:insideH w:val="nil"/>
              <w:insideV w:val="nil"/>
            </w:tcBorders>
            <w:shd w:color="auto" w:fill="auto" w:val="clear"/>
            <w:vAlign w:val="center"/>
          </w:tcPr>
          <w:p>
            <w:pPr>
              <w:pStyle w:val="Normal"/>
              <w:spacing w:lineRule="auto" w:line="247" w:before="60" w:after="60"/>
              <w:jc w:val="center"/>
              <w:rPr>
                <w:sz w:val="20"/>
                <w:szCs w:val="20"/>
              </w:rPr>
            </w:pPr>
            <w:r>
              <w:rPr>
                <w:sz w:val="20"/>
                <w:szCs w:val="20"/>
              </w:rPr>
              <w:t>Traductor en la embajada de Arabia Saudita en Cuba</w:t>
            </w:r>
          </w:p>
        </w:tc>
        <w:tc>
          <w:tcPr>
            <w:tcW w:w="2026" w:type="dxa"/>
            <w:gridSpan w:val="3"/>
            <w:tcBorders>
              <w:top w:val="nil"/>
              <w:left w:val="nil"/>
              <w:bottom w:val="nil"/>
              <w:right w:val="nil"/>
              <w:insideH w:val="nil"/>
              <w:insideV w:val="nil"/>
            </w:tcBorders>
            <w:shd w:color="auto" w:fill="auto" w:val="clear"/>
            <w:vAlign w:val="center"/>
          </w:tcPr>
          <w:p>
            <w:pPr>
              <w:pStyle w:val="Normal"/>
              <w:spacing w:lineRule="auto" w:line="247" w:before="60" w:after="60"/>
              <w:jc w:val="center"/>
              <w:rPr>
                <w:sz w:val="20"/>
                <w:szCs w:val="20"/>
              </w:rPr>
            </w:pPr>
            <w:r>
              <w:rPr>
                <w:sz w:val="20"/>
                <w:szCs w:val="20"/>
              </w:rPr>
              <w:t>18 años de dominio del español</w:t>
            </w:r>
          </w:p>
        </w:tc>
      </w:tr>
      <w:tr>
        <w:trPr/>
        <w:tc>
          <w:tcPr>
            <w:tcW w:w="1794" w:type="dxa"/>
            <w:tcBorders>
              <w:top w:val="nil"/>
              <w:left w:val="nil"/>
              <w:right w:val="nil"/>
              <w:insideV w:val="nil"/>
            </w:tcBorders>
            <w:shd w:color="auto" w:fill="auto" w:val="clear"/>
            <w:vAlign w:val="center"/>
          </w:tcPr>
          <w:p>
            <w:pPr>
              <w:pStyle w:val="Normal"/>
              <w:spacing w:lineRule="auto" w:line="247" w:before="60" w:after="60"/>
              <w:jc w:val="center"/>
              <w:rPr>
                <w:bCs w:val="false"/>
                <w:sz w:val="20"/>
                <w:szCs w:val="20"/>
              </w:rPr>
            </w:pPr>
            <w:r>
              <w:rPr>
                <w:bCs w:val="false"/>
                <w:sz w:val="20"/>
                <w:szCs w:val="20"/>
              </w:rPr>
              <w:t>Salah Hasan Saleh Al- subhi</w:t>
            </w:r>
          </w:p>
        </w:tc>
        <w:tc>
          <w:tcPr>
            <w:tcW w:w="1179" w:type="dxa"/>
            <w:tcBorders>
              <w:top w:val="nil"/>
              <w:left w:val="nil"/>
              <w:right w:val="nil"/>
              <w:insideV w:val="nil"/>
            </w:tcBorders>
            <w:shd w:color="auto" w:fill="auto" w:val="clear"/>
            <w:vAlign w:val="center"/>
          </w:tcPr>
          <w:p>
            <w:pPr>
              <w:pStyle w:val="Normal"/>
              <w:spacing w:lineRule="auto" w:line="247" w:before="60" w:after="60"/>
              <w:jc w:val="center"/>
              <w:rPr>
                <w:sz w:val="20"/>
                <w:szCs w:val="20"/>
              </w:rPr>
            </w:pPr>
            <w:r>
              <w:rPr>
                <w:sz w:val="20"/>
                <w:szCs w:val="20"/>
              </w:rPr>
              <w:t>Árabe</w:t>
            </w:r>
          </w:p>
        </w:tc>
        <w:tc>
          <w:tcPr>
            <w:tcW w:w="1277" w:type="dxa"/>
            <w:tcBorders>
              <w:top w:val="nil"/>
              <w:left w:val="nil"/>
              <w:right w:val="nil"/>
              <w:insideV w:val="nil"/>
            </w:tcBorders>
            <w:shd w:color="auto" w:fill="auto" w:val="clear"/>
            <w:vAlign w:val="center"/>
          </w:tcPr>
          <w:p>
            <w:pPr>
              <w:pStyle w:val="Normal"/>
              <w:spacing w:lineRule="auto" w:line="247" w:before="60" w:after="60"/>
              <w:jc w:val="center"/>
              <w:rPr>
                <w:sz w:val="20"/>
                <w:szCs w:val="20"/>
              </w:rPr>
            </w:pPr>
            <w:r>
              <w:rPr>
                <w:sz w:val="20"/>
                <w:szCs w:val="20"/>
              </w:rPr>
              <w:t>Español</w:t>
            </w:r>
          </w:p>
        </w:tc>
        <w:tc>
          <w:tcPr>
            <w:tcW w:w="2695" w:type="dxa"/>
            <w:gridSpan w:val="3"/>
            <w:tcBorders>
              <w:top w:val="nil"/>
              <w:left w:val="nil"/>
              <w:right w:val="nil"/>
              <w:insideV w:val="nil"/>
            </w:tcBorders>
            <w:shd w:color="auto" w:fill="auto" w:val="clear"/>
            <w:vAlign w:val="center"/>
          </w:tcPr>
          <w:p>
            <w:pPr>
              <w:pStyle w:val="Normal"/>
              <w:spacing w:lineRule="auto" w:line="247" w:before="60" w:after="60"/>
              <w:jc w:val="center"/>
              <w:rPr>
                <w:sz w:val="20"/>
                <w:szCs w:val="20"/>
              </w:rPr>
            </w:pPr>
            <w:r>
              <w:rPr>
                <w:sz w:val="20"/>
                <w:szCs w:val="20"/>
              </w:rPr>
              <w:t>Traductor en la embajada de Qatar en Cuba</w:t>
            </w:r>
          </w:p>
        </w:tc>
        <w:tc>
          <w:tcPr>
            <w:tcW w:w="2026" w:type="dxa"/>
            <w:gridSpan w:val="3"/>
            <w:tcBorders>
              <w:top w:val="nil"/>
              <w:left w:val="nil"/>
              <w:right w:val="nil"/>
              <w:insideV w:val="nil"/>
            </w:tcBorders>
            <w:shd w:color="auto" w:fill="auto" w:val="clear"/>
            <w:vAlign w:val="center"/>
          </w:tcPr>
          <w:p>
            <w:pPr>
              <w:pStyle w:val="Normal"/>
              <w:spacing w:lineRule="auto" w:line="247" w:before="60" w:after="60"/>
              <w:jc w:val="center"/>
              <w:rPr>
                <w:sz w:val="20"/>
                <w:szCs w:val="20"/>
              </w:rPr>
            </w:pPr>
            <w:r>
              <w:rPr>
                <w:sz w:val="20"/>
                <w:szCs w:val="20"/>
              </w:rPr>
              <w:t>20 años de dominio del español</w:t>
            </w:r>
          </w:p>
        </w:tc>
      </w:tr>
      <w:tr>
        <w:trPr/>
        <w:tc>
          <w:tcPr>
            <w:tcW w:w="8971" w:type="dxa"/>
            <w:gridSpan w:val="9"/>
            <w:tcBorders>
              <w:top w:val="nil"/>
              <w:left w:val="nil"/>
              <w:bottom w:val="nil"/>
              <w:right w:val="nil"/>
              <w:insideH w:val="nil"/>
              <w:insideV w:val="nil"/>
            </w:tcBorders>
            <w:shd w:color="auto" w:fill="auto" w:val="clear"/>
            <w:vAlign w:val="center"/>
          </w:tcPr>
          <w:p>
            <w:pPr>
              <w:pStyle w:val="Normal"/>
              <w:spacing w:lineRule="auto" w:line="247" w:before="60" w:after="60"/>
              <w:jc w:val="center"/>
              <w:rPr>
                <w:sz w:val="20"/>
                <w:szCs w:val="20"/>
              </w:rPr>
            </w:pPr>
            <w:r>
              <w:rPr>
                <w:sz w:val="20"/>
                <w:szCs w:val="20"/>
              </w:rPr>
              <w:t>Expertos que revisaron los resúmenes en idioma japonés:</w:t>
            </w:r>
          </w:p>
        </w:tc>
      </w:tr>
      <w:tr>
        <w:trPr/>
        <w:tc>
          <w:tcPr>
            <w:tcW w:w="1794" w:type="dxa"/>
            <w:tcBorders>
              <w:top w:val="nil"/>
              <w:left w:val="nil"/>
              <w:bottom w:val="nil"/>
              <w:right w:val="nil"/>
              <w:insideH w:val="nil"/>
              <w:insideV w:val="nil"/>
            </w:tcBorders>
            <w:shd w:color="auto" w:fill="auto" w:val="clear"/>
            <w:vAlign w:val="center"/>
          </w:tcPr>
          <w:p>
            <w:pPr>
              <w:pStyle w:val="Normal"/>
              <w:spacing w:lineRule="auto" w:line="247" w:before="60" w:after="60"/>
              <w:jc w:val="center"/>
              <w:rPr>
                <w:bCs w:val="false"/>
                <w:sz w:val="20"/>
                <w:szCs w:val="20"/>
              </w:rPr>
            </w:pPr>
            <w:r>
              <w:rPr>
                <w:sz w:val="20"/>
                <w:szCs w:val="20"/>
              </w:rPr>
              <w:t>Nombre</w:t>
            </w:r>
          </w:p>
        </w:tc>
        <w:tc>
          <w:tcPr>
            <w:tcW w:w="1179" w:type="dxa"/>
            <w:tcBorders>
              <w:top w:val="nil"/>
              <w:left w:val="nil"/>
              <w:bottom w:val="nil"/>
              <w:right w:val="nil"/>
              <w:insideH w:val="nil"/>
              <w:insideV w:val="nil"/>
            </w:tcBorders>
            <w:shd w:color="auto" w:fill="auto" w:val="clear"/>
            <w:vAlign w:val="center"/>
          </w:tcPr>
          <w:p>
            <w:pPr>
              <w:pStyle w:val="Normal"/>
              <w:spacing w:lineRule="auto" w:line="247" w:before="60" w:after="60"/>
              <w:jc w:val="center"/>
              <w:rPr>
                <w:sz w:val="20"/>
                <w:szCs w:val="20"/>
              </w:rPr>
            </w:pPr>
            <w:r>
              <w:rPr>
                <w:sz w:val="20"/>
                <w:szCs w:val="20"/>
              </w:rPr>
              <w:t>1ra lengua</w:t>
            </w:r>
          </w:p>
        </w:tc>
        <w:tc>
          <w:tcPr>
            <w:tcW w:w="1419" w:type="dxa"/>
            <w:gridSpan w:val="2"/>
            <w:tcBorders>
              <w:top w:val="nil"/>
              <w:left w:val="nil"/>
              <w:bottom w:val="nil"/>
              <w:right w:val="nil"/>
              <w:insideH w:val="nil"/>
              <w:insideV w:val="nil"/>
            </w:tcBorders>
            <w:shd w:color="auto" w:fill="auto" w:val="clear"/>
            <w:vAlign w:val="center"/>
          </w:tcPr>
          <w:p>
            <w:pPr>
              <w:pStyle w:val="Normal"/>
              <w:spacing w:lineRule="auto" w:line="247" w:before="60" w:after="60"/>
              <w:jc w:val="center"/>
              <w:rPr>
                <w:sz w:val="20"/>
                <w:szCs w:val="20"/>
              </w:rPr>
            </w:pPr>
            <w:r>
              <w:rPr>
                <w:sz w:val="20"/>
                <w:szCs w:val="20"/>
              </w:rPr>
              <w:t>2da lengua</w:t>
            </w:r>
          </w:p>
        </w:tc>
        <w:tc>
          <w:tcPr>
            <w:tcW w:w="2554" w:type="dxa"/>
            <w:gridSpan w:val="3"/>
            <w:tcBorders>
              <w:top w:val="nil"/>
              <w:left w:val="nil"/>
              <w:bottom w:val="nil"/>
              <w:right w:val="nil"/>
              <w:insideH w:val="nil"/>
              <w:insideV w:val="nil"/>
            </w:tcBorders>
            <w:shd w:color="auto" w:fill="auto" w:val="clear"/>
            <w:vAlign w:val="center"/>
          </w:tcPr>
          <w:p>
            <w:pPr>
              <w:pStyle w:val="Normal"/>
              <w:spacing w:lineRule="auto" w:line="247" w:before="60" w:after="60"/>
              <w:jc w:val="center"/>
              <w:rPr>
                <w:sz w:val="20"/>
                <w:szCs w:val="20"/>
              </w:rPr>
            </w:pPr>
            <w:r>
              <w:rPr>
                <w:sz w:val="20"/>
                <w:szCs w:val="20"/>
              </w:rPr>
              <w:t>Profesión</w:t>
            </w:r>
          </w:p>
        </w:tc>
        <w:tc>
          <w:tcPr>
            <w:tcW w:w="2025" w:type="dxa"/>
            <w:gridSpan w:val="2"/>
            <w:tcBorders>
              <w:top w:val="nil"/>
              <w:left w:val="nil"/>
              <w:bottom w:val="nil"/>
              <w:right w:val="nil"/>
              <w:insideH w:val="nil"/>
              <w:insideV w:val="nil"/>
            </w:tcBorders>
            <w:shd w:color="auto" w:fill="auto" w:val="clear"/>
            <w:vAlign w:val="center"/>
          </w:tcPr>
          <w:p>
            <w:pPr>
              <w:pStyle w:val="Normal"/>
              <w:spacing w:lineRule="auto" w:line="247" w:before="60" w:after="60"/>
              <w:jc w:val="center"/>
              <w:rPr>
                <w:sz w:val="20"/>
                <w:szCs w:val="20"/>
              </w:rPr>
            </w:pPr>
            <w:r>
              <w:rPr>
                <w:sz w:val="20"/>
                <w:szCs w:val="20"/>
              </w:rPr>
              <w:t>Tiempo</w:t>
            </w:r>
          </w:p>
        </w:tc>
      </w:tr>
      <w:tr>
        <w:trPr/>
        <w:tc>
          <w:tcPr>
            <w:tcW w:w="1794" w:type="dxa"/>
            <w:tcBorders>
              <w:top w:val="nil"/>
              <w:left w:val="nil"/>
              <w:bottom w:val="nil"/>
              <w:right w:val="nil"/>
              <w:insideH w:val="nil"/>
              <w:insideV w:val="nil"/>
            </w:tcBorders>
            <w:shd w:color="auto" w:fill="auto" w:val="clear"/>
            <w:vAlign w:val="center"/>
          </w:tcPr>
          <w:p>
            <w:pPr>
              <w:pStyle w:val="Normal"/>
              <w:spacing w:lineRule="auto" w:line="247" w:before="60" w:after="60"/>
              <w:jc w:val="center"/>
              <w:rPr>
                <w:bCs w:val="false"/>
                <w:sz w:val="20"/>
                <w:szCs w:val="20"/>
              </w:rPr>
            </w:pPr>
            <w:r>
              <w:rPr>
                <w:bCs w:val="false"/>
                <w:sz w:val="20"/>
                <w:szCs w:val="20"/>
              </w:rPr>
              <w:t>Kazuhiro Negawa</w:t>
            </w:r>
          </w:p>
        </w:tc>
        <w:tc>
          <w:tcPr>
            <w:tcW w:w="1179" w:type="dxa"/>
            <w:tcBorders>
              <w:top w:val="nil"/>
              <w:left w:val="nil"/>
              <w:bottom w:val="nil"/>
              <w:right w:val="nil"/>
              <w:insideH w:val="nil"/>
              <w:insideV w:val="nil"/>
            </w:tcBorders>
            <w:shd w:color="auto" w:fill="auto" w:val="clear"/>
            <w:vAlign w:val="center"/>
          </w:tcPr>
          <w:p>
            <w:pPr>
              <w:pStyle w:val="Normal"/>
              <w:spacing w:lineRule="auto" w:line="247" w:before="60" w:after="60"/>
              <w:jc w:val="center"/>
              <w:rPr>
                <w:sz w:val="20"/>
                <w:szCs w:val="20"/>
              </w:rPr>
            </w:pPr>
            <w:r>
              <w:rPr>
                <w:sz w:val="20"/>
                <w:szCs w:val="20"/>
              </w:rPr>
              <w:t>Japonés</w:t>
            </w:r>
          </w:p>
        </w:tc>
        <w:tc>
          <w:tcPr>
            <w:tcW w:w="1419" w:type="dxa"/>
            <w:gridSpan w:val="2"/>
            <w:tcBorders>
              <w:top w:val="nil"/>
              <w:left w:val="nil"/>
              <w:bottom w:val="nil"/>
              <w:right w:val="nil"/>
              <w:insideH w:val="nil"/>
              <w:insideV w:val="nil"/>
            </w:tcBorders>
            <w:shd w:color="auto" w:fill="auto" w:val="clear"/>
            <w:vAlign w:val="center"/>
          </w:tcPr>
          <w:p>
            <w:pPr>
              <w:pStyle w:val="Normal"/>
              <w:spacing w:lineRule="auto" w:line="247" w:before="60" w:after="60"/>
              <w:jc w:val="center"/>
              <w:rPr>
                <w:sz w:val="20"/>
                <w:szCs w:val="20"/>
              </w:rPr>
            </w:pPr>
            <w:r>
              <w:rPr>
                <w:sz w:val="20"/>
                <w:szCs w:val="20"/>
              </w:rPr>
              <w:t>Español</w:t>
            </w:r>
          </w:p>
        </w:tc>
        <w:tc>
          <w:tcPr>
            <w:tcW w:w="2554" w:type="dxa"/>
            <w:gridSpan w:val="3"/>
            <w:tcBorders>
              <w:top w:val="nil"/>
              <w:left w:val="nil"/>
              <w:bottom w:val="nil"/>
              <w:right w:val="nil"/>
              <w:insideH w:val="nil"/>
              <w:insideV w:val="nil"/>
            </w:tcBorders>
            <w:shd w:color="auto" w:fill="auto" w:val="clear"/>
            <w:vAlign w:val="center"/>
          </w:tcPr>
          <w:p>
            <w:pPr>
              <w:pStyle w:val="Normal"/>
              <w:spacing w:lineRule="auto" w:line="247" w:before="60" w:after="60"/>
              <w:jc w:val="center"/>
              <w:rPr>
                <w:sz w:val="20"/>
                <w:szCs w:val="20"/>
              </w:rPr>
            </w:pPr>
            <w:r>
              <w:rPr>
                <w:sz w:val="20"/>
                <w:szCs w:val="20"/>
              </w:rPr>
              <w:t>Periodista</w:t>
            </w:r>
          </w:p>
        </w:tc>
        <w:tc>
          <w:tcPr>
            <w:tcW w:w="2025" w:type="dxa"/>
            <w:gridSpan w:val="2"/>
            <w:tcBorders>
              <w:top w:val="nil"/>
              <w:left w:val="nil"/>
              <w:bottom w:val="nil"/>
              <w:right w:val="nil"/>
              <w:insideH w:val="nil"/>
              <w:insideV w:val="nil"/>
            </w:tcBorders>
            <w:shd w:color="auto" w:fill="auto" w:val="clear"/>
            <w:vAlign w:val="center"/>
          </w:tcPr>
          <w:p>
            <w:pPr>
              <w:pStyle w:val="Normal"/>
              <w:spacing w:lineRule="auto" w:line="247" w:before="60" w:after="60"/>
              <w:jc w:val="center"/>
              <w:rPr>
                <w:sz w:val="20"/>
                <w:szCs w:val="20"/>
              </w:rPr>
            </w:pPr>
            <w:r>
              <w:rPr>
                <w:sz w:val="20"/>
                <w:szCs w:val="20"/>
              </w:rPr>
              <w:t>Más de 15 años de dominio del español</w:t>
            </w:r>
          </w:p>
        </w:tc>
      </w:tr>
      <w:tr>
        <w:trPr/>
        <w:tc>
          <w:tcPr>
            <w:tcW w:w="1794" w:type="dxa"/>
            <w:tcBorders>
              <w:top w:val="nil"/>
              <w:left w:val="nil"/>
              <w:right w:val="nil"/>
              <w:insideV w:val="nil"/>
            </w:tcBorders>
            <w:shd w:color="auto" w:fill="auto" w:val="clear"/>
            <w:vAlign w:val="center"/>
          </w:tcPr>
          <w:p>
            <w:pPr>
              <w:pStyle w:val="Normal"/>
              <w:spacing w:lineRule="auto" w:line="247" w:before="60" w:after="60"/>
              <w:jc w:val="center"/>
              <w:rPr>
                <w:bCs w:val="false"/>
                <w:sz w:val="20"/>
                <w:szCs w:val="20"/>
              </w:rPr>
            </w:pPr>
            <w:r>
              <w:rPr>
                <w:bCs w:val="false"/>
                <w:sz w:val="20"/>
                <w:szCs w:val="20"/>
              </w:rPr>
              <w:t>Yuki Asaka</w:t>
            </w:r>
          </w:p>
        </w:tc>
        <w:tc>
          <w:tcPr>
            <w:tcW w:w="1179" w:type="dxa"/>
            <w:tcBorders>
              <w:top w:val="nil"/>
              <w:left w:val="nil"/>
              <w:right w:val="nil"/>
              <w:insideV w:val="nil"/>
            </w:tcBorders>
            <w:shd w:color="auto" w:fill="auto" w:val="clear"/>
            <w:vAlign w:val="center"/>
          </w:tcPr>
          <w:p>
            <w:pPr>
              <w:pStyle w:val="Normal"/>
              <w:spacing w:lineRule="auto" w:line="247" w:before="60" w:after="60"/>
              <w:jc w:val="center"/>
              <w:rPr>
                <w:sz w:val="20"/>
                <w:szCs w:val="20"/>
              </w:rPr>
            </w:pPr>
            <w:r>
              <w:rPr>
                <w:sz w:val="20"/>
                <w:szCs w:val="20"/>
              </w:rPr>
              <w:t>Japonés</w:t>
            </w:r>
          </w:p>
        </w:tc>
        <w:tc>
          <w:tcPr>
            <w:tcW w:w="1419" w:type="dxa"/>
            <w:gridSpan w:val="2"/>
            <w:tcBorders>
              <w:top w:val="nil"/>
              <w:left w:val="nil"/>
              <w:right w:val="nil"/>
              <w:insideV w:val="nil"/>
            </w:tcBorders>
            <w:shd w:color="auto" w:fill="auto" w:val="clear"/>
            <w:vAlign w:val="center"/>
          </w:tcPr>
          <w:p>
            <w:pPr>
              <w:pStyle w:val="Normal"/>
              <w:spacing w:lineRule="auto" w:line="247" w:before="60" w:after="60"/>
              <w:jc w:val="center"/>
              <w:rPr>
                <w:sz w:val="20"/>
                <w:szCs w:val="20"/>
              </w:rPr>
            </w:pPr>
            <w:r>
              <w:rPr>
                <w:sz w:val="20"/>
                <w:szCs w:val="20"/>
              </w:rPr>
              <w:t>Español</w:t>
            </w:r>
          </w:p>
        </w:tc>
        <w:tc>
          <w:tcPr>
            <w:tcW w:w="2782" w:type="dxa"/>
            <w:gridSpan w:val="4"/>
            <w:tcBorders>
              <w:top w:val="nil"/>
              <w:left w:val="nil"/>
              <w:right w:val="nil"/>
              <w:insideV w:val="nil"/>
            </w:tcBorders>
            <w:shd w:color="auto" w:fill="auto" w:val="clear"/>
            <w:vAlign w:val="center"/>
          </w:tcPr>
          <w:p>
            <w:pPr>
              <w:pStyle w:val="Normal"/>
              <w:spacing w:lineRule="auto" w:line="247" w:before="60" w:after="60"/>
              <w:jc w:val="center"/>
              <w:rPr>
                <w:sz w:val="20"/>
                <w:szCs w:val="20"/>
              </w:rPr>
            </w:pPr>
            <w:r>
              <w:rPr>
                <w:sz w:val="20"/>
                <w:szCs w:val="20"/>
              </w:rPr>
              <w:t>Traductora en la embajada de Japón en Cuba</w:t>
            </w:r>
          </w:p>
        </w:tc>
        <w:tc>
          <w:tcPr>
            <w:tcW w:w="1797" w:type="dxa"/>
            <w:tcBorders>
              <w:top w:val="nil"/>
              <w:left w:val="nil"/>
              <w:right w:val="nil"/>
              <w:insideV w:val="nil"/>
            </w:tcBorders>
            <w:shd w:color="auto" w:fill="auto" w:val="clear"/>
            <w:vAlign w:val="center"/>
          </w:tcPr>
          <w:p>
            <w:pPr>
              <w:pStyle w:val="Normal"/>
              <w:spacing w:lineRule="auto" w:line="247" w:before="60" w:after="60"/>
              <w:jc w:val="center"/>
              <w:rPr>
                <w:sz w:val="20"/>
                <w:szCs w:val="20"/>
              </w:rPr>
            </w:pPr>
            <w:r>
              <w:rPr>
                <w:sz w:val="20"/>
                <w:szCs w:val="20"/>
              </w:rPr>
              <w:t>13 años de dominio del español</w:t>
            </w:r>
          </w:p>
        </w:tc>
      </w:tr>
      <w:tr>
        <w:trPr/>
        <w:tc>
          <w:tcPr>
            <w:tcW w:w="8971" w:type="dxa"/>
            <w:gridSpan w:val="9"/>
            <w:tcBorders>
              <w:top w:val="nil"/>
              <w:left w:val="nil"/>
              <w:bottom w:val="nil"/>
              <w:right w:val="nil"/>
              <w:insideH w:val="nil"/>
              <w:insideV w:val="nil"/>
            </w:tcBorders>
            <w:shd w:color="auto" w:fill="auto" w:val="clear"/>
            <w:vAlign w:val="center"/>
          </w:tcPr>
          <w:p>
            <w:pPr>
              <w:pStyle w:val="Normal"/>
              <w:spacing w:lineRule="auto" w:line="247" w:before="60" w:after="60"/>
              <w:jc w:val="center"/>
              <w:rPr>
                <w:sz w:val="20"/>
                <w:szCs w:val="20"/>
              </w:rPr>
            </w:pPr>
            <w:r>
              <w:rPr>
                <w:sz w:val="20"/>
                <w:szCs w:val="20"/>
              </w:rPr>
              <w:t>Expertos que revisaron los resúmenes en idioma inglés:</w:t>
            </w:r>
          </w:p>
        </w:tc>
      </w:tr>
      <w:tr>
        <w:trPr/>
        <w:tc>
          <w:tcPr>
            <w:tcW w:w="1794" w:type="dxa"/>
            <w:tcBorders>
              <w:top w:val="nil"/>
              <w:left w:val="nil"/>
              <w:bottom w:val="nil"/>
              <w:right w:val="nil"/>
              <w:insideH w:val="nil"/>
              <w:insideV w:val="nil"/>
            </w:tcBorders>
            <w:shd w:color="auto" w:fill="auto" w:val="clear"/>
            <w:vAlign w:val="center"/>
          </w:tcPr>
          <w:p>
            <w:pPr>
              <w:pStyle w:val="Normal"/>
              <w:spacing w:lineRule="auto" w:line="247" w:before="60" w:after="60"/>
              <w:jc w:val="center"/>
              <w:rPr>
                <w:bCs w:val="false"/>
                <w:sz w:val="20"/>
                <w:szCs w:val="20"/>
              </w:rPr>
            </w:pPr>
            <w:r>
              <w:rPr>
                <w:sz w:val="20"/>
                <w:szCs w:val="20"/>
              </w:rPr>
              <w:t>Nombre</w:t>
            </w:r>
          </w:p>
        </w:tc>
        <w:tc>
          <w:tcPr>
            <w:tcW w:w="1179" w:type="dxa"/>
            <w:tcBorders>
              <w:top w:val="nil"/>
              <w:left w:val="nil"/>
              <w:bottom w:val="nil"/>
              <w:right w:val="nil"/>
              <w:insideH w:val="nil"/>
              <w:insideV w:val="nil"/>
            </w:tcBorders>
            <w:shd w:color="auto" w:fill="auto" w:val="clear"/>
            <w:vAlign w:val="center"/>
          </w:tcPr>
          <w:p>
            <w:pPr>
              <w:pStyle w:val="Normal"/>
              <w:spacing w:lineRule="auto" w:line="247" w:before="60" w:after="60"/>
              <w:jc w:val="center"/>
              <w:rPr>
                <w:sz w:val="20"/>
                <w:szCs w:val="20"/>
              </w:rPr>
            </w:pPr>
            <w:r>
              <w:rPr>
                <w:sz w:val="20"/>
                <w:szCs w:val="20"/>
              </w:rPr>
              <w:t>1ra lengua</w:t>
            </w:r>
          </w:p>
        </w:tc>
        <w:tc>
          <w:tcPr>
            <w:tcW w:w="1277" w:type="dxa"/>
            <w:tcBorders>
              <w:top w:val="nil"/>
              <w:left w:val="nil"/>
              <w:bottom w:val="nil"/>
              <w:right w:val="nil"/>
              <w:insideH w:val="nil"/>
              <w:insideV w:val="nil"/>
            </w:tcBorders>
            <w:shd w:color="auto" w:fill="auto" w:val="clear"/>
            <w:vAlign w:val="center"/>
          </w:tcPr>
          <w:p>
            <w:pPr>
              <w:pStyle w:val="Normal"/>
              <w:spacing w:lineRule="auto" w:line="247" w:before="60" w:after="60"/>
              <w:jc w:val="center"/>
              <w:rPr>
                <w:sz w:val="20"/>
                <w:szCs w:val="20"/>
              </w:rPr>
            </w:pPr>
            <w:r>
              <w:rPr>
                <w:sz w:val="20"/>
                <w:szCs w:val="20"/>
              </w:rPr>
              <w:t>2da lengua</w:t>
            </w:r>
          </w:p>
        </w:tc>
        <w:tc>
          <w:tcPr>
            <w:tcW w:w="1983" w:type="dxa"/>
            <w:gridSpan w:val="2"/>
            <w:tcBorders>
              <w:top w:val="nil"/>
              <w:left w:val="nil"/>
              <w:bottom w:val="nil"/>
              <w:right w:val="nil"/>
              <w:insideH w:val="nil"/>
              <w:insideV w:val="nil"/>
            </w:tcBorders>
            <w:shd w:color="auto" w:fill="auto" w:val="clear"/>
            <w:vAlign w:val="center"/>
          </w:tcPr>
          <w:p>
            <w:pPr>
              <w:pStyle w:val="Normal"/>
              <w:spacing w:lineRule="auto" w:line="247" w:before="60" w:after="60"/>
              <w:jc w:val="center"/>
              <w:rPr>
                <w:sz w:val="20"/>
                <w:szCs w:val="20"/>
              </w:rPr>
            </w:pPr>
            <w:r>
              <w:rPr>
                <w:sz w:val="20"/>
                <w:szCs w:val="20"/>
              </w:rPr>
              <w:t>Profesión</w:t>
            </w:r>
          </w:p>
        </w:tc>
        <w:tc>
          <w:tcPr>
            <w:tcW w:w="2738" w:type="dxa"/>
            <w:gridSpan w:val="4"/>
            <w:tcBorders>
              <w:top w:val="nil"/>
              <w:left w:val="nil"/>
              <w:bottom w:val="nil"/>
              <w:right w:val="nil"/>
              <w:insideH w:val="nil"/>
              <w:insideV w:val="nil"/>
            </w:tcBorders>
            <w:shd w:color="auto" w:fill="auto" w:val="clear"/>
            <w:vAlign w:val="center"/>
          </w:tcPr>
          <w:p>
            <w:pPr>
              <w:pStyle w:val="Normal"/>
              <w:spacing w:lineRule="auto" w:line="247" w:before="60" w:after="60"/>
              <w:jc w:val="center"/>
              <w:rPr>
                <w:sz w:val="20"/>
                <w:szCs w:val="20"/>
              </w:rPr>
            </w:pPr>
            <w:r>
              <w:rPr>
                <w:sz w:val="20"/>
                <w:szCs w:val="20"/>
              </w:rPr>
              <w:t>Tiempo</w:t>
            </w:r>
          </w:p>
        </w:tc>
      </w:tr>
      <w:tr>
        <w:trPr/>
        <w:tc>
          <w:tcPr>
            <w:tcW w:w="1794" w:type="dxa"/>
            <w:tcBorders>
              <w:top w:val="nil"/>
              <w:left w:val="nil"/>
              <w:bottom w:val="nil"/>
              <w:right w:val="nil"/>
              <w:insideH w:val="nil"/>
              <w:insideV w:val="nil"/>
            </w:tcBorders>
            <w:shd w:color="auto" w:fill="auto" w:val="clear"/>
            <w:vAlign w:val="center"/>
          </w:tcPr>
          <w:p>
            <w:pPr>
              <w:pStyle w:val="Normal"/>
              <w:spacing w:lineRule="auto" w:line="247" w:before="60" w:after="60"/>
              <w:jc w:val="center"/>
              <w:rPr>
                <w:bCs w:val="false"/>
                <w:sz w:val="20"/>
                <w:szCs w:val="20"/>
              </w:rPr>
            </w:pPr>
            <w:r>
              <w:rPr>
                <w:bCs w:val="false"/>
                <w:sz w:val="20"/>
                <w:szCs w:val="20"/>
              </w:rPr>
              <w:t>Roberto A. Espí</w:t>
            </w:r>
          </w:p>
        </w:tc>
        <w:tc>
          <w:tcPr>
            <w:tcW w:w="1179" w:type="dxa"/>
            <w:tcBorders>
              <w:top w:val="nil"/>
              <w:left w:val="nil"/>
              <w:bottom w:val="nil"/>
              <w:right w:val="nil"/>
              <w:insideH w:val="nil"/>
              <w:insideV w:val="nil"/>
            </w:tcBorders>
            <w:shd w:color="auto" w:fill="auto" w:val="clear"/>
            <w:vAlign w:val="center"/>
          </w:tcPr>
          <w:p>
            <w:pPr>
              <w:pStyle w:val="Normal"/>
              <w:spacing w:lineRule="auto" w:line="247" w:before="60" w:after="60"/>
              <w:jc w:val="center"/>
              <w:rPr>
                <w:sz w:val="20"/>
                <w:szCs w:val="20"/>
              </w:rPr>
            </w:pPr>
            <w:r>
              <w:rPr>
                <w:sz w:val="20"/>
                <w:szCs w:val="20"/>
              </w:rPr>
              <w:t>Inglés</w:t>
            </w:r>
          </w:p>
        </w:tc>
        <w:tc>
          <w:tcPr>
            <w:tcW w:w="1277" w:type="dxa"/>
            <w:tcBorders>
              <w:top w:val="nil"/>
              <w:left w:val="nil"/>
              <w:bottom w:val="nil"/>
              <w:right w:val="nil"/>
              <w:insideH w:val="nil"/>
              <w:insideV w:val="nil"/>
            </w:tcBorders>
            <w:shd w:color="auto" w:fill="auto" w:val="clear"/>
            <w:vAlign w:val="center"/>
          </w:tcPr>
          <w:p>
            <w:pPr>
              <w:pStyle w:val="Normal"/>
              <w:spacing w:lineRule="auto" w:line="247" w:before="60" w:after="60"/>
              <w:jc w:val="center"/>
              <w:rPr>
                <w:sz w:val="20"/>
                <w:szCs w:val="20"/>
              </w:rPr>
            </w:pPr>
            <w:r>
              <w:rPr>
                <w:sz w:val="20"/>
                <w:szCs w:val="20"/>
              </w:rPr>
              <w:t>Español</w:t>
            </w:r>
          </w:p>
        </w:tc>
        <w:tc>
          <w:tcPr>
            <w:tcW w:w="1983" w:type="dxa"/>
            <w:gridSpan w:val="2"/>
            <w:tcBorders>
              <w:top w:val="nil"/>
              <w:left w:val="nil"/>
              <w:bottom w:val="nil"/>
              <w:right w:val="nil"/>
              <w:insideH w:val="nil"/>
              <w:insideV w:val="nil"/>
            </w:tcBorders>
            <w:shd w:color="auto" w:fill="auto" w:val="clear"/>
            <w:vAlign w:val="center"/>
          </w:tcPr>
          <w:p>
            <w:pPr>
              <w:pStyle w:val="Normal"/>
              <w:spacing w:lineRule="auto" w:line="247" w:before="60" w:after="60"/>
              <w:jc w:val="center"/>
              <w:rPr>
                <w:sz w:val="20"/>
                <w:szCs w:val="20"/>
              </w:rPr>
            </w:pPr>
            <w:r>
              <w:rPr>
                <w:sz w:val="20"/>
                <w:szCs w:val="20"/>
              </w:rPr>
              <w:t>Ingeniero Informático</w:t>
            </w:r>
          </w:p>
        </w:tc>
        <w:tc>
          <w:tcPr>
            <w:tcW w:w="2738" w:type="dxa"/>
            <w:gridSpan w:val="4"/>
            <w:tcBorders>
              <w:top w:val="nil"/>
              <w:left w:val="nil"/>
              <w:bottom w:val="nil"/>
              <w:right w:val="nil"/>
              <w:insideH w:val="nil"/>
              <w:insideV w:val="nil"/>
            </w:tcBorders>
            <w:shd w:color="auto" w:fill="auto" w:val="clear"/>
            <w:vAlign w:val="center"/>
          </w:tcPr>
          <w:p>
            <w:pPr>
              <w:pStyle w:val="Normal"/>
              <w:spacing w:lineRule="auto" w:line="247" w:before="60" w:after="60"/>
              <w:jc w:val="center"/>
              <w:rPr>
                <w:sz w:val="20"/>
                <w:szCs w:val="20"/>
              </w:rPr>
            </w:pPr>
            <w:r>
              <w:rPr>
                <w:sz w:val="20"/>
                <w:szCs w:val="20"/>
              </w:rPr>
              <w:t>Domina ambos idiomas desde su infancia</w:t>
            </w:r>
          </w:p>
        </w:tc>
      </w:tr>
      <w:tr>
        <w:trPr/>
        <w:tc>
          <w:tcPr>
            <w:tcW w:w="1794" w:type="dxa"/>
            <w:tcBorders>
              <w:top w:val="nil"/>
              <w:left w:val="nil"/>
              <w:right w:val="nil"/>
              <w:insideV w:val="nil"/>
            </w:tcBorders>
            <w:shd w:color="auto" w:fill="auto" w:val="clear"/>
            <w:vAlign w:val="center"/>
          </w:tcPr>
          <w:p>
            <w:pPr>
              <w:pStyle w:val="Normal"/>
              <w:spacing w:lineRule="auto" w:line="247" w:before="60" w:after="60"/>
              <w:jc w:val="center"/>
              <w:rPr>
                <w:bCs w:val="false"/>
                <w:sz w:val="20"/>
                <w:szCs w:val="20"/>
              </w:rPr>
            </w:pPr>
            <w:r>
              <w:rPr>
                <w:bCs w:val="false"/>
                <w:sz w:val="20"/>
                <w:szCs w:val="20"/>
              </w:rPr>
              <w:t>Beatriz Muñoz</w:t>
            </w:r>
          </w:p>
        </w:tc>
        <w:tc>
          <w:tcPr>
            <w:tcW w:w="1179" w:type="dxa"/>
            <w:tcBorders>
              <w:top w:val="nil"/>
              <w:left w:val="nil"/>
              <w:right w:val="nil"/>
              <w:insideV w:val="nil"/>
            </w:tcBorders>
            <w:shd w:color="auto" w:fill="auto" w:val="clear"/>
            <w:vAlign w:val="center"/>
          </w:tcPr>
          <w:p>
            <w:pPr>
              <w:pStyle w:val="Normal"/>
              <w:spacing w:lineRule="auto" w:line="247" w:before="60" w:after="60"/>
              <w:jc w:val="center"/>
              <w:rPr>
                <w:sz w:val="20"/>
                <w:szCs w:val="20"/>
              </w:rPr>
            </w:pPr>
            <w:r>
              <w:rPr>
                <w:sz w:val="20"/>
                <w:szCs w:val="20"/>
              </w:rPr>
              <w:t>Español</w:t>
            </w:r>
          </w:p>
        </w:tc>
        <w:tc>
          <w:tcPr>
            <w:tcW w:w="1277" w:type="dxa"/>
            <w:tcBorders>
              <w:top w:val="nil"/>
              <w:left w:val="nil"/>
              <w:right w:val="nil"/>
              <w:insideV w:val="nil"/>
            </w:tcBorders>
            <w:shd w:color="auto" w:fill="auto" w:val="clear"/>
            <w:vAlign w:val="center"/>
          </w:tcPr>
          <w:p>
            <w:pPr>
              <w:pStyle w:val="Normal"/>
              <w:spacing w:lineRule="auto" w:line="247" w:before="60" w:after="60"/>
              <w:jc w:val="center"/>
              <w:rPr>
                <w:sz w:val="20"/>
                <w:szCs w:val="20"/>
              </w:rPr>
            </w:pPr>
            <w:r>
              <w:rPr>
                <w:sz w:val="20"/>
                <w:szCs w:val="20"/>
              </w:rPr>
              <w:t>Inglés</w:t>
            </w:r>
          </w:p>
        </w:tc>
        <w:tc>
          <w:tcPr>
            <w:tcW w:w="1983" w:type="dxa"/>
            <w:gridSpan w:val="2"/>
            <w:tcBorders>
              <w:top w:val="nil"/>
              <w:left w:val="nil"/>
              <w:right w:val="nil"/>
              <w:insideV w:val="nil"/>
            </w:tcBorders>
            <w:shd w:color="auto" w:fill="auto" w:val="clear"/>
            <w:vAlign w:val="center"/>
          </w:tcPr>
          <w:p>
            <w:pPr>
              <w:pStyle w:val="Normal"/>
              <w:spacing w:lineRule="auto" w:line="247" w:before="60" w:after="60"/>
              <w:jc w:val="center"/>
              <w:rPr>
                <w:sz w:val="20"/>
                <w:szCs w:val="20"/>
              </w:rPr>
            </w:pPr>
            <w:r>
              <w:rPr>
                <w:sz w:val="20"/>
                <w:szCs w:val="20"/>
              </w:rPr>
              <w:t>Traductora del ESTI</w:t>
            </w:r>
          </w:p>
        </w:tc>
        <w:tc>
          <w:tcPr>
            <w:tcW w:w="2738" w:type="dxa"/>
            <w:gridSpan w:val="4"/>
            <w:tcBorders>
              <w:top w:val="nil"/>
              <w:left w:val="nil"/>
              <w:right w:val="nil"/>
              <w:insideV w:val="nil"/>
            </w:tcBorders>
            <w:shd w:color="auto" w:fill="auto" w:val="clear"/>
            <w:vAlign w:val="center"/>
          </w:tcPr>
          <w:p>
            <w:pPr>
              <w:pStyle w:val="Normal"/>
              <w:spacing w:lineRule="auto" w:line="247" w:before="60" w:after="60"/>
              <w:jc w:val="center"/>
              <w:rPr>
                <w:sz w:val="20"/>
                <w:szCs w:val="20"/>
              </w:rPr>
            </w:pPr>
            <w:bookmarkStart w:id="3854" w:name="_Hlk80696416"/>
            <w:bookmarkEnd w:id="3854"/>
            <w:r>
              <w:rPr>
                <w:sz w:val="20"/>
                <w:szCs w:val="20"/>
              </w:rPr>
              <w:t>Más de 30 años de dominio del inglés</w:t>
            </w:r>
          </w:p>
        </w:tc>
      </w:tr>
    </w:tbl>
    <w:p>
      <w:pPr>
        <w:pStyle w:val="Normal"/>
        <w:rPr/>
      </w:pPr>
      <w:r>
        <w:rPr/>
      </w:r>
    </w:p>
    <w:p>
      <w:pPr>
        <w:pStyle w:val="Heading2"/>
        <w:numPr>
          <w:ilvl w:val="1"/>
          <w:numId w:val="80"/>
        </w:numPr>
        <w:rPr/>
      </w:pPr>
      <w:bookmarkStart w:id="3855" w:name="_Toc84598970"/>
      <w:bookmarkStart w:id="3856" w:name="_Ref77700650"/>
      <w:r>
        <w:rPr/>
        <w:t xml:space="preserve">Anexo </w:t>
      </w:r>
      <w:r>
        <w:rPr/>
        <w:fldChar w:fldCharType="begin"/>
      </w:r>
      <w:r>
        <w:instrText> SEQ Anexo \* ARABIC </w:instrText>
      </w:r>
      <w:r>
        <w:fldChar w:fldCharType="separate"/>
      </w:r>
      <w:r>
        <w:t>16</w:t>
      </w:r>
      <w:r>
        <w:fldChar w:fldCharType="end"/>
      </w:r>
      <w:bookmarkEnd w:id="3855"/>
      <w:bookmarkEnd w:id="3856"/>
      <w:r>
        <w:rPr/>
        <w:t>. Resúmenes en múltiples idiomas generados en el caso de estudio</w:t>
      </w:r>
    </w:p>
    <w:p>
      <w:pPr>
        <w:pStyle w:val="Heading3"/>
        <w:numPr>
          <w:ilvl w:val="2"/>
          <w:numId w:val="80"/>
        </w:numPr>
        <w:rPr/>
      </w:pPr>
      <w:r>
        <w:rPr/>
        <w:t>Resúmenes en español:</w:t>
      </w:r>
    </w:p>
    <w:p>
      <w:pPr>
        <w:pStyle w:val="ListParagraph"/>
        <w:numPr>
          <w:ilvl w:val="0"/>
          <w:numId w:val="73"/>
        </w:numPr>
        <w:rPr/>
      </w:pPr>
      <w:r>
        <w:rPr/>
        <w:t>Muy pocos registros en la base de datos, reportan que en el 94.0% de las veces, los proyectos que tienen calidad del dato regular tienen mala productividad.</w:t>
      </w:r>
    </w:p>
    <w:p>
      <w:pPr>
        <w:pStyle w:val="ListParagraph"/>
        <w:numPr>
          <w:ilvl w:val="0"/>
          <w:numId w:val="73"/>
        </w:numPr>
        <w:rPr/>
      </w:pPr>
      <w:r>
        <w:rPr/>
        <w:t>Pocos registros en la base de datos, reportan que en el 99.0% de las veces, los proyectos que tienen en tiempo la ejecución tienen buena calidad del dato.</w:t>
      </w:r>
    </w:p>
    <w:p>
      <w:pPr>
        <w:pStyle w:val="ListParagraph"/>
        <w:numPr>
          <w:ilvl w:val="0"/>
          <w:numId w:val="73"/>
        </w:numPr>
        <w:rPr/>
      </w:pPr>
      <w:r>
        <w:rPr/>
        <w:t>Aproximadamente la mitad de los registros en la base de datos, reportan que en el 99.0% de las veces, los proyectos que tienen mal rendimiento de la ejecución tienen mala evaluación del proyecto.</w:t>
      </w:r>
    </w:p>
    <w:p>
      <w:pPr>
        <w:pStyle w:val="ListParagraph"/>
        <w:numPr>
          <w:ilvl w:val="0"/>
          <w:numId w:val="73"/>
        </w:numPr>
        <w:rPr/>
      </w:pPr>
      <w:r>
        <w:rPr/>
        <w:t>Muy pocos registros en la base de datos, reportan que en el 94.0% de las veces, los proyectos que tienen buena eficacia en la gestión del alcance tienen buen rendimiento de la planificación.</w:t>
      </w:r>
    </w:p>
    <w:p>
      <w:pPr>
        <w:pStyle w:val="ListParagraph"/>
        <w:numPr>
          <w:ilvl w:val="0"/>
          <w:numId w:val="73"/>
        </w:numPr>
        <w:rPr/>
      </w:pPr>
      <w:r>
        <w:rPr/>
        <w:t>Pocos registros en la base de datos, reportan que en el 96.0% de las veces, los proyectos que tienen mal rendimiento de la planificación tienen muy atrasada la ejecución.</w:t>
      </w:r>
    </w:p>
    <w:p>
      <w:pPr>
        <w:pStyle w:val="ListParagraph"/>
        <w:numPr>
          <w:ilvl w:val="0"/>
          <w:numId w:val="73"/>
        </w:numPr>
        <w:rPr/>
      </w:pPr>
      <w:r>
        <w:rPr/>
        <w:t>Aproximadamente la mitad de los registros en la base de datos, reportan que en el 99.0% de las veces, los proyectos que tienen rendimiento regular de los recursos humanos tienen buena calidad del dato.</w:t>
      </w:r>
    </w:p>
    <w:p>
      <w:pPr>
        <w:pStyle w:val="ListParagraph"/>
        <w:numPr>
          <w:ilvl w:val="0"/>
          <w:numId w:val="73"/>
        </w:numPr>
        <w:rPr/>
      </w:pPr>
      <w:r>
        <w:rPr/>
        <w:t>Algunos registros en la base de datos, reportan que en el 95.0% de las veces, los proyectos que tienen buena productividad tienen buena evaluación del proyecto.</w:t>
      </w:r>
    </w:p>
    <w:p>
      <w:pPr>
        <w:pStyle w:val="ListParagraph"/>
        <w:numPr>
          <w:ilvl w:val="0"/>
          <w:numId w:val="73"/>
        </w:numPr>
        <w:rPr/>
      </w:pPr>
      <w:r>
        <w:rPr/>
        <w:t>Muy pocos registros en la base de datos, reportan que en el 100.0% de las veces, los proyectos que tienen productividad regular tienen buena calidad del dato.</w:t>
      </w:r>
    </w:p>
    <w:p>
      <w:pPr>
        <w:pStyle w:val="ListParagraph"/>
        <w:numPr>
          <w:ilvl w:val="0"/>
          <w:numId w:val="73"/>
        </w:numPr>
        <w:rPr/>
      </w:pPr>
      <w:r>
        <w:rPr/>
        <w:t>Aproximadamente la mitad de los registros en la base de datos, reportan que en el 99.0% de las veces, los proyectos que tienen mala evaluación del proyecto tienen mala productividad.</w:t>
      </w:r>
    </w:p>
    <w:p>
      <w:pPr>
        <w:pStyle w:val="ListParagraph"/>
        <w:numPr>
          <w:ilvl w:val="0"/>
          <w:numId w:val="73"/>
        </w:numPr>
        <w:rPr/>
      </w:pPr>
      <w:r>
        <w:rPr/>
        <w:t>Algunos registros en la base de datos, reportan que en el 96.0% de las veces, los proyectos que tienen buena evaluación del proyecto tienen buen rendimiento de la planificación.</w:t>
      </w:r>
    </w:p>
    <w:p>
      <w:pPr>
        <w:pStyle w:val="ListParagraph"/>
        <w:numPr>
          <w:ilvl w:val="0"/>
          <w:numId w:val="73"/>
        </w:numPr>
        <w:rPr/>
      </w:pPr>
      <w:r>
        <w:rPr/>
        <w:t>Casi la totalidad de los proyectos que tienen mala evaluación del proyecto tienen mala productividad.</w:t>
      </w:r>
    </w:p>
    <w:p>
      <w:pPr>
        <w:pStyle w:val="ListParagraph"/>
        <w:numPr>
          <w:ilvl w:val="0"/>
          <w:numId w:val="73"/>
        </w:numPr>
        <w:rPr/>
      </w:pPr>
      <w:r>
        <w:rPr/>
        <w:t>Casi la totalidad de los proyectos que tienen buena evaluación del proyecto tienen buen rendimiento de la planificación.</w:t>
      </w:r>
    </w:p>
    <w:p>
      <w:pPr>
        <w:pStyle w:val="ListParagraph"/>
        <w:numPr>
          <w:ilvl w:val="0"/>
          <w:numId w:val="73"/>
        </w:numPr>
        <w:rPr/>
      </w:pPr>
      <w:r>
        <w:rPr/>
        <w:t>Casi la totalidad de los proyectos que tienen evaluación regular del proyecto tienen buena calidad del dato.</w:t>
      </w:r>
    </w:p>
    <w:p>
      <w:pPr>
        <w:pStyle w:val="ListParagraph"/>
        <w:numPr>
          <w:ilvl w:val="0"/>
          <w:numId w:val="73"/>
        </w:numPr>
        <w:rPr/>
      </w:pPr>
      <w:r>
        <w:rPr/>
        <w:t>Casi la totalidad de los proyectos que tienen calidad del dato regular y muy atrasada la ejecución tienen mala productividad.</w:t>
      </w:r>
    </w:p>
    <w:p>
      <w:pPr>
        <w:pStyle w:val="ListParagraph"/>
        <w:numPr>
          <w:ilvl w:val="0"/>
          <w:numId w:val="73"/>
        </w:numPr>
        <w:rPr/>
      </w:pPr>
      <w:r>
        <w:rPr/>
        <w:t>Casi la totalidad de los proyectos que tienen buen rendimiento de la ejecución y buen rendimiento de la planificación tienen buena calidad del dato.</w:t>
      </w:r>
    </w:p>
    <w:p>
      <w:pPr>
        <w:pStyle w:val="ListParagraph"/>
        <w:numPr>
          <w:ilvl w:val="0"/>
          <w:numId w:val="73"/>
        </w:numPr>
        <w:rPr/>
      </w:pPr>
      <w:r>
        <w:rPr/>
        <w:t>Casi la totalidad de los proyectos que tienen mala productividad y buena calidad del dato tienen muy atrasada la ejecución.</w:t>
      </w:r>
    </w:p>
    <w:p>
      <w:pPr>
        <w:pStyle w:val="ListParagraph"/>
        <w:numPr>
          <w:ilvl w:val="0"/>
          <w:numId w:val="73"/>
        </w:numPr>
        <w:rPr/>
      </w:pPr>
      <w:r>
        <w:rPr/>
        <w:t>Casi la totalidad de los proyectos que tienen mal rendimiento de la planificación y mala productividad tienen mala evaluación del proyecto.</w:t>
      </w:r>
    </w:p>
    <w:p>
      <w:pPr>
        <w:pStyle w:val="ListParagraph"/>
        <w:numPr>
          <w:ilvl w:val="0"/>
          <w:numId w:val="73"/>
        </w:numPr>
        <w:rPr/>
      </w:pPr>
      <w:r>
        <w:rPr/>
        <w:t>Casi la totalidad de los proyectos que tienen mal rendimiento de la planificación y mala evaluación del proyecto tienen mala productividad.</w:t>
      </w:r>
    </w:p>
    <w:p>
      <w:pPr>
        <w:pStyle w:val="ListParagraph"/>
        <w:numPr>
          <w:ilvl w:val="0"/>
          <w:numId w:val="73"/>
        </w:numPr>
        <w:rPr/>
      </w:pPr>
      <w:r>
        <w:rPr/>
        <w:t>Casi la totalidad de los proyectos que tienen mal rendimiento de la planificación y mala eficacia en la gestión del alcance y mal rendimiento de los recursos humanos tienen mala evaluación del proyecto.</w:t>
      </w:r>
    </w:p>
    <w:p>
      <w:pPr>
        <w:pStyle w:val="ListParagraph"/>
        <w:numPr>
          <w:ilvl w:val="0"/>
          <w:numId w:val="73"/>
        </w:numPr>
        <w:rPr/>
      </w:pPr>
      <w:r>
        <w:rPr/>
        <w:t>Casi la totalidad de los proyectos que tienen mal rendimiento de la planificación y mala eficacia en la gestión del alcance y mala productividad tienen mala evaluación del proyecto.</w:t>
      </w:r>
    </w:p>
    <w:p>
      <w:pPr>
        <w:pStyle w:val="Heading3"/>
        <w:numPr>
          <w:ilvl w:val="2"/>
          <w:numId w:val="80"/>
        </w:numPr>
        <w:rPr/>
      </w:pPr>
      <w:r>
        <w:rPr/>
        <w:t>Resúmenes en inglés:</w:t>
      </w:r>
    </w:p>
    <w:p>
      <w:pPr>
        <w:pStyle w:val="ListParagraph"/>
        <w:numPr>
          <w:ilvl w:val="0"/>
          <w:numId w:val="74"/>
        </w:numPr>
        <w:rPr>
          <w:lang w:val="en-US"/>
        </w:rPr>
      </w:pPr>
      <w:r>
        <w:rPr>
          <w:lang w:val="en-US"/>
        </w:rPr>
        <w:t>Very few records show, that 94.0% of times projects with regular data quality, have bad productivity.</w:t>
      </w:r>
    </w:p>
    <w:p>
      <w:pPr>
        <w:pStyle w:val="ListParagraph"/>
        <w:numPr>
          <w:ilvl w:val="0"/>
          <w:numId w:val="74"/>
        </w:numPr>
        <w:rPr>
          <w:lang w:val="en-US"/>
        </w:rPr>
      </w:pPr>
      <w:r>
        <w:rPr>
          <w:lang w:val="en-US"/>
        </w:rPr>
        <w:t>Few records show, that 99.0% of times projects with in time execution, have good data quality.</w:t>
      </w:r>
    </w:p>
    <w:p>
      <w:pPr>
        <w:pStyle w:val="ListParagraph"/>
        <w:numPr>
          <w:ilvl w:val="0"/>
          <w:numId w:val="74"/>
        </w:numPr>
        <w:rPr>
          <w:lang w:val="en-US"/>
        </w:rPr>
      </w:pPr>
      <w:r>
        <w:rPr>
          <w:lang w:val="en-US"/>
        </w:rPr>
        <w:t>Around a half of records show, that 99.0% of times projects with bad execution performance, have bad project evaluation.</w:t>
      </w:r>
    </w:p>
    <w:p>
      <w:pPr>
        <w:pStyle w:val="ListParagraph"/>
        <w:numPr>
          <w:ilvl w:val="0"/>
          <w:numId w:val="74"/>
        </w:numPr>
        <w:rPr>
          <w:lang w:val="en-US"/>
        </w:rPr>
      </w:pPr>
      <w:r>
        <w:rPr>
          <w:lang w:val="en-US"/>
        </w:rPr>
        <w:t>Very few records show, that 94.0% of times projects with good effectiveness in scope management, have good planning performance.</w:t>
      </w:r>
    </w:p>
    <w:p>
      <w:pPr>
        <w:pStyle w:val="ListParagraph"/>
        <w:numPr>
          <w:ilvl w:val="0"/>
          <w:numId w:val="74"/>
        </w:numPr>
        <w:rPr>
          <w:lang w:val="en-US"/>
        </w:rPr>
      </w:pPr>
      <w:r>
        <w:rPr>
          <w:lang w:val="en-US"/>
        </w:rPr>
        <w:t>Few records show, that 96.0% of times projects with bad planning performance, have execution very late.</w:t>
      </w:r>
    </w:p>
    <w:p>
      <w:pPr>
        <w:pStyle w:val="ListParagraph"/>
        <w:numPr>
          <w:ilvl w:val="0"/>
          <w:numId w:val="74"/>
        </w:numPr>
        <w:rPr>
          <w:lang w:val="en-US"/>
        </w:rPr>
      </w:pPr>
      <w:r>
        <w:rPr>
          <w:lang w:val="en-US"/>
        </w:rPr>
        <w:t>Around a half of records show, that 99.0% of times projects with regular performance of human resources, have good data quality.</w:t>
      </w:r>
    </w:p>
    <w:p>
      <w:pPr>
        <w:pStyle w:val="ListParagraph"/>
        <w:numPr>
          <w:ilvl w:val="0"/>
          <w:numId w:val="74"/>
        </w:numPr>
        <w:rPr>
          <w:lang w:val="en-US"/>
        </w:rPr>
      </w:pPr>
      <w:r>
        <w:rPr>
          <w:lang w:val="en-US"/>
        </w:rPr>
        <w:t>Some records show, that 95.0% of times projects with good productivity, have good project evaluation.</w:t>
      </w:r>
    </w:p>
    <w:p>
      <w:pPr>
        <w:pStyle w:val="ListParagraph"/>
        <w:numPr>
          <w:ilvl w:val="0"/>
          <w:numId w:val="74"/>
        </w:numPr>
        <w:rPr>
          <w:lang w:val="en-US"/>
        </w:rPr>
      </w:pPr>
      <w:r>
        <w:rPr>
          <w:lang w:val="en-US"/>
        </w:rPr>
        <w:t>Very few records show, that 100.0% of times projects with regular productivity, have good data quality.</w:t>
      </w:r>
    </w:p>
    <w:p>
      <w:pPr>
        <w:pStyle w:val="ListParagraph"/>
        <w:numPr>
          <w:ilvl w:val="0"/>
          <w:numId w:val="74"/>
        </w:numPr>
        <w:rPr>
          <w:lang w:val="en-US"/>
        </w:rPr>
      </w:pPr>
      <w:r>
        <w:rPr>
          <w:lang w:val="en-US"/>
        </w:rPr>
        <w:t>Around a half of records show, that 99.0% of times projects with bad project evaluation, have bad productivity.</w:t>
      </w:r>
    </w:p>
    <w:p>
      <w:pPr>
        <w:pStyle w:val="ListParagraph"/>
        <w:numPr>
          <w:ilvl w:val="0"/>
          <w:numId w:val="74"/>
        </w:numPr>
        <w:rPr>
          <w:lang w:val="en-US"/>
        </w:rPr>
      </w:pPr>
      <w:r>
        <w:rPr>
          <w:lang w:val="en-US"/>
        </w:rPr>
        <w:t>Some records show, that 96.0% of times projects with good project evaluation, have good planning performance.</w:t>
      </w:r>
    </w:p>
    <w:p>
      <w:pPr>
        <w:pStyle w:val="ListParagraph"/>
        <w:numPr>
          <w:ilvl w:val="0"/>
          <w:numId w:val="74"/>
        </w:numPr>
        <w:rPr>
          <w:lang w:val="en-US"/>
        </w:rPr>
      </w:pPr>
      <w:r>
        <w:rPr>
          <w:lang w:val="en-US"/>
        </w:rPr>
        <w:t>Almost all projects with bad project evaluation have bad productivity.</w:t>
      </w:r>
    </w:p>
    <w:p>
      <w:pPr>
        <w:pStyle w:val="ListParagraph"/>
        <w:numPr>
          <w:ilvl w:val="0"/>
          <w:numId w:val="74"/>
        </w:numPr>
        <w:rPr>
          <w:lang w:val="en-US"/>
        </w:rPr>
      </w:pPr>
      <w:r>
        <w:rPr>
          <w:lang w:val="en-US"/>
        </w:rPr>
        <w:t>Almost all projects with good project evaluation have good planning performance.</w:t>
      </w:r>
    </w:p>
    <w:p>
      <w:pPr>
        <w:pStyle w:val="ListParagraph"/>
        <w:numPr>
          <w:ilvl w:val="0"/>
          <w:numId w:val="74"/>
        </w:numPr>
        <w:rPr>
          <w:lang w:val="en-US"/>
        </w:rPr>
      </w:pPr>
      <w:r>
        <w:rPr>
          <w:lang w:val="en-US"/>
        </w:rPr>
        <w:t>Almost all projects with regular project evaluation have good data quality.</w:t>
      </w:r>
    </w:p>
    <w:p>
      <w:pPr>
        <w:pStyle w:val="ListParagraph"/>
        <w:numPr>
          <w:ilvl w:val="0"/>
          <w:numId w:val="74"/>
        </w:numPr>
        <w:rPr>
          <w:lang w:val="en-US"/>
        </w:rPr>
      </w:pPr>
      <w:r>
        <w:rPr>
          <w:lang w:val="en-US"/>
        </w:rPr>
        <w:t>Almost all projects with regular data quality and execution very late have bad productivity.</w:t>
      </w:r>
    </w:p>
    <w:p>
      <w:pPr>
        <w:pStyle w:val="ListParagraph"/>
        <w:numPr>
          <w:ilvl w:val="0"/>
          <w:numId w:val="74"/>
        </w:numPr>
        <w:rPr>
          <w:lang w:val="en-US"/>
        </w:rPr>
      </w:pPr>
      <w:r>
        <w:rPr>
          <w:lang w:val="en-US"/>
        </w:rPr>
        <w:t>Almost all projects with good execution performance and good planning performance have good data quality.</w:t>
      </w:r>
    </w:p>
    <w:p>
      <w:pPr>
        <w:pStyle w:val="ListParagraph"/>
        <w:numPr>
          <w:ilvl w:val="0"/>
          <w:numId w:val="74"/>
        </w:numPr>
        <w:rPr>
          <w:lang w:val="en-US"/>
        </w:rPr>
      </w:pPr>
      <w:r>
        <w:rPr>
          <w:lang w:val="en-US"/>
        </w:rPr>
        <w:t>Almost all projects with bad productivity and good data quality have execution very late.</w:t>
      </w:r>
    </w:p>
    <w:p>
      <w:pPr>
        <w:pStyle w:val="ListParagraph"/>
        <w:numPr>
          <w:ilvl w:val="0"/>
          <w:numId w:val="74"/>
        </w:numPr>
        <w:rPr>
          <w:lang w:val="en-US"/>
        </w:rPr>
      </w:pPr>
      <w:r>
        <w:rPr>
          <w:lang w:val="en-US"/>
        </w:rPr>
        <w:t>Almost all projects with bad planning performance and bad productivity have bad project evaluation.</w:t>
      </w:r>
    </w:p>
    <w:p>
      <w:pPr>
        <w:pStyle w:val="ListParagraph"/>
        <w:numPr>
          <w:ilvl w:val="0"/>
          <w:numId w:val="74"/>
        </w:numPr>
        <w:rPr>
          <w:lang w:val="en-US"/>
        </w:rPr>
      </w:pPr>
      <w:r>
        <w:rPr>
          <w:lang w:val="en-US"/>
        </w:rPr>
        <w:t>Almost all projects with bad planning performance and bad project evaluation have bad productivity.</w:t>
      </w:r>
    </w:p>
    <w:p>
      <w:pPr>
        <w:pStyle w:val="ListParagraph"/>
        <w:numPr>
          <w:ilvl w:val="0"/>
          <w:numId w:val="74"/>
        </w:numPr>
        <w:rPr>
          <w:lang w:val="en-US"/>
        </w:rPr>
      </w:pPr>
      <w:r>
        <w:rPr>
          <w:lang w:val="en-US"/>
        </w:rPr>
        <w:t>Almost all projects with bad planning performance and bad effectiveness in scope management and bad performance of human resources have bad project evaluation.</w:t>
      </w:r>
    </w:p>
    <w:p>
      <w:pPr>
        <w:pStyle w:val="ListParagraph"/>
        <w:numPr>
          <w:ilvl w:val="0"/>
          <w:numId w:val="74"/>
        </w:numPr>
        <w:rPr>
          <w:lang w:val="en-US"/>
        </w:rPr>
      </w:pPr>
      <w:r>
        <w:rPr>
          <w:lang w:val="en-US"/>
        </w:rPr>
        <w:t>Almost all projects with bad planning performance and bad effectiveness in scope management and bad productivity have bad project evaluation.</w:t>
      </w:r>
    </w:p>
    <w:p>
      <w:pPr>
        <w:pStyle w:val="Heading3"/>
        <w:numPr>
          <w:ilvl w:val="2"/>
          <w:numId w:val="80"/>
        </w:numPr>
        <w:rPr/>
      </w:pPr>
      <w:r>
        <w:rPr/>
        <w:t>Resúmenes en japonés:</w:t>
      </w:r>
    </w:p>
    <w:p>
      <w:pPr>
        <w:pStyle w:val="ListParagraph"/>
        <w:numPr>
          <w:ilvl w:val="0"/>
          <w:numId w:val="88"/>
        </w:numPr>
        <w:spacing w:lineRule="auto" w:line="240" w:before="60" w:after="60"/>
        <w:ind w:left="714" w:hanging="357"/>
        <w:rPr>
          <w:rFonts w:cs="Arial"/>
          <w:lang w:val="en-US"/>
        </w:rPr>
      </w:pPr>
      <w:bookmarkStart w:id="3857" w:name="__DdeLink__55_2112380989"/>
      <w:r>
        <w:rPr>
          <w:rFonts w:cs="Arial"/>
          <w:lang w:val="en-US"/>
        </w:rPr>
        <w:t>データベース内の</w:t>
      </w:r>
      <w:bookmarkEnd w:id="3857"/>
      <w:r>
        <w:rPr>
          <w:rFonts w:cs="Arial"/>
          <w:lang w:val="en-US"/>
        </w:rPr>
        <w:t>非常に数少ない記録が、</w:t>
      </w:r>
      <w:r>
        <w:rPr>
          <w:rFonts w:cs="Arial"/>
          <w:lang w:val="en-US"/>
        </w:rPr>
        <w:t>94.0</w:t>
      </w:r>
      <w:r>
        <w:rPr>
          <w:rFonts w:cs="Arial"/>
          <w:lang w:val="en-US"/>
        </w:rPr>
        <w:t>％の確率で、データ品質が中級程度のプロジェクトは生産性が悪いと報告しています。</w:t>
      </w:r>
    </w:p>
    <w:p>
      <w:pPr>
        <w:pStyle w:val="ListParagraph"/>
        <w:numPr>
          <w:ilvl w:val="0"/>
          <w:numId w:val="88"/>
        </w:numPr>
        <w:spacing w:lineRule="auto" w:line="240" w:before="60" w:after="60"/>
        <w:ind w:left="714" w:hanging="357"/>
        <w:rPr>
          <w:rFonts w:cs="Arial"/>
          <w:lang w:val="en-US"/>
        </w:rPr>
      </w:pPr>
      <w:r>
        <w:rPr>
          <w:rFonts w:cs="Arial"/>
          <w:lang w:val="en-US"/>
        </w:rPr>
        <w:t>データベース内の少数の</w:t>
      </w:r>
      <w:bookmarkStart w:id="3858" w:name="__DdeLink__73_2112380989"/>
      <w:r>
        <w:rPr>
          <w:rFonts w:cs="Arial"/>
          <w:lang w:val="en-US"/>
        </w:rPr>
        <w:t>記録</w:t>
      </w:r>
      <w:bookmarkEnd w:id="3858"/>
      <w:r>
        <w:rPr>
          <w:rFonts w:cs="Arial"/>
          <w:lang w:val="en-US"/>
        </w:rPr>
        <w:t>が、</w:t>
      </w:r>
      <w:r>
        <w:rPr>
          <w:rFonts w:cs="Arial"/>
          <w:lang w:val="en-US"/>
        </w:rPr>
        <w:t>99.0</w:t>
      </w:r>
      <w:r>
        <w:rPr>
          <w:rFonts w:cs="Arial"/>
          <w:lang w:val="en-US"/>
        </w:rPr>
        <w:t>％の確率で、実行時間内に終了するプロジェクトはデータ品質が良いと報告しています。</w:t>
      </w:r>
    </w:p>
    <w:p>
      <w:pPr>
        <w:pStyle w:val="ListParagraph"/>
        <w:numPr>
          <w:ilvl w:val="0"/>
          <w:numId w:val="88"/>
        </w:numPr>
        <w:spacing w:lineRule="auto" w:line="240" w:before="60" w:after="60"/>
        <w:ind w:left="714" w:hanging="357"/>
        <w:rPr>
          <w:rFonts w:cs="Arial"/>
          <w:lang w:val="en-US"/>
        </w:rPr>
      </w:pPr>
      <w:r>
        <w:rPr>
          <w:rFonts w:cs="Arial"/>
          <w:lang w:val="en-US"/>
        </w:rPr>
        <w:t>データーベース内の</w:t>
      </w:r>
      <w:bookmarkStart w:id="3859" w:name="__DdeLink__68_2112380989"/>
      <w:r>
        <w:rPr>
          <w:rFonts w:cs="Arial"/>
          <w:lang w:val="en-US"/>
        </w:rPr>
        <w:t>約半分</w:t>
      </w:r>
      <w:bookmarkStart w:id="3860" w:name="__DdeLink__71_2112380989"/>
      <w:bookmarkEnd w:id="3859"/>
      <w:r>
        <w:rPr>
          <w:rFonts w:cs="Arial"/>
          <w:lang w:val="en-US"/>
        </w:rPr>
        <w:t>の</w:t>
      </w:r>
      <w:bookmarkEnd w:id="3860"/>
      <w:r>
        <w:rPr>
          <w:rFonts w:cs="Arial"/>
          <w:lang w:val="en-US"/>
        </w:rPr>
        <w:t>記録が、</w:t>
      </w:r>
      <w:r>
        <w:rPr>
          <w:rFonts w:cs="Arial"/>
          <w:lang w:val="en-US"/>
        </w:rPr>
        <w:t>99.0%</w:t>
      </w:r>
      <w:r>
        <w:rPr>
          <w:rFonts w:cs="Arial"/>
          <w:lang w:val="en-US"/>
        </w:rPr>
        <w:t>の確率で実行パフォーマンスの悪いプロジェクトはプロジェクト評価が低いと報告しています。</w:t>
      </w:r>
    </w:p>
    <w:p>
      <w:pPr>
        <w:pStyle w:val="ListParagraph"/>
        <w:numPr>
          <w:ilvl w:val="0"/>
          <w:numId w:val="88"/>
        </w:numPr>
        <w:spacing w:lineRule="auto" w:line="240" w:before="60" w:after="60"/>
        <w:ind w:left="714" w:hanging="357"/>
        <w:rPr>
          <w:rFonts w:cs="Arial"/>
          <w:lang w:val="en-US"/>
        </w:rPr>
      </w:pPr>
      <w:r>
        <w:rPr>
          <w:rFonts w:cs="Arial"/>
          <w:lang w:val="en-US"/>
        </w:rPr>
        <w:t>データーベース内の</w:t>
      </w:r>
      <w:bookmarkStart w:id="3861" w:name="__DdeLink__80_2112380989"/>
      <w:r>
        <w:rPr>
          <w:rFonts w:cs="Arial"/>
          <w:lang w:val="en-US"/>
        </w:rPr>
        <w:t>非常に少数</w:t>
      </w:r>
      <w:bookmarkEnd w:id="3861"/>
      <w:r>
        <w:rPr>
          <w:rFonts w:cs="Arial"/>
          <w:lang w:val="en-US"/>
        </w:rPr>
        <w:t>の記録が、</w:t>
      </w:r>
      <w:r>
        <w:rPr>
          <w:rFonts w:cs="Arial"/>
          <w:lang w:val="en-US"/>
        </w:rPr>
        <w:t>94.0</w:t>
      </w:r>
      <w:r>
        <w:rPr>
          <w:rFonts w:cs="Arial"/>
          <w:lang w:val="en-US"/>
        </w:rPr>
        <w:t>％の確率で、目的達成の効率がよいプロジェクトは、計画性が高いと報告しています。</w:t>
      </w:r>
    </w:p>
    <w:p>
      <w:pPr>
        <w:pStyle w:val="ListParagraph"/>
        <w:numPr>
          <w:ilvl w:val="0"/>
          <w:numId w:val="88"/>
        </w:numPr>
        <w:spacing w:lineRule="auto" w:line="240" w:before="60" w:after="60"/>
        <w:ind w:left="714" w:hanging="357"/>
        <w:rPr>
          <w:rFonts w:cs="Arial"/>
          <w:lang w:val="en-US"/>
        </w:rPr>
      </w:pPr>
      <w:r>
        <w:rPr>
          <w:rFonts w:cs="Arial"/>
          <w:lang w:val="en-US"/>
        </w:rPr>
        <w:t>データベース内の数少ない記録が、</w:t>
      </w:r>
      <w:r>
        <w:rPr>
          <w:rFonts w:cs="Arial"/>
          <w:lang w:val="en-US"/>
        </w:rPr>
        <w:t>96.0</w:t>
      </w:r>
      <w:r>
        <w:rPr>
          <w:rFonts w:cs="Arial"/>
          <w:lang w:val="en-US"/>
        </w:rPr>
        <w:t>％の確率で、計画性の悪いプロジェクトは実行がとても遅いと報告しています。</w:t>
      </w:r>
    </w:p>
    <w:p>
      <w:pPr>
        <w:pStyle w:val="ListParagraph"/>
        <w:numPr>
          <w:ilvl w:val="0"/>
          <w:numId w:val="88"/>
        </w:numPr>
        <w:spacing w:lineRule="auto" w:line="240" w:before="60" w:after="60"/>
        <w:ind w:left="714" w:hanging="357"/>
        <w:rPr>
          <w:rFonts w:cs="Arial"/>
          <w:lang w:val="en-US"/>
        </w:rPr>
      </w:pPr>
      <w:r>
        <w:rPr>
          <w:rFonts w:cs="Arial"/>
          <w:lang w:val="en-US"/>
        </w:rPr>
        <w:t>データーベースの内約半数の記録が、</w:t>
      </w:r>
      <w:r>
        <w:rPr>
          <w:rFonts w:cs="Arial"/>
          <w:lang w:val="en-US"/>
        </w:rPr>
        <w:t>99.0</w:t>
      </w:r>
      <w:r>
        <w:rPr>
          <w:rFonts w:cs="Arial"/>
          <w:lang w:val="en-US"/>
        </w:rPr>
        <w:t>％の確率で、人事パフォーマンスが中級程度のプロジェクトはデーター品質が良いと報告しています。</w:t>
      </w:r>
    </w:p>
    <w:p>
      <w:pPr>
        <w:pStyle w:val="ListParagraph"/>
        <w:numPr>
          <w:ilvl w:val="0"/>
          <w:numId w:val="88"/>
        </w:numPr>
        <w:spacing w:lineRule="auto" w:line="240" w:before="60" w:after="60"/>
        <w:ind w:left="714" w:hanging="357"/>
        <w:rPr>
          <w:rFonts w:cs="Arial"/>
          <w:lang w:val="en-US"/>
        </w:rPr>
      </w:pPr>
      <w:r>
        <w:rPr>
          <w:rFonts w:cs="Arial"/>
          <w:lang w:val="en-US"/>
        </w:rPr>
        <w:t>データーベース内のいくつかの記録が、</w:t>
      </w:r>
      <w:r>
        <w:rPr>
          <w:rFonts w:cs="Arial"/>
          <w:lang w:val="en-US"/>
        </w:rPr>
        <w:t>95.0</w:t>
      </w:r>
      <w:r>
        <w:rPr>
          <w:rFonts w:cs="Arial"/>
          <w:lang w:val="en-US"/>
        </w:rPr>
        <w:t>％の確率で、生産性の高いプロジェクトは評価が高いと報告しています。</w:t>
      </w:r>
    </w:p>
    <w:p>
      <w:pPr>
        <w:pStyle w:val="ListParagraph"/>
        <w:numPr>
          <w:ilvl w:val="0"/>
          <w:numId w:val="88"/>
        </w:numPr>
        <w:spacing w:lineRule="auto" w:line="240" w:before="60" w:after="60"/>
        <w:ind w:left="714" w:hanging="357"/>
        <w:rPr>
          <w:rFonts w:cs="Arial"/>
          <w:lang w:val="en-US"/>
        </w:rPr>
      </w:pPr>
      <w:r>
        <w:rPr>
          <w:rFonts w:cs="Arial"/>
          <w:lang w:val="en-US"/>
        </w:rPr>
        <w:t>データーベース内の非常に少数の記録が、</w:t>
      </w:r>
      <w:r>
        <w:rPr>
          <w:rFonts w:cs="Arial"/>
          <w:lang w:val="en-US"/>
        </w:rPr>
        <w:t>100.0</w:t>
      </w:r>
      <w:r>
        <w:rPr>
          <w:rFonts w:cs="Arial"/>
          <w:lang w:val="en-US"/>
        </w:rPr>
        <w:t>％の確率で、生産性が中級程度のプロジェクトは、データー品質が良いと報告しています。</w:t>
      </w:r>
    </w:p>
    <w:p>
      <w:pPr>
        <w:pStyle w:val="ListParagraph"/>
        <w:numPr>
          <w:ilvl w:val="0"/>
          <w:numId w:val="88"/>
        </w:numPr>
        <w:spacing w:lineRule="auto" w:line="240" w:before="60" w:after="60"/>
        <w:ind w:left="714" w:hanging="357"/>
        <w:rPr>
          <w:rFonts w:cs="Arial"/>
          <w:lang w:val="en-US"/>
        </w:rPr>
      </w:pPr>
      <w:r>
        <w:rPr>
          <w:rFonts w:cs="Arial"/>
          <w:lang w:val="en-US"/>
        </w:rPr>
        <w:t>データーベース内の約半分の記録が、</w:t>
      </w:r>
      <w:r>
        <w:rPr>
          <w:rFonts w:cs="Arial"/>
          <w:lang w:val="en-US"/>
        </w:rPr>
        <w:t>99.0</w:t>
      </w:r>
      <w:r>
        <w:rPr>
          <w:rFonts w:cs="Arial"/>
          <w:lang w:val="en-US"/>
        </w:rPr>
        <w:t>％の確率で、評価の低いプロジェクトは生産性が低いと報告しています。</w:t>
      </w:r>
    </w:p>
    <w:p>
      <w:pPr>
        <w:pStyle w:val="ListParagraph"/>
        <w:numPr>
          <w:ilvl w:val="0"/>
          <w:numId w:val="88"/>
        </w:numPr>
        <w:spacing w:lineRule="auto" w:line="240" w:before="60" w:after="60"/>
        <w:ind w:left="714" w:hanging="357"/>
        <w:rPr>
          <w:rFonts w:cs="Arial"/>
          <w:lang w:val="en-US"/>
        </w:rPr>
      </w:pPr>
      <w:r>
        <w:rPr>
          <w:rFonts w:cs="Arial"/>
          <w:lang w:val="en-US"/>
        </w:rPr>
        <w:t>データベース内のいくつか記録が、</w:t>
      </w:r>
      <w:r>
        <w:rPr>
          <w:rFonts w:cs="Arial"/>
          <w:lang w:val="en-US"/>
        </w:rPr>
        <w:t>96.0</w:t>
      </w:r>
      <w:r>
        <w:rPr>
          <w:rFonts w:cs="Arial"/>
          <w:lang w:val="en-US"/>
        </w:rPr>
        <w:t>％の確率で、評価の高いプロジェクトは計画性が高いと報告しています。</w:t>
      </w:r>
    </w:p>
    <w:p>
      <w:pPr>
        <w:pStyle w:val="ListParagraph"/>
        <w:numPr>
          <w:ilvl w:val="0"/>
          <w:numId w:val="88"/>
        </w:numPr>
        <w:spacing w:lineRule="auto" w:line="240" w:before="60" w:after="60"/>
        <w:ind w:left="714" w:hanging="357"/>
        <w:rPr>
          <w:rFonts w:cs="Arial"/>
          <w:lang w:val="en-US"/>
        </w:rPr>
      </w:pPr>
      <w:bookmarkStart w:id="3862" w:name="_gjdgxs"/>
      <w:bookmarkEnd w:id="3862"/>
      <w:r>
        <w:rPr>
          <w:rFonts w:cs="Arial"/>
          <w:lang w:val="en-US"/>
        </w:rPr>
        <w:t>評価の低いプロジェクトのほとんど</w:t>
      </w:r>
      <w:bookmarkStart w:id="3863" w:name="__DdeLink__94_2112380989"/>
      <w:r>
        <w:rPr>
          <w:rFonts w:cs="Arial"/>
          <w:lang w:val="en-US"/>
        </w:rPr>
        <w:t>は、</w:t>
      </w:r>
      <w:bookmarkEnd w:id="3863"/>
      <w:r>
        <w:rPr>
          <w:rFonts w:cs="Arial"/>
          <w:lang w:val="en-US"/>
        </w:rPr>
        <w:t>生産性が低い</w:t>
      </w:r>
      <w:bookmarkStart w:id="3864" w:name="__DdeLink__99_2112380989"/>
      <w:r>
        <w:rPr>
          <w:rFonts w:cs="Arial"/>
          <w:lang w:val="en-US"/>
        </w:rPr>
        <w:t>です</w:t>
      </w:r>
      <w:bookmarkEnd w:id="3864"/>
      <w:r>
        <w:rPr>
          <w:rFonts w:cs="Arial"/>
          <w:lang w:val="en-US"/>
        </w:rPr>
        <w:t>。</w:t>
      </w:r>
    </w:p>
    <w:p>
      <w:pPr>
        <w:pStyle w:val="ListParagraph"/>
        <w:numPr>
          <w:ilvl w:val="0"/>
          <w:numId w:val="88"/>
        </w:numPr>
        <w:spacing w:lineRule="auto" w:line="240" w:before="60" w:after="60"/>
        <w:ind w:left="714" w:hanging="357"/>
        <w:rPr>
          <w:rFonts w:cs="Arial"/>
          <w:lang w:val="en-US"/>
        </w:rPr>
      </w:pPr>
      <w:r>
        <w:rPr>
          <w:rFonts w:cs="Arial"/>
          <w:lang w:val="en-US"/>
        </w:rPr>
        <w:t>評価の高いプロジェクトのほとんどは、計画性が高いです。</w:t>
      </w:r>
    </w:p>
    <w:p>
      <w:pPr>
        <w:pStyle w:val="ListParagraph"/>
        <w:numPr>
          <w:ilvl w:val="0"/>
          <w:numId w:val="88"/>
        </w:numPr>
        <w:spacing w:lineRule="auto" w:line="240" w:before="60" w:after="60"/>
        <w:ind w:left="714" w:hanging="357"/>
        <w:rPr>
          <w:rFonts w:cs="Arial"/>
          <w:lang w:val="en-US"/>
        </w:rPr>
      </w:pPr>
      <w:r>
        <w:rPr>
          <w:rFonts w:cs="Arial"/>
          <w:lang w:val="en-US"/>
        </w:rPr>
        <w:t>評価が中級程度のプロジェクトのほとんどは、データ品質が高いです。</w:t>
      </w:r>
    </w:p>
    <w:p>
      <w:pPr>
        <w:pStyle w:val="ListParagraph"/>
        <w:numPr>
          <w:ilvl w:val="0"/>
          <w:numId w:val="88"/>
        </w:numPr>
        <w:spacing w:lineRule="auto" w:line="240" w:before="60" w:after="60"/>
        <w:ind w:left="714" w:hanging="357"/>
        <w:rPr>
          <w:rFonts w:cs="Arial"/>
          <w:lang w:val="en-US"/>
        </w:rPr>
      </w:pPr>
      <w:r>
        <w:rPr>
          <w:rFonts w:cs="Arial"/>
          <w:lang w:val="en-US"/>
        </w:rPr>
        <w:t>データー品質が中級程度で実行がとても遅れているプロジェクトのほとんどは、生産性がとても低いです。</w:t>
      </w:r>
    </w:p>
    <w:p>
      <w:pPr>
        <w:pStyle w:val="ListParagraph"/>
        <w:numPr>
          <w:ilvl w:val="0"/>
          <w:numId w:val="88"/>
        </w:numPr>
        <w:spacing w:lineRule="auto" w:line="240" w:before="60" w:after="60"/>
        <w:ind w:left="714" w:hanging="357"/>
        <w:rPr>
          <w:rFonts w:cs="Arial"/>
          <w:lang w:val="en-US"/>
        </w:rPr>
      </w:pPr>
      <w:r>
        <w:rPr>
          <w:rFonts w:cs="Arial"/>
          <w:lang w:val="en-US"/>
        </w:rPr>
        <w:t>実行パフォーマンスが良く、計画性の高いプロジェクトのほとんどは、データ品質が良好です。</w:t>
      </w:r>
    </w:p>
    <w:p>
      <w:pPr>
        <w:pStyle w:val="ListParagraph"/>
        <w:numPr>
          <w:ilvl w:val="0"/>
          <w:numId w:val="88"/>
        </w:numPr>
        <w:spacing w:lineRule="auto" w:line="240" w:before="60" w:after="60"/>
        <w:ind w:left="714" w:hanging="357"/>
        <w:rPr>
          <w:rFonts w:cs="Arial"/>
          <w:lang w:val="en-US"/>
        </w:rPr>
      </w:pPr>
      <w:r>
        <w:rPr>
          <w:rFonts w:cs="Arial"/>
          <w:lang w:val="en-US"/>
        </w:rPr>
        <w:t>生産性は低いがデータ品質の高いプロジェクトのほとんどは、実行が遅れています。</w:t>
      </w:r>
    </w:p>
    <w:p>
      <w:pPr>
        <w:pStyle w:val="ListParagraph"/>
        <w:numPr>
          <w:ilvl w:val="0"/>
          <w:numId w:val="88"/>
        </w:numPr>
        <w:spacing w:lineRule="auto" w:line="240" w:before="60" w:after="60"/>
        <w:ind w:left="714" w:hanging="357"/>
        <w:rPr>
          <w:rFonts w:cs="Arial"/>
          <w:lang w:val="en-US"/>
        </w:rPr>
      </w:pPr>
      <w:r>
        <w:rPr>
          <w:rFonts w:cs="Arial"/>
          <w:lang w:val="en-US"/>
        </w:rPr>
        <w:t>計画性が低く、生産性も低いプロジェクトのほとんどは、プロジェクト評価が低いです。</w:t>
      </w:r>
    </w:p>
    <w:p>
      <w:pPr>
        <w:pStyle w:val="ListParagraph"/>
        <w:numPr>
          <w:ilvl w:val="0"/>
          <w:numId w:val="88"/>
        </w:numPr>
        <w:spacing w:lineRule="auto" w:line="240" w:before="60" w:after="60"/>
        <w:ind w:left="714" w:hanging="357"/>
        <w:rPr>
          <w:rFonts w:cs="Arial"/>
          <w:lang w:val="en-US"/>
        </w:rPr>
      </w:pPr>
      <w:r>
        <w:rPr>
          <w:rFonts w:cs="Arial"/>
          <w:lang w:val="en-US"/>
        </w:rPr>
        <w:t>計画性が低く、プロジェクト評価の低いプロジェクトのほとんどは、生産性が低いです。</w:t>
      </w:r>
    </w:p>
    <w:p>
      <w:pPr>
        <w:pStyle w:val="ListParagraph"/>
        <w:numPr>
          <w:ilvl w:val="0"/>
          <w:numId w:val="88"/>
        </w:numPr>
        <w:spacing w:lineRule="auto" w:line="240" w:before="60" w:after="60"/>
        <w:ind w:left="714" w:hanging="357"/>
        <w:rPr>
          <w:rFonts w:cs="Arial"/>
          <w:lang w:val="en-US"/>
        </w:rPr>
      </w:pPr>
      <w:r>
        <w:rPr>
          <w:rFonts w:cs="Arial"/>
          <w:lang w:val="en-US"/>
        </w:rPr>
        <w:t>計画性が低く、目的達成の効率が悪く、人事パフォーマンスの低いプロジェクトのほとんどは、プロジェクト評価が低いです。</w:t>
      </w:r>
    </w:p>
    <w:p>
      <w:pPr>
        <w:pStyle w:val="ListParagraph"/>
        <w:numPr>
          <w:ilvl w:val="0"/>
          <w:numId w:val="88"/>
        </w:numPr>
        <w:spacing w:lineRule="auto" w:line="240" w:before="60" w:after="60"/>
        <w:ind w:left="714" w:hanging="357"/>
        <w:rPr>
          <w:rFonts w:cs="Arial"/>
          <w:lang w:val="en-US"/>
        </w:rPr>
      </w:pPr>
      <w:r>
        <w:rPr>
          <w:rFonts w:cs="Arial"/>
          <w:lang w:val="en-US"/>
        </w:rPr>
        <w:t>計画性が低く、目的達成の効率が悪く、生産性の低いプロジェクトのほとんどは、プロジェクト評価が低いです。</w:t>
      </w:r>
    </w:p>
    <w:p>
      <w:pPr>
        <w:pStyle w:val="Heading3"/>
        <w:numPr>
          <w:ilvl w:val="2"/>
          <w:numId w:val="80"/>
        </w:numPr>
        <w:rPr/>
      </w:pPr>
      <w:r>
        <w:rPr/>
        <w:t>Resúmenes en árabe:</w:t>
      </w:r>
    </w:p>
    <w:p>
      <w:pPr>
        <w:pStyle w:val="ListParagraph"/>
        <w:numPr>
          <w:ilvl w:val="0"/>
          <w:numId w:val="75"/>
        </w:numPr>
        <w:rPr/>
      </w:pPr>
      <w:r>
        <w:rPr>
          <w:rtl w:val="true"/>
        </w:rPr>
        <w:t>قليل جدا من</w:t>
      </w:r>
      <w:r>
        <w:rPr>
          <w:rtl w:val="true"/>
        </w:rPr>
        <w:t>_</w:t>
      </w:r>
      <w:r>
        <w:rPr>
          <w:rtl w:val="true"/>
        </w:rPr>
        <w:t>السجلات في قاعدة البيانات، تظهر أنه في</w:t>
      </w:r>
      <w:r>
        <w:rPr>
          <w:rtl w:val="true"/>
        </w:rPr>
        <w:t>_</w:t>
      </w:r>
      <w:r>
        <w:rPr/>
        <w:t>94.0</w:t>
      </w:r>
      <w:r>
        <w:rPr>
          <w:rtl w:val="true"/>
        </w:rPr>
        <w:t>%_</w:t>
      </w:r>
      <w:r>
        <w:rPr>
          <w:rtl w:val="true"/>
        </w:rPr>
        <w:t>من المرات</w:t>
      </w:r>
      <w:r>
        <w:rPr>
          <w:rtl w:val="true"/>
        </w:rPr>
        <w:t>,_</w:t>
      </w:r>
      <w:r>
        <w:rPr>
          <w:rtl w:val="true"/>
        </w:rPr>
        <w:t>المشاريع</w:t>
      </w:r>
      <w:r>
        <w:rPr>
          <w:rtl w:val="true"/>
        </w:rPr>
        <w:t>_</w:t>
      </w:r>
      <w:r>
        <w:rPr>
          <w:rtl w:val="true"/>
        </w:rPr>
        <w:t>التي لديها</w:t>
      </w:r>
      <w:r>
        <w:rPr>
          <w:rtl w:val="true"/>
        </w:rPr>
        <w:t>_</w:t>
      </w:r>
      <w:r>
        <w:rPr>
          <w:rtl w:val="true"/>
        </w:rPr>
        <w:t>جودة بيانات متوسطة</w:t>
      </w:r>
      <w:r>
        <w:rPr>
          <w:rtl w:val="true"/>
        </w:rPr>
        <w:t>_</w:t>
      </w:r>
      <w:r>
        <w:rPr>
          <w:rtl w:val="true"/>
        </w:rPr>
        <w:t>لديها</w:t>
      </w:r>
      <w:r>
        <w:rPr>
          <w:rtl w:val="true"/>
        </w:rPr>
        <w:t>_</w:t>
      </w:r>
      <w:r>
        <w:rPr>
          <w:rtl w:val="true"/>
        </w:rPr>
        <w:t>إنتاجية سيئة</w:t>
      </w:r>
      <w:r>
        <w:rPr/>
        <w:t>_</w:t>
      </w:r>
    </w:p>
    <w:p>
      <w:pPr>
        <w:pStyle w:val="ListParagraph"/>
        <w:numPr>
          <w:ilvl w:val="0"/>
          <w:numId w:val="75"/>
        </w:numPr>
        <w:rPr/>
      </w:pPr>
      <w:r>
        <w:rPr>
          <w:rtl w:val="true"/>
        </w:rPr>
        <w:t>القليل من</w:t>
      </w:r>
      <w:r>
        <w:rPr>
          <w:rtl w:val="true"/>
        </w:rPr>
        <w:t>_</w:t>
      </w:r>
      <w:r>
        <w:rPr>
          <w:rtl w:val="true"/>
        </w:rPr>
        <w:t>السجلات في قاعدة البيانات، تظهر أنه في</w:t>
      </w:r>
      <w:r>
        <w:rPr>
          <w:rtl w:val="true"/>
        </w:rPr>
        <w:t>_</w:t>
      </w:r>
      <w:r>
        <w:rPr/>
        <w:t>99.0</w:t>
      </w:r>
      <w:r>
        <w:rPr>
          <w:rtl w:val="true"/>
        </w:rPr>
        <w:t>%_</w:t>
      </w:r>
      <w:r>
        <w:rPr>
          <w:rtl w:val="true"/>
        </w:rPr>
        <w:t>من المرات</w:t>
      </w:r>
      <w:r>
        <w:rPr>
          <w:rtl w:val="true"/>
        </w:rPr>
        <w:t>,_</w:t>
      </w:r>
      <w:r>
        <w:rPr>
          <w:rtl w:val="true"/>
        </w:rPr>
        <w:t>المشاريع</w:t>
      </w:r>
      <w:r>
        <w:rPr>
          <w:rtl w:val="true"/>
        </w:rPr>
        <w:t>_</w:t>
      </w:r>
      <w:r>
        <w:rPr>
          <w:rtl w:val="true"/>
        </w:rPr>
        <w:t>التي لديها</w:t>
      </w:r>
      <w:r>
        <w:rPr>
          <w:rtl w:val="true"/>
        </w:rPr>
        <w:t>_</w:t>
      </w:r>
      <w:r>
        <w:rPr>
          <w:rtl w:val="true"/>
        </w:rPr>
        <w:t>تنفيذ في الوقت المحدد</w:t>
      </w:r>
      <w:r>
        <w:rPr>
          <w:rtl w:val="true"/>
        </w:rPr>
        <w:t>_</w:t>
      </w:r>
      <w:r>
        <w:rPr>
          <w:rtl w:val="true"/>
        </w:rPr>
        <w:t>لديها</w:t>
      </w:r>
      <w:r>
        <w:rPr>
          <w:rtl w:val="true"/>
        </w:rPr>
        <w:t>_</w:t>
      </w:r>
      <w:r>
        <w:rPr>
          <w:rtl w:val="true"/>
        </w:rPr>
        <w:t>جودة بيانات جيدة</w:t>
      </w:r>
      <w:r>
        <w:rPr/>
        <w:t>_</w:t>
      </w:r>
    </w:p>
    <w:p>
      <w:pPr>
        <w:pStyle w:val="ListParagraph"/>
        <w:numPr>
          <w:ilvl w:val="0"/>
          <w:numId w:val="75"/>
        </w:numPr>
        <w:rPr/>
      </w:pPr>
      <w:r>
        <w:rPr>
          <w:rtl w:val="true"/>
        </w:rPr>
        <w:t>حوالي نصف</w:t>
      </w:r>
      <w:r>
        <w:rPr>
          <w:rtl w:val="true"/>
        </w:rPr>
        <w:t>_</w:t>
      </w:r>
      <w:r>
        <w:rPr>
          <w:rtl w:val="true"/>
        </w:rPr>
        <w:t>السجلات في قاعدة البيانات، تظهر أنه في</w:t>
      </w:r>
      <w:r>
        <w:rPr>
          <w:rtl w:val="true"/>
        </w:rPr>
        <w:t>_</w:t>
      </w:r>
      <w:r>
        <w:rPr/>
        <w:t>99.0</w:t>
      </w:r>
      <w:r>
        <w:rPr>
          <w:rtl w:val="true"/>
        </w:rPr>
        <w:t>%_</w:t>
      </w:r>
      <w:r>
        <w:rPr>
          <w:rtl w:val="true"/>
        </w:rPr>
        <w:t>من المرات</w:t>
      </w:r>
      <w:r>
        <w:rPr>
          <w:rtl w:val="true"/>
        </w:rPr>
        <w:t>,_</w:t>
      </w:r>
      <w:r>
        <w:rPr>
          <w:rtl w:val="true"/>
        </w:rPr>
        <w:t>المشاريع</w:t>
      </w:r>
      <w:r>
        <w:rPr>
          <w:rtl w:val="true"/>
        </w:rPr>
        <w:t>_</w:t>
      </w:r>
      <w:r>
        <w:rPr>
          <w:rtl w:val="true"/>
        </w:rPr>
        <w:t>التي لديها</w:t>
      </w:r>
      <w:r>
        <w:rPr>
          <w:rtl w:val="true"/>
        </w:rPr>
        <w:t>_</w:t>
      </w:r>
      <w:r>
        <w:rPr>
          <w:rtl w:val="true"/>
        </w:rPr>
        <w:t>أداء تنفيذ ضعيف</w:t>
      </w:r>
      <w:r>
        <w:rPr>
          <w:rtl w:val="true"/>
        </w:rPr>
        <w:t>_</w:t>
      </w:r>
      <w:r>
        <w:rPr>
          <w:rtl w:val="true"/>
        </w:rPr>
        <w:t>لديها</w:t>
      </w:r>
      <w:r>
        <w:rPr>
          <w:rtl w:val="true"/>
        </w:rPr>
        <w:t>_</w:t>
      </w:r>
      <w:r>
        <w:rPr>
          <w:rtl w:val="true"/>
        </w:rPr>
        <w:t>تقييم سيء</w:t>
      </w:r>
      <w:r>
        <w:rPr/>
        <w:t>_</w:t>
      </w:r>
    </w:p>
    <w:p>
      <w:pPr>
        <w:pStyle w:val="ListParagraph"/>
        <w:numPr>
          <w:ilvl w:val="0"/>
          <w:numId w:val="75"/>
        </w:numPr>
        <w:rPr/>
      </w:pPr>
      <w:r>
        <w:rPr>
          <w:rtl w:val="true"/>
        </w:rPr>
        <w:t>قليل جدا من</w:t>
      </w:r>
      <w:r>
        <w:rPr>
          <w:rtl w:val="true"/>
        </w:rPr>
        <w:t>_</w:t>
      </w:r>
      <w:r>
        <w:rPr>
          <w:rtl w:val="true"/>
        </w:rPr>
        <w:t>السجلات في قاعدة البيانات، تظهر أنه في</w:t>
      </w:r>
      <w:r>
        <w:rPr>
          <w:rtl w:val="true"/>
        </w:rPr>
        <w:t>_</w:t>
      </w:r>
      <w:r>
        <w:rPr/>
        <w:t>94.0</w:t>
      </w:r>
      <w:r>
        <w:rPr>
          <w:rtl w:val="true"/>
        </w:rPr>
        <w:t>%_</w:t>
      </w:r>
      <w:r>
        <w:rPr>
          <w:rtl w:val="true"/>
        </w:rPr>
        <w:t>من المرات</w:t>
      </w:r>
      <w:r>
        <w:rPr>
          <w:rtl w:val="true"/>
        </w:rPr>
        <w:t>,_</w:t>
      </w:r>
      <w:r>
        <w:rPr>
          <w:rtl w:val="true"/>
        </w:rPr>
        <w:t>المشاريع</w:t>
      </w:r>
      <w:r>
        <w:rPr>
          <w:rtl w:val="true"/>
        </w:rPr>
        <w:t>_</w:t>
      </w:r>
      <w:r>
        <w:rPr>
          <w:rtl w:val="true"/>
        </w:rPr>
        <w:t>التي لديها</w:t>
      </w:r>
      <w:r>
        <w:rPr>
          <w:rtl w:val="true"/>
        </w:rPr>
        <w:t>_</w:t>
      </w:r>
      <w:r>
        <w:rPr>
          <w:rtl w:val="true"/>
        </w:rPr>
        <w:t>كفاءة جيدة في إدارة الأهداف</w:t>
      </w:r>
      <w:r>
        <w:rPr>
          <w:rtl w:val="true"/>
        </w:rPr>
        <w:t>_</w:t>
      </w:r>
      <w:r>
        <w:rPr>
          <w:rtl w:val="true"/>
        </w:rPr>
        <w:t>لديها</w:t>
      </w:r>
      <w:r>
        <w:rPr>
          <w:rtl w:val="true"/>
        </w:rPr>
        <w:t>_</w:t>
      </w:r>
      <w:r>
        <w:rPr>
          <w:rtl w:val="true"/>
        </w:rPr>
        <w:t>أداء تخطيط جيد</w:t>
      </w:r>
      <w:r>
        <w:rPr/>
        <w:t>_</w:t>
      </w:r>
    </w:p>
    <w:p>
      <w:pPr>
        <w:pStyle w:val="ListParagraph"/>
        <w:numPr>
          <w:ilvl w:val="0"/>
          <w:numId w:val="75"/>
        </w:numPr>
        <w:rPr/>
      </w:pPr>
      <w:r>
        <w:rPr>
          <w:rtl w:val="true"/>
        </w:rPr>
        <w:t>القليل من</w:t>
      </w:r>
      <w:r>
        <w:rPr>
          <w:rtl w:val="true"/>
        </w:rPr>
        <w:t>_</w:t>
      </w:r>
      <w:r>
        <w:rPr>
          <w:rtl w:val="true"/>
        </w:rPr>
        <w:t>السجلات في قاعدة البيانات، تظهر أنه في</w:t>
      </w:r>
      <w:r>
        <w:rPr>
          <w:rtl w:val="true"/>
        </w:rPr>
        <w:t>_</w:t>
      </w:r>
      <w:r>
        <w:rPr/>
        <w:t>96.0</w:t>
      </w:r>
      <w:r>
        <w:rPr>
          <w:rtl w:val="true"/>
        </w:rPr>
        <w:t>%_</w:t>
      </w:r>
      <w:r>
        <w:rPr>
          <w:rtl w:val="true"/>
        </w:rPr>
        <w:t>من المرات</w:t>
      </w:r>
      <w:r>
        <w:rPr>
          <w:rtl w:val="true"/>
        </w:rPr>
        <w:t>,_</w:t>
      </w:r>
      <w:r>
        <w:rPr>
          <w:rtl w:val="true"/>
        </w:rPr>
        <w:t>المشاريع</w:t>
      </w:r>
      <w:r>
        <w:rPr>
          <w:rtl w:val="true"/>
        </w:rPr>
        <w:t>_</w:t>
      </w:r>
      <w:r>
        <w:rPr>
          <w:rtl w:val="true"/>
        </w:rPr>
        <w:t>التي لديها</w:t>
      </w:r>
      <w:r>
        <w:rPr>
          <w:rtl w:val="true"/>
        </w:rPr>
        <w:t>_</w:t>
      </w:r>
      <w:r>
        <w:rPr>
          <w:rtl w:val="true"/>
        </w:rPr>
        <w:t>أداء تخطيط سيء</w:t>
      </w:r>
      <w:r>
        <w:rPr>
          <w:rtl w:val="true"/>
        </w:rPr>
        <w:t>_</w:t>
      </w:r>
      <w:r>
        <w:rPr>
          <w:rtl w:val="true"/>
        </w:rPr>
        <w:t>لديها</w:t>
      </w:r>
      <w:r>
        <w:rPr>
          <w:rtl w:val="true"/>
        </w:rPr>
        <w:t>_</w:t>
      </w:r>
      <w:r>
        <w:rPr>
          <w:rtl w:val="true"/>
        </w:rPr>
        <w:t>تنفيذ متأخر جداً</w:t>
      </w:r>
      <w:r>
        <w:rPr/>
        <w:t>_</w:t>
      </w:r>
    </w:p>
    <w:p>
      <w:pPr>
        <w:pStyle w:val="ListParagraph"/>
        <w:numPr>
          <w:ilvl w:val="0"/>
          <w:numId w:val="75"/>
        </w:numPr>
        <w:rPr/>
      </w:pPr>
      <w:r>
        <w:rPr>
          <w:rtl w:val="true"/>
        </w:rPr>
        <w:t>حوالي نصف</w:t>
      </w:r>
      <w:r>
        <w:rPr>
          <w:rtl w:val="true"/>
        </w:rPr>
        <w:t>_</w:t>
      </w:r>
      <w:r>
        <w:rPr>
          <w:rtl w:val="true"/>
        </w:rPr>
        <w:t>السجلات في قاعدة البيانات، تظهر أنه في</w:t>
      </w:r>
      <w:r>
        <w:rPr>
          <w:rtl w:val="true"/>
        </w:rPr>
        <w:t>_</w:t>
      </w:r>
      <w:r>
        <w:rPr/>
        <w:t>99.0</w:t>
      </w:r>
      <w:r>
        <w:rPr>
          <w:rtl w:val="true"/>
        </w:rPr>
        <w:t>%_</w:t>
      </w:r>
      <w:r>
        <w:rPr>
          <w:rtl w:val="true"/>
        </w:rPr>
        <w:t>من المرات</w:t>
      </w:r>
      <w:r>
        <w:rPr>
          <w:rtl w:val="true"/>
        </w:rPr>
        <w:t>,_</w:t>
      </w:r>
      <w:r>
        <w:rPr>
          <w:rtl w:val="true"/>
        </w:rPr>
        <w:t>المشاريع</w:t>
      </w:r>
      <w:r>
        <w:rPr>
          <w:rtl w:val="true"/>
        </w:rPr>
        <w:t>_</w:t>
      </w:r>
      <w:r>
        <w:rPr>
          <w:rtl w:val="true"/>
        </w:rPr>
        <w:t>التي لديها</w:t>
      </w:r>
      <w:r>
        <w:rPr>
          <w:rtl w:val="true"/>
        </w:rPr>
        <w:t>_</w:t>
      </w:r>
      <w:r>
        <w:rPr>
          <w:rtl w:val="true"/>
        </w:rPr>
        <w:t>أداء مقبول للمواردالبشرية</w:t>
      </w:r>
      <w:r>
        <w:rPr>
          <w:rtl w:val="true"/>
        </w:rPr>
        <w:t>_</w:t>
      </w:r>
      <w:r>
        <w:rPr>
          <w:rtl w:val="true"/>
        </w:rPr>
        <w:t>لديها</w:t>
      </w:r>
      <w:r>
        <w:rPr>
          <w:rtl w:val="true"/>
        </w:rPr>
        <w:t>_</w:t>
      </w:r>
      <w:r>
        <w:rPr>
          <w:rtl w:val="true"/>
        </w:rPr>
        <w:t>جودة بيانات جيدة</w:t>
      </w:r>
      <w:r>
        <w:rPr/>
        <w:t>_</w:t>
      </w:r>
    </w:p>
    <w:p>
      <w:pPr>
        <w:pStyle w:val="ListParagraph"/>
        <w:numPr>
          <w:ilvl w:val="0"/>
          <w:numId w:val="75"/>
        </w:numPr>
        <w:rPr/>
      </w:pPr>
      <w:r>
        <w:rPr>
          <w:rtl w:val="true"/>
        </w:rPr>
        <w:t>بعض</w:t>
      </w:r>
      <w:r>
        <w:rPr>
          <w:rtl w:val="true"/>
        </w:rPr>
        <w:t>_</w:t>
      </w:r>
      <w:r>
        <w:rPr>
          <w:rtl w:val="true"/>
        </w:rPr>
        <w:t>السجلات في قاعدة البيانات، تظهر أنه في</w:t>
      </w:r>
      <w:r>
        <w:rPr>
          <w:rtl w:val="true"/>
        </w:rPr>
        <w:t>_</w:t>
      </w:r>
      <w:r>
        <w:rPr/>
        <w:t>95.0</w:t>
      </w:r>
      <w:r>
        <w:rPr>
          <w:rtl w:val="true"/>
        </w:rPr>
        <w:t>%_</w:t>
      </w:r>
      <w:r>
        <w:rPr>
          <w:rtl w:val="true"/>
        </w:rPr>
        <w:t>من المرات</w:t>
      </w:r>
      <w:r>
        <w:rPr>
          <w:rtl w:val="true"/>
        </w:rPr>
        <w:t>,_</w:t>
      </w:r>
      <w:r>
        <w:rPr>
          <w:rtl w:val="true"/>
        </w:rPr>
        <w:t>المشاريع</w:t>
      </w:r>
      <w:r>
        <w:rPr>
          <w:rtl w:val="true"/>
        </w:rPr>
        <w:t>_</w:t>
      </w:r>
      <w:r>
        <w:rPr>
          <w:rtl w:val="true"/>
        </w:rPr>
        <w:t>التي لديها</w:t>
      </w:r>
      <w:r>
        <w:rPr>
          <w:rtl w:val="true"/>
        </w:rPr>
        <w:t>_</w:t>
      </w:r>
      <w:r>
        <w:rPr>
          <w:rtl w:val="true"/>
        </w:rPr>
        <w:t>إنتاجية جيدة</w:t>
      </w:r>
      <w:r>
        <w:rPr>
          <w:rtl w:val="true"/>
        </w:rPr>
        <w:t>_</w:t>
      </w:r>
      <w:r>
        <w:rPr>
          <w:rtl w:val="true"/>
        </w:rPr>
        <w:t>لديها</w:t>
      </w:r>
      <w:r>
        <w:rPr>
          <w:rtl w:val="true"/>
        </w:rPr>
        <w:t>_</w:t>
      </w:r>
      <w:r>
        <w:rPr>
          <w:rtl w:val="true"/>
        </w:rPr>
        <w:t>تقييم جيد</w:t>
      </w:r>
      <w:r>
        <w:rPr/>
        <w:t>_</w:t>
      </w:r>
    </w:p>
    <w:p>
      <w:pPr>
        <w:pStyle w:val="ListParagraph"/>
        <w:numPr>
          <w:ilvl w:val="0"/>
          <w:numId w:val="75"/>
        </w:numPr>
        <w:rPr/>
      </w:pPr>
      <w:r>
        <w:rPr>
          <w:rtl w:val="true"/>
        </w:rPr>
        <w:t>قليل جدا من</w:t>
      </w:r>
      <w:r>
        <w:rPr>
          <w:rtl w:val="true"/>
        </w:rPr>
        <w:t>_</w:t>
      </w:r>
      <w:r>
        <w:rPr>
          <w:rtl w:val="true"/>
        </w:rPr>
        <w:t>السجلات في قاعدة البيانات، تظهر أنه في</w:t>
      </w:r>
      <w:r>
        <w:rPr>
          <w:rtl w:val="true"/>
        </w:rPr>
        <w:t>_</w:t>
      </w:r>
      <w:r>
        <w:rPr/>
        <w:t>100.0</w:t>
      </w:r>
      <w:r>
        <w:rPr>
          <w:rtl w:val="true"/>
        </w:rPr>
        <w:t>%_</w:t>
      </w:r>
      <w:r>
        <w:rPr>
          <w:rtl w:val="true"/>
        </w:rPr>
        <w:t>من المرات</w:t>
      </w:r>
      <w:r>
        <w:rPr>
          <w:rtl w:val="true"/>
        </w:rPr>
        <w:t>,_</w:t>
      </w:r>
      <w:r>
        <w:rPr>
          <w:rtl w:val="true"/>
        </w:rPr>
        <w:t>المشاريع</w:t>
      </w:r>
      <w:r>
        <w:rPr>
          <w:rtl w:val="true"/>
        </w:rPr>
        <w:t>_</w:t>
      </w:r>
      <w:r>
        <w:rPr>
          <w:rtl w:val="true"/>
        </w:rPr>
        <w:t>التي لديها</w:t>
      </w:r>
      <w:r>
        <w:rPr>
          <w:rtl w:val="true"/>
        </w:rPr>
        <w:t>_</w:t>
      </w:r>
      <w:r>
        <w:rPr>
          <w:rtl w:val="true"/>
        </w:rPr>
        <w:t>إنتاجية مقبولة</w:t>
      </w:r>
      <w:r>
        <w:rPr>
          <w:rtl w:val="true"/>
        </w:rPr>
        <w:t>_</w:t>
      </w:r>
      <w:r>
        <w:rPr>
          <w:rtl w:val="true"/>
        </w:rPr>
        <w:t>لديها</w:t>
      </w:r>
      <w:r>
        <w:rPr>
          <w:rtl w:val="true"/>
        </w:rPr>
        <w:t>_</w:t>
      </w:r>
      <w:r>
        <w:rPr>
          <w:rtl w:val="true"/>
        </w:rPr>
        <w:t>جودة بيانات جيدة</w:t>
      </w:r>
      <w:r>
        <w:rPr/>
        <w:t>_</w:t>
      </w:r>
    </w:p>
    <w:p>
      <w:pPr>
        <w:pStyle w:val="ListParagraph"/>
        <w:numPr>
          <w:ilvl w:val="0"/>
          <w:numId w:val="75"/>
        </w:numPr>
        <w:rPr/>
      </w:pPr>
      <w:r>
        <w:rPr>
          <w:rtl w:val="true"/>
        </w:rPr>
        <w:t>حوالي نصف</w:t>
      </w:r>
      <w:r>
        <w:rPr>
          <w:rtl w:val="true"/>
        </w:rPr>
        <w:t>_</w:t>
      </w:r>
      <w:r>
        <w:rPr>
          <w:rtl w:val="true"/>
        </w:rPr>
        <w:t>السجلات في قاعدة البيانات، تظهر أنه في</w:t>
      </w:r>
      <w:r>
        <w:rPr>
          <w:rtl w:val="true"/>
        </w:rPr>
        <w:t>_</w:t>
      </w:r>
      <w:r>
        <w:rPr/>
        <w:t>99.0</w:t>
      </w:r>
      <w:r>
        <w:rPr>
          <w:rtl w:val="true"/>
        </w:rPr>
        <w:t>%_</w:t>
      </w:r>
      <w:r>
        <w:rPr>
          <w:rtl w:val="true"/>
        </w:rPr>
        <w:t>من المرات</w:t>
      </w:r>
      <w:r>
        <w:rPr>
          <w:rtl w:val="true"/>
        </w:rPr>
        <w:t>,_</w:t>
      </w:r>
      <w:r>
        <w:rPr>
          <w:rtl w:val="true"/>
        </w:rPr>
        <w:t>المشاريع</w:t>
      </w:r>
      <w:r>
        <w:rPr>
          <w:rtl w:val="true"/>
        </w:rPr>
        <w:t>_</w:t>
      </w:r>
      <w:r>
        <w:rPr>
          <w:rtl w:val="true"/>
        </w:rPr>
        <w:t>التي لديها</w:t>
      </w:r>
      <w:r>
        <w:rPr>
          <w:rtl w:val="true"/>
        </w:rPr>
        <w:t>_</w:t>
      </w:r>
      <w:r>
        <w:rPr>
          <w:rtl w:val="true"/>
        </w:rPr>
        <w:t>تقييم سيء</w:t>
      </w:r>
      <w:r>
        <w:rPr>
          <w:rtl w:val="true"/>
        </w:rPr>
        <w:t>_</w:t>
      </w:r>
      <w:r>
        <w:rPr>
          <w:rtl w:val="true"/>
        </w:rPr>
        <w:t>لديها</w:t>
      </w:r>
      <w:r>
        <w:rPr>
          <w:rtl w:val="true"/>
        </w:rPr>
        <w:t>_</w:t>
      </w:r>
      <w:r>
        <w:rPr>
          <w:rtl w:val="true"/>
        </w:rPr>
        <w:t>إنتاجية سيئة</w:t>
      </w:r>
      <w:r>
        <w:rPr/>
        <w:t>_</w:t>
      </w:r>
    </w:p>
    <w:p>
      <w:pPr>
        <w:pStyle w:val="ListParagraph"/>
        <w:numPr>
          <w:ilvl w:val="0"/>
          <w:numId w:val="75"/>
        </w:numPr>
        <w:rPr/>
      </w:pPr>
      <w:r>
        <w:rPr>
          <w:rtl w:val="true"/>
        </w:rPr>
        <w:t>بعض</w:t>
      </w:r>
      <w:r>
        <w:rPr>
          <w:rtl w:val="true"/>
        </w:rPr>
        <w:t>_</w:t>
      </w:r>
      <w:r>
        <w:rPr>
          <w:rtl w:val="true"/>
        </w:rPr>
        <w:t>السجلات في قاعدة البيانات، تظهر أنه في</w:t>
      </w:r>
      <w:r>
        <w:rPr>
          <w:rtl w:val="true"/>
        </w:rPr>
        <w:t>_</w:t>
      </w:r>
      <w:r>
        <w:rPr/>
        <w:t>96.0</w:t>
      </w:r>
      <w:r>
        <w:rPr>
          <w:rtl w:val="true"/>
        </w:rPr>
        <w:t>%_</w:t>
      </w:r>
      <w:r>
        <w:rPr>
          <w:rtl w:val="true"/>
        </w:rPr>
        <w:t>من المرات</w:t>
      </w:r>
      <w:r>
        <w:rPr>
          <w:rtl w:val="true"/>
        </w:rPr>
        <w:t>,_</w:t>
      </w:r>
      <w:r>
        <w:rPr>
          <w:rtl w:val="true"/>
        </w:rPr>
        <w:t>المشاريع</w:t>
      </w:r>
      <w:r>
        <w:rPr>
          <w:rtl w:val="true"/>
        </w:rPr>
        <w:t>_</w:t>
      </w:r>
      <w:r>
        <w:rPr>
          <w:rtl w:val="true"/>
        </w:rPr>
        <w:t>التي لديها</w:t>
      </w:r>
      <w:r>
        <w:rPr>
          <w:rtl w:val="true"/>
        </w:rPr>
        <w:t>_</w:t>
      </w:r>
      <w:r>
        <w:rPr>
          <w:rtl w:val="true"/>
        </w:rPr>
        <w:t>تقييم جيد</w:t>
      </w:r>
      <w:r>
        <w:rPr>
          <w:rtl w:val="true"/>
        </w:rPr>
        <w:t>_</w:t>
      </w:r>
      <w:r>
        <w:rPr>
          <w:rtl w:val="true"/>
        </w:rPr>
        <w:t>لديها</w:t>
      </w:r>
      <w:r>
        <w:rPr>
          <w:rtl w:val="true"/>
        </w:rPr>
        <w:t>_</w:t>
      </w:r>
      <w:r>
        <w:rPr>
          <w:rtl w:val="true"/>
        </w:rPr>
        <w:t>أداء تخطيط جيد</w:t>
      </w:r>
      <w:r>
        <w:rPr/>
        <w:t>_</w:t>
      </w:r>
    </w:p>
    <w:p>
      <w:pPr>
        <w:pStyle w:val="ListParagraph"/>
        <w:numPr>
          <w:ilvl w:val="0"/>
          <w:numId w:val="75"/>
        </w:numPr>
        <w:rPr/>
      </w:pPr>
      <w:r>
        <w:rPr>
          <w:rtl w:val="true"/>
        </w:rPr>
        <w:t>تقريبا كل</w:t>
      </w:r>
      <w:r>
        <w:rPr>
          <w:rtl w:val="true"/>
        </w:rPr>
        <w:t>_</w:t>
      </w:r>
      <w:r>
        <w:rPr>
          <w:rtl w:val="true"/>
        </w:rPr>
        <w:t>المشاريع</w:t>
      </w:r>
      <w:r>
        <w:rPr>
          <w:rtl w:val="true"/>
        </w:rPr>
        <w:t>_</w:t>
      </w:r>
      <w:r>
        <w:rPr>
          <w:rtl w:val="true"/>
        </w:rPr>
        <w:t>التي لديها</w:t>
      </w:r>
      <w:r>
        <w:rPr>
          <w:rtl w:val="true"/>
        </w:rPr>
        <w:t>_</w:t>
      </w:r>
      <w:r>
        <w:rPr>
          <w:rtl w:val="true"/>
        </w:rPr>
        <w:t>تقييم سيء</w:t>
      </w:r>
      <w:r>
        <w:rPr>
          <w:rtl w:val="true"/>
        </w:rPr>
        <w:t>_</w:t>
      </w:r>
      <w:r>
        <w:rPr>
          <w:rtl w:val="true"/>
        </w:rPr>
        <w:t>لديها</w:t>
      </w:r>
      <w:r>
        <w:rPr>
          <w:rtl w:val="true"/>
        </w:rPr>
        <w:t>_</w:t>
      </w:r>
      <w:r>
        <w:rPr>
          <w:rtl w:val="true"/>
        </w:rPr>
        <w:t>إنتاجية سيئة</w:t>
      </w:r>
      <w:r>
        <w:rPr/>
        <w:t>_</w:t>
      </w:r>
    </w:p>
    <w:p>
      <w:pPr>
        <w:pStyle w:val="ListParagraph"/>
        <w:numPr>
          <w:ilvl w:val="0"/>
          <w:numId w:val="75"/>
        </w:numPr>
        <w:rPr/>
      </w:pPr>
      <w:r>
        <w:rPr>
          <w:rtl w:val="true"/>
        </w:rPr>
        <w:t>تقريبا كل</w:t>
      </w:r>
      <w:r>
        <w:rPr>
          <w:rtl w:val="true"/>
        </w:rPr>
        <w:t>_</w:t>
      </w:r>
      <w:r>
        <w:rPr>
          <w:rtl w:val="true"/>
        </w:rPr>
        <w:t>المشاريع</w:t>
      </w:r>
      <w:r>
        <w:rPr>
          <w:rtl w:val="true"/>
        </w:rPr>
        <w:t>_</w:t>
      </w:r>
      <w:r>
        <w:rPr>
          <w:rtl w:val="true"/>
        </w:rPr>
        <w:t>التي لديها</w:t>
      </w:r>
      <w:r>
        <w:rPr>
          <w:rtl w:val="true"/>
        </w:rPr>
        <w:t>_</w:t>
      </w:r>
      <w:r>
        <w:rPr>
          <w:rtl w:val="true"/>
        </w:rPr>
        <w:t>تقييم جيد</w:t>
      </w:r>
      <w:r>
        <w:rPr>
          <w:rtl w:val="true"/>
        </w:rPr>
        <w:t>_</w:t>
      </w:r>
      <w:r>
        <w:rPr>
          <w:rtl w:val="true"/>
        </w:rPr>
        <w:t>لديها</w:t>
      </w:r>
      <w:r>
        <w:rPr>
          <w:rtl w:val="true"/>
        </w:rPr>
        <w:t>_</w:t>
      </w:r>
      <w:r>
        <w:rPr>
          <w:rtl w:val="true"/>
        </w:rPr>
        <w:t>أداء تخطيط جيد</w:t>
      </w:r>
      <w:r>
        <w:rPr/>
        <w:t>_</w:t>
      </w:r>
    </w:p>
    <w:p>
      <w:pPr>
        <w:pStyle w:val="ListParagraph"/>
        <w:numPr>
          <w:ilvl w:val="0"/>
          <w:numId w:val="75"/>
        </w:numPr>
        <w:rPr/>
      </w:pPr>
      <w:r>
        <w:rPr>
          <w:rtl w:val="true"/>
        </w:rPr>
        <w:t>تقريبا كل</w:t>
      </w:r>
      <w:r>
        <w:rPr>
          <w:rtl w:val="true"/>
        </w:rPr>
        <w:t>_</w:t>
      </w:r>
      <w:r>
        <w:rPr>
          <w:rtl w:val="true"/>
        </w:rPr>
        <w:t>المشاريع</w:t>
      </w:r>
      <w:r>
        <w:rPr>
          <w:rtl w:val="true"/>
        </w:rPr>
        <w:t>_</w:t>
      </w:r>
      <w:r>
        <w:rPr>
          <w:rtl w:val="true"/>
        </w:rPr>
        <w:t>التي لديها</w:t>
      </w:r>
      <w:r>
        <w:rPr>
          <w:rtl w:val="true"/>
        </w:rPr>
        <w:t>_</w:t>
      </w:r>
      <w:r>
        <w:rPr>
          <w:rtl w:val="true"/>
        </w:rPr>
        <w:t>تقييم مقبول</w:t>
      </w:r>
      <w:r>
        <w:rPr>
          <w:rtl w:val="true"/>
        </w:rPr>
        <w:t>_</w:t>
      </w:r>
      <w:r>
        <w:rPr>
          <w:rtl w:val="true"/>
        </w:rPr>
        <w:t>لديها</w:t>
      </w:r>
      <w:r>
        <w:rPr>
          <w:rtl w:val="true"/>
        </w:rPr>
        <w:t>_</w:t>
      </w:r>
      <w:r>
        <w:rPr>
          <w:rtl w:val="true"/>
        </w:rPr>
        <w:t>جودة بيانات جيدة</w:t>
      </w:r>
      <w:r>
        <w:rPr/>
        <w:t>_</w:t>
      </w:r>
    </w:p>
    <w:p>
      <w:pPr>
        <w:pStyle w:val="ListParagraph"/>
        <w:numPr>
          <w:ilvl w:val="0"/>
          <w:numId w:val="75"/>
        </w:numPr>
        <w:rPr/>
      </w:pPr>
      <w:r>
        <w:rPr>
          <w:rtl w:val="true"/>
        </w:rPr>
        <w:t>تقريبا كل</w:t>
      </w:r>
      <w:r>
        <w:rPr>
          <w:rtl w:val="true"/>
        </w:rPr>
        <w:t>_</w:t>
      </w:r>
      <w:r>
        <w:rPr>
          <w:rtl w:val="true"/>
        </w:rPr>
        <w:t>المشاريع</w:t>
      </w:r>
      <w:r>
        <w:rPr>
          <w:rtl w:val="true"/>
        </w:rPr>
        <w:t>_</w:t>
      </w:r>
      <w:r>
        <w:rPr>
          <w:rtl w:val="true"/>
        </w:rPr>
        <w:t>التي لديها</w:t>
      </w:r>
      <w:r>
        <w:rPr>
          <w:rtl w:val="true"/>
        </w:rPr>
        <w:t>_</w:t>
      </w:r>
      <w:r>
        <w:rPr>
          <w:rtl w:val="true"/>
        </w:rPr>
        <w:t>جودة بيانات متوسطة وتنفيذ متأخر جداً</w:t>
      </w:r>
      <w:r>
        <w:rPr>
          <w:rtl w:val="true"/>
        </w:rPr>
        <w:t>_</w:t>
      </w:r>
      <w:r>
        <w:rPr>
          <w:rtl w:val="true"/>
        </w:rPr>
        <w:t>لديها</w:t>
      </w:r>
      <w:r>
        <w:rPr>
          <w:rtl w:val="true"/>
        </w:rPr>
        <w:t>_</w:t>
      </w:r>
      <w:r>
        <w:rPr>
          <w:rtl w:val="true"/>
        </w:rPr>
        <w:t>إنتاجية سيئة</w:t>
      </w:r>
      <w:r>
        <w:rPr/>
        <w:t>_</w:t>
      </w:r>
    </w:p>
    <w:p>
      <w:pPr>
        <w:pStyle w:val="ListParagraph"/>
        <w:numPr>
          <w:ilvl w:val="0"/>
          <w:numId w:val="75"/>
        </w:numPr>
        <w:rPr/>
      </w:pPr>
      <w:r>
        <w:rPr>
          <w:rtl w:val="true"/>
        </w:rPr>
        <w:t>تقريبا كل</w:t>
      </w:r>
      <w:r>
        <w:rPr>
          <w:rtl w:val="true"/>
        </w:rPr>
        <w:t>_</w:t>
      </w:r>
      <w:r>
        <w:rPr>
          <w:rtl w:val="true"/>
        </w:rPr>
        <w:t>المشاريع</w:t>
      </w:r>
      <w:r>
        <w:rPr>
          <w:rtl w:val="true"/>
        </w:rPr>
        <w:t>_</w:t>
      </w:r>
      <w:r>
        <w:rPr>
          <w:rtl w:val="true"/>
        </w:rPr>
        <w:t>التي لديها</w:t>
      </w:r>
      <w:r>
        <w:rPr>
          <w:rtl w:val="true"/>
        </w:rPr>
        <w:t>_</w:t>
      </w:r>
      <w:r>
        <w:rPr>
          <w:rtl w:val="true"/>
        </w:rPr>
        <w:t>أداء تنفيذ جيد وأداء تخطيط جيد</w:t>
      </w:r>
      <w:r>
        <w:rPr>
          <w:rtl w:val="true"/>
        </w:rPr>
        <w:t>_</w:t>
      </w:r>
      <w:r>
        <w:rPr>
          <w:rtl w:val="true"/>
        </w:rPr>
        <w:t>لديها</w:t>
      </w:r>
      <w:r>
        <w:rPr>
          <w:rtl w:val="true"/>
        </w:rPr>
        <w:t>_</w:t>
      </w:r>
      <w:r>
        <w:rPr>
          <w:rtl w:val="true"/>
        </w:rPr>
        <w:t>جودة بيانات جيدة</w:t>
      </w:r>
      <w:r>
        <w:rPr/>
        <w:t>_</w:t>
      </w:r>
    </w:p>
    <w:p>
      <w:pPr>
        <w:pStyle w:val="ListParagraph"/>
        <w:numPr>
          <w:ilvl w:val="0"/>
          <w:numId w:val="75"/>
        </w:numPr>
        <w:rPr/>
      </w:pPr>
      <w:r>
        <w:rPr>
          <w:rtl w:val="true"/>
        </w:rPr>
        <w:t>تقريبا كل</w:t>
      </w:r>
      <w:r>
        <w:rPr>
          <w:rtl w:val="true"/>
        </w:rPr>
        <w:t>_</w:t>
      </w:r>
      <w:r>
        <w:rPr>
          <w:rtl w:val="true"/>
        </w:rPr>
        <w:t>المشاريع</w:t>
      </w:r>
      <w:r>
        <w:rPr>
          <w:rtl w:val="true"/>
        </w:rPr>
        <w:t>_</w:t>
      </w:r>
      <w:r>
        <w:rPr>
          <w:rtl w:val="true"/>
        </w:rPr>
        <w:t>التي لديها</w:t>
      </w:r>
      <w:r>
        <w:rPr>
          <w:rtl w:val="true"/>
        </w:rPr>
        <w:t>_</w:t>
      </w:r>
      <w:r>
        <w:rPr>
          <w:rtl w:val="true"/>
        </w:rPr>
        <w:t>إنتاجية سيئة وجودة بيانات جيدة</w:t>
      </w:r>
      <w:r>
        <w:rPr>
          <w:rtl w:val="true"/>
        </w:rPr>
        <w:t>_</w:t>
      </w:r>
      <w:r>
        <w:rPr>
          <w:rtl w:val="true"/>
        </w:rPr>
        <w:t>لديها</w:t>
      </w:r>
      <w:r>
        <w:rPr>
          <w:rtl w:val="true"/>
        </w:rPr>
        <w:t>_</w:t>
      </w:r>
      <w:r>
        <w:rPr>
          <w:rtl w:val="true"/>
        </w:rPr>
        <w:t>تنفيذ متأخر جداً</w:t>
      </w:r>
      <w:r>
        <w:rPr/>
        <w:t>_</w:t>
      </w:r>
    </w:p>
    <w:p>
      <w:pPr>
        <w:pStyle w:val="ListParagraph"/>
        <w:numPr>
          <w:ilvl w:val="0"/>
          <w:numId w:val="75"/>
        </w:numPr>
        <w:rPr/>
      </w:pPr>
      <w:r>
        <w:rPr>
          <w:rtl w:val="true"/>
        </w:rPr>
        <w:t>تقريبا كل</w:t>
      </w:r>
      <w:r>
        <w:rPr>
          <w:rtl w:val="true"/>
        </w:rPr>
        <w:t>_</w:t>
      </w:r>
      <w:r>
        <w:rPr>
          <w:rtl w:val="true"/>
        </w:rPr>
        <w:t>المشاريع</w:t>
      </w:r>
      <w:r>
        <w:rPr>
          <w:rtl w:val="true"/>
        </w:rPr>
        <w:t>_</w:t>
      </w:r>
      <w:r>
        <w:rPr>
          <w:rtl w:val="true"/>
        </w:rPr>
        <w:t>التي لديها</w:t>
      </w:r>
      <w:r>
        <w:rPr>
          <w:rtl w:val="true"/>
        </w:rPr>
        <w:t>_</w:t>
      </w:r>
      <w:r>
        <w:rPr>
          <w:rtl w:val="true"/>
        </w:rPr>
        <w:t>أداء تخطيط سيء وإنتاجية سيئة</w:t>
      </w:r>
      <w:r>
        <w:rPr>
          <w:rtl w:val="true"/>
        </w:rPr>
        <w:t>_</w:t>
      </w:r>
      <w:r>
        <w:rPr>
          <w:rtl w:val="true"/>
        </w:rPr>
        <w:t>لديها</w:t>
      </w:r>
      <w:r>
        <w:rPr>
          <w:rtl w:val="true"/>
        </w:rPr>
        <w:t>_</w:t>
      </w:r>
      <w:r>
        <w:rPr>
          <w:rtl w:val="true"/>
        </w:rPr>
        <w:t>تقييم سيء</w:t>
      </w:r>
      <w:r>
        <w:rPr/>
        <w:t>_</w:t>
      </w:r>
    </w:p>
    <w:p>
      <w:pPr>
        <w:pStyle w:val="ListParagraph"/>
        <w:numPr>
          <w:ilvl w:val="0"/>
          <w:numId w:val="75"/>
        </w:numPr>
        <w:rPr/>
      </w:pPr>
      <w:r>
        <w:rPr>
          <w:rtl w:val="true"/>
        </w:rPr>
        <w:t>تقريبا كل</w:t>
      </w:r>
      <w:r>
        <w:rPr>
          <w:rtl w:val="true"/>
        </w:rPr>
        <w:t>_</w:t>
      </w:r>
      <w:r>
        <w:rPr>
          <w:rtl w:val="true"/>
        </w:rPr>
        <w:t>المشاريع</w:t>
      </w:r>
      <w:r>
        <w:rPr>
          <w:rtl w:val="true"/>
        </w:rPr>
        <w:t>_</w:t>
      </w:r>
      <w:r>
        <w:rPr>
          <w:rtl w:val="true"/>
        </w:rPr>
        <w:t>التي لديها</w:t>
      </w:r>
      <w:r>
        <w:rPr>
          <w:rtl w:val="true"/>
        </w:rPr>
        <w:t>_</w:t>
      </w:r>
      <w:r>
        <w:rPr>
          <w:rtl w:val="true"/>
        </w:rPr>
        <w:t>أداء تخطيط سيء وتقييم سيء</w:t>
      </w:r>
      <w:r>
        <w:rPr>
          <w:rtl w:val="true"/>
        </w:rPr>
        <w:t>_</w:t>
      </w:r>
      <w:r>
        <w:rPr>
          <w:rtl w:val="true"/>
        </w:rPr>
        <w:t>لديها</w:t>
      </w:r>
      <w:r>
        <w:rPr>
          <w:rtl w:val="true"/>
        </w:rPr>
        <w:t>_</w:t>
      </w:r>
      <w:r>
        <w:rPr>
          <w:rtl w:val="true"/>
        </w:rPr>
        <w:t>إنتاجية سيئة</w:t>
      </w:r>
      <w:r>
        <w:rPr/>
        <w:t>_</w:t>
      </w:r>
    </w:p>
    <w:p>
      <w:pPr>
        <w:pStyle w:val="ListParagraph"/>
        <w:numPr>
          <w:ilvl w:val="0"/>
          <w:numId w:val="75"/>
        </w:numPr>
        <w:rPr/>
      </w:pPr>
      <w:r>
        <w:rPr>
          <w:rtl w:val="true"/>
        </w:rPr>
        <w:t>تقريبا كل</w:t>
      </w:r>
      <w:r>
        <w:rPr>
          <w:rtl w:val="true"/>
        </w:rPr>
        <w:t>_</w:t>
      </w:r>
      <w:r>
        <w:rPr>
          <w:rtl w:val="true"/>
        </w:rPr>
        <w:t>المشاريع</w:t>
      </w:r>
      <w:r>
        <w:rPr>
          <w:rtl w:val="true"/>
        </w:rPr>
        <w:t>_</w:t>
      </w:r>
      <w:r>
        <w:rPr>
          <w:rtl w:val="true"/>
        </w:rPr>
        <w:t>التي لديها</w:t>
      </w:r>
      <w:r>
        <w:rPr>
          <w:rtl w:val="true"/>
        </w:rPr>
        <w:t>_</w:t>
      </w:r>
      <w:r>
        <w:rPr>
          <w:rtl w:val="true"/>
        </w:rPr>
        <w:t>أداء تخطيط سيء وكفاءة سيئة في إدارة الأهداف وأداء ضعيف للموارد البشرية</w:t>
      </w:r>
      <w:r>
        <w:rPr>
          <w:rtl w:val="true"/>
        </w:rPr>
        <w:t>_</w:t>
      </w:r>
      <w:r>
        <w:rPr>
          <w:rtl w:val="true"/>
        </w:rPr>
        <w:t>لديها</w:t>
      </w:r>
      <w:r>
        <w:rPr>
          <w:rtl w:val="true"/>
        </w:rPr>
        <w:t>_</w:t>
      </w:r>
      <w:r>
        <w:rPr>
          <w:rtl w:val="true"/>
        </w:rPr>
        <w:t>تقييم سيء</w:t>
      </w:r>
      <w:r>
        <w:rPr/>
        <w:t>_</w:t>
      </w:r>
    </w:p>
    <w:p>
      <w:pPr>
        <w:pStyle w:val="ListParagraph"/>
        <w:numPr>
          <w:ilvl w:val="0"/>
          <w:numId w:val="75"/>
        </w:numPr>
        <w:rPr/>
      </w:pPr>
      <w:r>
        <w:rPr>
          <w:rtl w:val="true"/>
        </w:rPr>
        <w:t>تقريبا كل</w:t>
      </w:r>
      <w:r>
        <w:rPr>
          <w:rtl w:val="true"/>
        </w:rPr>
        <w:t>_</w:t>
      </w:r>
      <w:r>
        <w:rPr>
          <w:rtl w:val="true"/>
        </w:rPr>
        <w:t>المشاريع</w:t>
      </w:r>
      <w:r>
        <w:rPr>
          <w:rtl w:val="true"/>
        </w:rPr>
        <w:t>_</w:t>
      </w:r>
      <w:r>
        <w:rPr>
          <w:rtl w:val="true"/>
        </w:rPr>
        <w:t>التي لديها</w:t>
      </w:r>
      <w:r>
        <w:rPr>
          <w:rtl w:val="true"/>
        </w:rPr>
        <w:t>_</w:t>
      </w:r>
      <w:r>
        <w:rPr>
          <w:rtl w:val="true"/>
        </w:rPr>
        <w:t>أداء تخطيط سيء وكفاءة سيئة في إدارة الأهداف وإنتاجية سيئة</w:t>
      </w:r>
      <w:r>
        <w:rPr>
          <w:rtl w:val="true"/>
        </w:rPr>
        <w:t>_</w:t>
      </w:r>
      <w:r>
        <w:rPr>
          <w:rtl w:val="true"/>
        </w:rPr>
        <w:t>لديها</w:t>
      </w:r>
      <w:r>
        <w:rPr>
          <w:rtl w:val="true"/>
        </w:rPr>
        <w:t>_</w:t>
      </w:r>
      <w:r>
        <w:rPr>
          <w:rtl w:val="true"/>
        </w:rPr>
        <w:t>تقييم سيء</w:t>
      </w:r>
      <w:r>
        <w:rPr/>
        <w:t>_</w:t>
      </w:r>
    </w:p>
    <w:p>
      <w:pPr>
        <w:pStyle w:val="Normal"/>
        <w:rPr/>
      </w:pPr>
      <w:bookmarkStart w:id="3865" w:name="_Hlk79478401"/>
      <w:bookmarkStart w:id="3866" w:name="_Hlk79478401"/>
      <w:bookmarkEnd w:id="3866"/>
      <w:r>
        <w:rPr/>
      </w:r>
    </w:p>
    <w:p>
      <w:pPr>
        <w:pStyle w:val="Normal"/>
        <w:rPr/>
      </w:pPr>
      <w:r>
        <w:rPr/>
      </w:r>
    </w:p>
    <w:p>
      <w:pPr>
        <w:pStyle w:val="Normal"/>
        <w:rPr/>
      </w:pPr>
      <w:r>
        <w:rPr/>
      </w:r>
    </w:p>
    <w:p>
      <w:pPr>
        <w:pStyle w:val="Normal"/>
        <w:widowControl/>
        <w:suppressAutoHyphens w:val="true"/>
        <w:bidi w:val="0"/>
        <w:spacing w:lineRule="auto" w:line="312" w:before="80" w:after="60"/>
        <w:jc w:val="both"/>
        <w:textAlignment w:val="baseline"/>
        <w:rPr/>
      </w:pPr>
      <w:r>
        <w:rPr/>
      </w:r>
    </w:p>
    <w:sectPr>
      <w:footerReference w:type="default" r:id="rId52"/>
      <w:footnotePr>
        <w:numFmt w:val="decimal"/>
      </w:footnotePr>
      <w:type w:val="nextPage"/>
      <w:pgSz w:w="12240" w:h="15840"/>
      <w:pgMar w:left="2127" w:right="1134" w:header="0" w:top="1701" w:footer="624" w:bottom="1418" w:gutter="0"/>
      <w:pgNumType w:start="1"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mbria">
    <w:charset w:val="01"/>
    <w:family w:val="roman"/>
    <w:pitch w:val="variable"/>
  </w:font>
  <w:font w:name="Symbol">
    <w:charset w:val="01"/>
    <w:family w:val="roman"/>
    <w:pitch w:val="variable"/>
  </w:font>
  <w:font w:name="Courier New">
    <w:charset w:val="01"/>
    <w:family w:val="roman"/>
    <w:pitch w:val="variable"/>
  </w:font>
  <w:font w:name="Wingdings">
    <w:charset w:val="01"/>
    <w:family w:val="roman"/>
    <w:pitch w:val="variable"/>
  </w:font>
  <w:font w:name="OpenSymbol">
    <w:altName w:val="Arial Unicode MS"/>
    <w:charset w:val="01"/>
    <w:family w:val="roman"/>
    <w:pitch w:val="variable"/>
  </w:font>
  <w:font w:name="Liberation Mono">
    <w:altName w:val="Courier New"/>
    <w:charset w:val="01"/>
    <w:family w:val="roman"/>
    <w:pitch w:val="variable"/>
  </w:font>
  <w:font w:name="Calibri">
    <w:charset w:val="01"/>
    <w:family w:val="roman"/>
    <w:pitch w:val="variable"/>
  </w:font>
  <w:font w:name="Tahoma">
    <w:charset w:val="01"/>
    <w:family w:val="roman"/>
    <w:pitch w:val="variable"/>
  </w:font>
  <w:font w:name="Liberation Sans">
    <w:altName w:val="Arial"/>
    <w:charset w:val="01"/>
    <w:family w:val="roman"/>
    <w:pitch w:val="variable"/>
  </w:font>
  <w:font w:name="Book Antiqua">
    <w:charset w:val="01"/>
    <w:family w:val="roman"/>
    <w:pitch w:val="variable"/>
  </w:font>
  <w:font w:name="ArialMT">
    <w:charset w:val="01"/>
    <w:family w:val="roman"/>
    <w:pitch w:val="variable"/>
  </w:font>
  <w:font w:name="Cambria Math">
    <w:charset w:val="01"/>
    <w:family w:val="roman"/>
    <w:pitch w:val="variable"/>
  </w:font>
  <w:font w:name="Lucida Console">
    <w:charset w:val="01"/>
    <w:family w:val="roman"/>
    <w:pitch w:val="variable"/>
  </w:font>
  <w:font w:name="Calibri">
    <w:charset w:val="01"/>
    <w:family w:val="auto"/>
    <w:pitch w:val="default"/>
  </w:font>
  <w:font w:name="Times New Roman">
    <w:charset w:val="01"/>
    <w:family w:val="auto"/>
    <w:pitch w:val="default"/>
  </w:font>
  <w:font w:name="MS Gothic">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80" w:after="60"/>
      <w:jc w:val="center"/>
      <w:rPr/>
    </w:pPr>
    <w:r>
      <w:rPr/>
      <w:fldChar w:fldCharType="begin"/>
    </w:r>
    <w:r>
      <w:instrText> PAGE </w:instrText>
    </w:r>
    <w:r>
      <w:fldChar w:fldCharType="separate"/>
    </w:r>
    <w:r>
      <w:t>153</w:t>
    </w:r>
    <w:r>
      <w:fldChar w:fldCharType="end"/>
    </w:r>
  </w:p>
  <w:p>
    <w:pPr>
      <w:pStyle w:val="Footer"/>
      <w:rPr/>
    </w:pPr>
    <w:r>
      <w:rPr/>
    </w:r>
  </w:p>
  <w:p>
    <w:pPr>
      <w:pStyle w:val="Normal"/>
      <w:widowControl/>
      <w:suppressAutoHyphens w:val="true"/>
      <w:bidi w:val="0"/>
      <w:spacing w:lineRule="auto" w:line="312" w:before="80" w:after="60"/>
      <w:jc w:val="both"/>
      <w:textAlignment w:val="baseline"/>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p>
  </w:footnote>
  <w:footnote w:id="1" w:type="continuationSeparator">
    <w:p>
      <w:r>
        <w:continuationSeparator/>
      </w:r>
    </w:p>
  </w:footnote>
  <w:footnote w:id="2">
    <w:p>
      <w:pPr>
        <w:pStyle w:val="Footnotetext"/>
        <w:spacing w:before="80" w:after="60"/>
        <w:rPr/>
      </w:pPr>
      <w:r>
        <w:rPr>
          <w:rStyle w:val="Footnotereference"/>
        </w:rPr>
        <w:footnoteRef/>
        <w:tab/>
      </w:r>
      <w:r>
        <w:rPr/>
        <w:t xml:space="preserve"> </w:t>
      </w:r>
      <w:r>
        <w:rPr/>
        <w:t>Ver concepto de</w:t>
      </w:r>
      <w:r>
        <w:rPr>
          <w:i/>
        </w:rPr>
        <w:t xml:space="preserve"> </w:t>
      </w:r>
      <w:r>
        <w:rPr/>
        <w:t>inteligencia artificial en el glosario de términos</w:t>
      </w:r>
      <w:r>
        <w:rPr>
          <w:i/>
        </w:rPr>
        <w:t>.</w:t>
      </w:r>
    </w:p>
  </w:footnote>
  <w:footnote w:id="3">
    <w:p>
      <w:pPr>
        <w:pStyle w:val="Footnotetext"/>
        <w:spacing w:before="80" w:after="60"/>
        <w:rPr/>
      </w:pPr>
      <w:r>
        <w:rPr>
          <w:rStyle w:val="Footnotereference"/>
        </w:rPr>
        <w:footnoteRef/>
        <w:tab/>
      </w:r>
      <w:r>
        <w:rPr/>
        <w:t xml:space="preserve"> </w:t>
      </w:r>
      <w:r>
        <w:rPr/>
        <w:t xml:space="preserve">En inglés: </w:t>
      </w:r>
      <w:r>
        <w:rPr>
          <w:i/>
        </w:rPr>
        <w:t>Linguistic Data Summarization (LDS).</w:t>
      </w:r>
    </w:p>
  </w:footnote>
  <w:footnote w:id="4">
    <w:p>
      <w:pPr>
        <w:pStyle w:val="Footnotetext"/>
        <w:spacing w:before="80" w:after="60"/>
        <w:rPr/>
      </w:pPr>
      <w:r>
        <w:rPr>
          <w:rStyle w:val="Footnotereference"/>
        </w:rPr>
        <w:footnoteRef/>
        <w:tab/>
      </w:r>
      <w:r>
        <w:rPr/>
        <w:t xml:space="preserve"> </w:t>
      </w:r>
      <w:r>
        <w:rPr/>
        <w:t xml:space="preserve">Incertidumbre se refiere a la veracidad del conocimiento y se produce por la falta de certeza de la información, ver concepto en glosario de términos. </w:t>
      </w:r>
    </w:p>
  </w:footnote>
  <w:footnote w:id="5">
    <w:p>
      <w:pPr>
        <w:pStyle w:val="Footnotetext"/>
        <w:spacing w:before="80" w:after="60"/>
        <w:rPr/>
      </w:pPr>
      <w:r>
        <w:rPr>
          <w:rStyle w:val="Footnotereference"/>
        </w:rPr>
        <w:footnoteRef/>
        <w:tab/>
      </w:r>
      <w:r>
        <w:rPr/>
        <w:t xml:space="preserve"> “</w:t>
      </w:r>
      <w:r>
        <w:rPr/>
        <w:t>Incertidumbre” se refiere a la veracidad del conocimiento y se produce por la falta de certeza de la información. En la operacionalización de la variable se refiere a la capacidad de medir la certidumbre, la indeterminación y la falsedad, ver concepto completo en glosario de términos.</w:t>
      </w:r>
    </w:p>
  </w:footnote>
  <w:footnote w:id="6">
    <w:p>
      <w:pPr>
        <w:pStyle w:val="Footnotetext"/>
        <w:spacing w:before="80" w:after="60"/>
        <w:rPr/>
      </w:pPr>
      <w:r>
        <w:rPr>
          <w:rStyle w:val="Footnotereference"/>
        </w:rPr>
        <w:footnoteRef/>
        <w:tab/>
      </w:r>
      <w:r>
        <w:rPr/>
        <w:t xml:space="preserve"> </w:t>
      </w:r>
      <w:r>
        <w:rPr/>
        <w:t>Organización para la Cooperación Económica y Desarrollo (OCDE: Organization for Economic Co-operation and Development).</w:t>
      </w:r>
    </w:p>
  </w:footnote>
  <w:footnote w:id="7">
    <w:p>
      <w:pPr>
        <w:pStyle w:val="Footnotetext"/>
        <w:spacing w:before="80" w:after="60"/>
        <w:rPr/>
      </w:pPr>
      <w:r>
        <w:rPr>
          <w:rStyle w:val="Footnotereference"/>
        </w:rPr>
        <w:footnoteRef/>
        <w:tab/>
      </w:r>
      <w:r>
        <w:rPr/>
        <w:t xml:space="preserve"> </w:t>
      </w:r>
      <w:r>
        <w:rPr/>
        <w:t>Base de datos estadísticos de patentes de la Oficina Europea de Patentes (PATSTAT: Patent Statistical Database of European Patent Office)</w:t>
      </w:r>
    </w:p>
  </w:footnote>
  <w:footnote w:id="8">
    <w:p>
      <w:pPr>
        <w:pStyle w:val="Footnotetext"/>
        <w:spacing w:before="80" w:after="60"/>
        <w:rPr/>
      </w:pPr>
      <w:r>
        <w:rPr>
          <w:rStyle w:val="Footnotereference"/>
        </w:rPr>
        <w:footnoteRef/>
        <w:tab/>
      </w:r>
      <w:r>
        <w:rPr/>
        <w:t xml:space="preserve"> </w:t>
      </w:r>
      <w:r>
        <w:rPr/>
        <w:t>Quindenio: período de 15 años.</w:t>
      </w:r>
    </w:p>
  </w:footnote>
  <w:footnote w:id="9">
    <w:p>
      <w:pPr>
        <w:pStyle w:val="Footnotetext"/>
        <w:spacing w:before="80" w:after="60"/>
        <w:rPr/>
      </w:pPr>
      <w:r>
        <w:rPr>
          <w:rStyle w:val="Footnotereference"/>
        </w:rPr>
        <w:footnoteRef/>
        <w:tab/>
      </w:r>
      <w:r>
        <w:rPr/>
        <w:t xml:space="preserve"> </w:t>
      </w:r>
      <w:r>
        <w:rPr/>
        <w:t>El término análisis de componentes principales (</w:t>
      </w:r>
      <w:r>
        <w:rPr>
          <w:iCs/>
        </w:rPr>
        <w:t>ACP</w:t>
      </w:r>
      <w:r>
        <w:rPr/>
        <w:t xml:space="preserve">) es más conocido por sus siglas en inglés: </w:t>
      </w:r>
      <w:r>
        <w:rPr>
          <w:i/>
        </w:rPr>
        <w:t>PCA</w:t>
      </w:r>
      <w:r>
        <w:rPr/>
        <w:t xml:space="preserve"> (</w:t>
      </w:r>
      <w:r>
        <w:rPr>
          <w:i/>
          <w:iCs/>
        </w:rPr>
        <w:t>Principal Component Analisys</w:t>
      </w:r>
      <w:r>
        <w:rPr/>
        <w:t>)</w:t>
      </w:r>
      <w:r>
        <w:rPr>
          <w:i/>
        </w:rPr>
        <w:t xml:space="preserve"> </w:t>
      </w:r>
      <w:r>
        <w:fldChar w:fldCharType="begin"/>
      </w:r>
      <w:r>
        <w:instrText>ADDIN ZOTERO_ITEM CSL_CITATION {"citationID":"a2ps9uuucjv","properties":{"formattedCitation":"(Naik 2018)","plainCitation":"(Naik 2018)","noteIndex":10},"citationItems":[{"id":3482,"uris":["http://zotero.org/users/local/EJ15hJE2/items/P3MTP4TT"],"uri":["http://zotero.org/users/local/EJ15hJE2/items/P3MTP4TT"],"itemData":{"id":3482,"type":"book","collection-number":"1","edition":"Springer","ISBN":"978-981-10-6704-4","number-of-pages":"252","title":"Advances in Principal Component Analysis. Research and Development","author":[{"family":"Naik","given":"Ganesh"}],"issued":{"date-parts":[["2018"]]}}}],"schema":"https://github.com/citation-style-language/schema/raw/master/csl-citation.json"}</w:instrText>
      </w:r>
      <w:r>
        <w:fldChar w:fldCharType="separate"/>
      </w:r>
      <w:bookmarkStart w:id="3867" w:name="__Fieldmark__7205_2067855929"/>
      <w:r>
        <w:rPr>
          <w:i/>
        </w:rPr>
      </w:r>
      <w:r>
        <w:rPr>
          <w:i/>
        </w:rPr>
      </w:r>
      <w:r>
        <w:fldChar w:fldCharType="end"/>
      </w:r>
      <w:bookmarkStart w:id="3868" w:name="__Fieldmark__5448_998588997"/>
      <w:bookmarkStart w:id="3869" w:name="__Fieldmark__8511_118561941"/>
      <w:bookmarkStart w:id="3870" w:name="__Fieldmark__6179_498839314"/>
      <w:bookmarkEnd w:id="3867"/>
      <w:bookmarkEnd w:id="3868"/>
      <w:bookmarkEnd w:id="3869"/>
      <w:bookmarkEnd w:id="3870"/>
      <w:r>
        <w:rPr>
          <w:szCs w:val="24"/>
        </w:rPr>
        <w:t>(Naik 2018)</w:t>
      </w:r>
      <w:r>
        <w:rPr/>
        <w:t>.</w:t>
      </w:r>
    </w:p>
  </w:footnote>
  <w:footnote w:id="10">
    <w:p>
      <w:pPr>
        <w:pStyle w:val="Footnotetext"/>
        <w:spacing w:before="80" w:after="60"/>
        <w:rPr/>
      </w:pPr>
      <w:r>
        <w:rPr>
          <w:rStyle w:val="Footnotereference"/>
        </w:rPr>
        <w:footnoteRef/>
        <w:tab/>
      </w:r>
      <w:r>
        <w:rPr/>
        <w:t xml:space="preserve"> </w:t>
      </w:r>
      <w:r>
        <w:rPr/>
        <w:t>Ver definición de aprendizaje activo en el glosario de términos.</w:t>
      </w:r>
    </w:p>
  </w:footnote>
  <w:footnote w:id="11">
    <w:p>
      <w:pPr>
        <w:pStyle w:val="Footnotetext"/>
        <w:spacing w:before="80" w:after="60"/>
        <w:rPr/>
      </w:pPr>
      <w:r>
        <w:rPr>
          <w:rStyle w:val="Footnotereference"/>
        </w:rPr>
        <w:footnoteRef/>
        <w:tab/>
      </w:r>
      <w:r>
        <w:rPr/>
        <w:t xml:space="preserve"> </w:t>
      </w:r>
      <w:r>
        <w:rPr/>
        <w:t xml:space="preserve">Ver definición de teoría neutrosófica en el glosario de términos y la evolución de esta teoría en el </w:t>
      </w:r>
      <w:r>
        <w:rPr/>
        <w:fldChar w:fldCharType="begin"/>
      </w:r>
      <w:r>
        <w:instrText> REF _Ref79224509 \h </w:instrText>
      </w:r>
      <w:r>
        <w:fldChar w:fldCharType="separate"/>
      </w:r>
      <w:r>
        <w:t>Anexo 6</w:t>
      </w:r>
      <w:r>
        <w:fldChar w:fldCharType="end"/>
      </w:r>
      <w:r>
        <w:rPr/>
        <w:t xml:space="preserve"> </w:t>
      </w:r>
      <w:r>
        <w:rPr/>
        <w:fldChar w:fldCharType="begin"/>
      </w:r>
      <w:r>
        <w:instrText> REF _Ref79479311 \h </w:instrText>
      </w:r>
      <w:r>
        <w:fldChar w:fldCharType="separate"/>
      </w:r>
      <w:r>
        <w:t>Figura 36</w:t>
      </w:r>
      <w:r>
        <w:fldChar w:fldCharType="end"/>
      </w:r>
      <w:r>
        <w:rPr/>
        <w:t>.</w:t>
      </w:r>
    </w:p>
  </w:footnote>
  <w:footnote w:id="12">
    <w:p>
      <w:pPr>
        <w:pStyle w:val="Footnotetext"/>
        <w:spacing w:before="80" w:after="60"/>
        <w:rPr/>
      </w:pPr>
      <w:r>
        <w:rPr>
          <w:rStyle w:val="Footnotereference"/>
        </w:rPr>
        <w:footnoteRef/>
        <w:tab/>
      </w:r>
      <w:r>
        <w:rPr/>
        <w:t xml:space="preserve"> </w:t>
      </w:r>
      <w:r>
        <w:rPr/>
        <w:t>Se refiere a la fortaleza de las relaciones que descubren los algoritmos en la base de datos.</w:t>
      </w:r>
    </w:p>
  </w:footnote>
  <w:footnote w:id="13">
    <w:p>
      <w:pPr>
        <w:pStyle w:val="Footnotetext"/>
        <w:spacing w:before="80" w:after="60"/>
        <w:rPr/>
      </w:pPr>
      <w:r>
        <w:rPr>
          <w:rStyle w:val="Footnotereference"/>
        </w:rPr>
        <w:footnoteRef/>
        <w:tab/>
      </w:r>
      <w:r>
        <w:rPr/>
        <w:t xml:space="preserve"> </w:t>
      </w:r>
      <w:r>
        <w:rPr/>
        <w:t>Prueba no paramétrica que mide la discrepancia entre la distribución observada y una teórica (bondad de ajuste). Cuanto mayor sea la Chi-Cuadrado, menos verosímil es la hipótesis nula que supone la igualdad de las distribuciones; mientras más se acerca a cero este valor, más ajustadas están las distribuciones.</w:t>
      </w:r>
    </w:p>
  </w:footnote>
  <w:footnote w:id="14">
    <w:p>
      <w:pPr>
        <w:pStyle w:val="Footnotetext"/>
        <w:spacing w:before="80" w:after="60"/>
        <w:ind w:left="1276" w:hanging="1276"/>
        <w:rPr/>
      </w:pPr>
      <w:r>
        <w:rPr>
          <w:rStyle w:val="Footnotereference"/>
        </w:rPr>
        <w:footnoteRef/>
        <w:tab/>
      </w:r>
      <w:r>
        <w:rPr/>
        <w:t xml:space="preserve"> </w:t>
      </w:r>
      <w:r>
        <w:rPr>
          <w:sz w:val="18"/>
          <w:szCs w:val="18"/>
        </w:rPr>
        <w:t>La traducción de los términos es equivalente a la versión en español en la sección 9.9.1 de este mismo anexo.</w:t>
      </w:r>
    </w:p>
  </w:footnote>
  <w:footnote w:id="15">
    <w:p>
      <w:pPr>
        <w:pStyle w:val="Footnotetext"/>
        <w:spacing w:before="80" w:after="60"/>
        <w:ind w:left="1276" w:hanging="1276"/>
        <w:rPr/>
      </w:pPr>
      <w:r>
        <w:rPr>
          <w:rStyle w:val="Footnotereference"/>
        </w:rPr>
        <w:footnoteRef/>
        <w:tab/>
      </w:r>
      <w:r>
        <w:rPr/>
        <w:t xml:space="preserve"> </w:t>
      </w:r>
      <w:r>
        <w:rPr>
          <w:sz w:val="18"/>
          <w:szCs w:val="18"/>
        </w:rPr>
        <w:t>La traducción de los términos es equivalente a la versión en español en la sección 9.9.1 de este mismo anexo.</w:t>
      </w:r>
    </w:p>
  </w:footnote>
  <w:footnote w:id="16">
    <w:p>
      <w:pPr>
        <w:pStyle w:val="Footnotetext"/>
        <w:spacing w:before="80" w:after="60"/>
        <w:rPr/>
      </w:pPr>
      <w:r>
        <w:rPr>
          <w:rStyle w:val="Footnotereference"/>
        </w:rPr>
        <w:footnoteRef/>
        <w:tab/>
      </w:r>
      <w:r>
        <w:rPr/>
        <w:t xml:space="preserve"> </w:t>
      </w:r>
      <w:r>
        <w:rPr>
          <w:sz w:val="18"/>
          <w:szCs w:val="18"/>
        </w:rPr>
        <w:t>En español: “en la base de datos”</w:t>
      </w:r>
    </w:p>
  </w:footnote>
  <w:footnote w:id="17">
    <w:p>
      <w:pPr>
        <w:pStyle w:val="Footnotetext"/>
        <w:spacing w:before="80" w:after="60"/>
        <w:rPr/>
      </w:pPr>
      <w:r>
        <w:rPr>
          <w:rStyle w:val="Footnotereference"/>
        </w:rPr>
        <w:footnoteRef/>
        <w:tab/>
      </w:r>
      <w:r>
        <w:rPr/>
        <w:t xml:space="preserve"> </w:t>
      </w:r>
      <w:r>
        <w:rPr>
          <w:sz w:val="18"/>
          <w:szCs w:val="18"/>
        </w:rPr>
        <w:t>En español: “registros”</w:t>
      </w:r>
    </w:p>
  </w:footnote>
  <w:footnote w:id="18">
    <w:p>
      <w:pPr>
        <w:pStyle w:val="Footnotetext"/>
        <w:spacing w:before="80" w:after="60"/>
        <w:rPr/>
      </w:pPr>
      <w:r>
        <w:rPr>
          <w:rStyle w:val="Footnotereference"/>
        </w:rPr>
        <w:footnoteRef/>
        <w:tab/>
      </w:r>
      <w:r>
        <w:rPr/>
        <w:t xml:space="preserve"> </w:t>
      </w:r>
      <w:r>
        <w:rPr>
          <w:sz w:val="18"/>
          <w:szCs w:val="18"/>
        </w:rPr>
        <w:t>En español: “% de probabilidad”</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decimal"/>
      <w:lvlText w:val="%1"/>
      <w:lvlJc w:val="left"/>
      <w:pPr>
        <w:ind w:left="432" w:hanging="432"/>
      </w:pPr>
      <w:rPr>
        <w:b/>
        <w:color w:val="FFFFFF"/>
      </w:rPr>
    </w:lvl>
    <w:lvl w:ilvl="1">
      <w:start w:val="1"/>
      <w:pStyle w:val="Heading2"/>
      <w:numFmt w:val="decimal"/>
      <w:lvlText w:val="%1.%2"/>
      <w:lvlJc w:val="left"/>
      <w:pPr>
        <w:ind w:left="576" w:hanging="576"/>
      </w:pPr>
    </w:lvl>
    <w:lvl w:ilvl="2">
      <w:start w:val="1"/>
      <w:pStyle w:val="Heading3"/>
      <w:numFmt w:val="decimal"/>
      <w:lvlText w:val="%1.%2.%3"/>
      <w:lvlJc w:val="left"/>
      <w:pPr>
        <w:ind w:left="720" w:hanging="720"/>
      </w:pPr>
    </w:lvl>
    <w:lvl w:ilvl="3">
      <w:start w:val="1"/>
      <w:pStyle w:val="Heading4"/>
      <w:numFmt w:val="decimal"/>
      <w:lvlText w:val="%1.%2.%3.%4"/>
      <w:lvlJc w:val="left"/>
      <w:pPr>
        <w:ind w:left="864" w:hanging="864"/>
      </w:pPr>
    </w:lvl>
    <w:lvl w:ilvl="4">
      <w:start w:val="1"/>
      <w:pStyle w:val="Heading5"/>
      <w:numFmt w:val="decimal"/>
      <w:lvlText w:val="%1.%2.%3.%4.%5"/>
      <w:lvlJc w:val="left"/>
      <w:pPr>
        <w:ind w:left="1008" w:hanging="1008"/>
      </w:pPr>
    </w:lvl>
    <w:lvl w:ilvl="5">
      <w:start w:val="1"/>
      <w:pStyle w:val="Heading6"/>
      <w:numFmt w:val="decimal"/>
      <w:lvlText w:val="%1.%2.%3.%4.%5.%6"/>
      <w:lvlJc w:val="left"/>
      <w:pPr>
        <w:ind w:left="1152" w:hanging="1152"/>
      </w:pPr>
    </w:lvl>
    <w:lvl w:ilvl="6">
      <w:start w:val="1"/>
      <w:pStyle w:val="Heading7"/>
      <w:numFmt w:val="decimal"/>
      <w:lvlText w:val="%1.%2.%3.%4.%5.%6.%7"/>
      <w:lvlJc w:val="left"/>
      <w:pPr>
        <w:ind w:left="1296" w:hanging="1296"/>
      </w:pPr>
    </w:lvl>
    <w:lvl w:ilvl="7">
      <w:start w:val="1"/>
      <w:pStyle w:val="Heading8"/>
      <w:numFmt w:val="decimal"/>
      <w:lvlText w:val="%1.%2.%3.%4.%5.%6.%7.%8"/>
      <w:lvlJc w:val="left"/>
      <w:pPr>
        <w:ind w:left="1440" w:hanging="1440"/>
      </w:pPr>
    </w:lvl>
    <w:lvl w:ilvl="8">
      <w:start w:val="1"/>
      <w:pStyle w:val="Heading9"/>
      <w:numFmt w:val="decimal"/>
      <w:lvlText w:val="%1.%2.%3.%4.%5.%6.%7.%8.%9"/>
      <w:lvlJc w:val="left"/>
      <w:pPr>
        <w:ind w:left="1584" w:hanging="1584"/>
      </w:pPr>
    </w:lvl>
  </w:abstractNum>
  <w:abstractNum w:abstractNumId="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lvl w:ilvl="0">
      <w:start w:val="1"/>
      <w:numFmt w:val="bullet"/>
      <w:lvlText w:val=""/>
      <w:lvlJc w:val="left"/>
      <w:pPr>
        <w:ind w:left="720" w:hanging="360"/>
      </w:pPr>
      <w:rPr>
        <w:rFonts w:ascii="Symbol" w:hAnsi="Symbol" w:cs="Symbol" w:hint="default"/>
        <w:sz w:val="22"/>
        <w:szCs w:val="22"/>
        <w:highlight w:val="white"/>
        <w:rFonts w:cs="OpenSymbol"/>
        <w:color w:val="000000"/>
        <w:lang w:val="es-ES" w:eastAsia="zh-CN" w:bidi="ar-SA"/>
      </w:rPr>
    </w:lvl>
    <w:lvl w:ilvl="1">
      <w:start w:val="1"/>
      <w:numFmt w:val="decimal"/>
      <w:lvlText w:val="%2."/>
      <w:lvlJc w:val="left"/>
      <w:pPr>
        <w:tabs>
          <w:tab w:val="num" w:pos="1080"/>
        </w:tabs>
        <w:ind w:left="1080" w:hanging="360"/>
      </w:pPr>
      <w:rPr>
        <w:sz w:val="22"/>
        <w:i w:val="false"/>
        <w:b w:val="false"/>
        <w:szCs w:val="32"/>
        <w:iCs/>
        <w:rFonts w:ascii="Courier New" w:hAnsi="Courier New" w:cs="Aria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ind w:left="1080" w:hanging="360"/>
      </w:pPr>
      <w:rPr>
        <w:rFonts w:ascii="Symbol" w:hAnsi="Symbol" w:cs="Symbol" w:hint="default"/>
        <w:rFonts w:cs="Symbol"/>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Fonts w:cs="Wingdings"/>
      </w:rPr>
    </w:lvl>
    <w:lvl w:ilvl="3">
      <w:start w:val="1"/>
      <w:numFmt w:val="bullet"/>
      <w:lvlText w:val=""/>
      <w:lvlJc w:val="left"/>
      <w:pPr>
        <w:ind w:left="3240" w:hanging="360"/>
      </w:pPr>
      <w:rPr>
        <w:rFonts w:ascii="Symbol" w:hAnsi="Symbol" w:cs="Symbol" w:hint="default"/>
        <w:rFonts w:cs="Symbol"/>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Fonts w:cs="Wingdings"/>
      </w:rPr>
    </w:lvl>
    <w:lvl w:ilvl="6">
      <w:start w:val="1"/>
      <w:numFmt w:val="bullet"/>
      <w:lvlText w:val=""/>
      <w:lvlJc w:val="left"/>
      <w:pPr>
        <w:ind w:left="5400" w:hanging="360"/>
      </w:pPr>
      <w:rPr>
        <w:rFonts w:ascii="Symbol" w:hAnsi="Symbol" w:cs="Symbol" w:hint="default"/>
        <w:rFonts w:cs="Symbol"/>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Fonts w:cs="Wingdings"/>
      </w:rPr>
    </w:lvl>
  </w:abstractNum>
  <w:abstractNum w:abstractNumId="5">
    <w:lvl w:ilvl="0">
      <w:start w:val="1"/>
      <w:numFmt w:val="decimal"/>
      <w:lvlText w:val="%1"/>
      <w:lvlJc w:val="left"/>
      <w:pPr>
        <w:ind w:left="405" w:hanging="405"/>
      </w:pPr>
    </w:lvl>
    <w:lvl w:ilvl="1">
      <w:start w:val="1"/>
      <w:numFmt w:val="decimal"/>
      <w:lvlText w:val="%1.%2"/>
      <w:lvlJc w:val="left"/>
      <w:pPr>
        <w:ind w:left="765" w:hanging="405"/>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6">
    <w:lvl w:ilvl="0">
      <w:start w:val="1"/>
      <w:numFmt w:val="decimal"/>
      <w:lvlText w:val="Paso %1."/>
      <w:lvlJc w:val="left"/>
      <w:pPr>
        <w:ind w:left="720" w:hanging="360"/>
      </w:pPr>
      <w:rPr>
        <w:i w:val="fals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decimal"/>
      <w:lvlText w:val="Paso %1."/>
      <w:lvlJc w:val="left"/>
      <w:pPr>
        <w:ind w:left="720" w:hanging="360"/>
      </w:pPr>
      <w:rPr>
        <w:i w:val="fals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lvl w:ilvl="0">
      <w:start w:val="1"/>
      <w:numFmt w:val="bullet"/>
      <w:lvlText w:val=""/>
      <w:lvlJc w:val="left"/>
      <w:pPr>
        <w:ind w:left="720" w:hanging="360"/>
      </w:pPr>
      <w:rPr>
        <w:rFonts w:ascii="Symbol" w:hAnsi="Symbol" w:cs="Symbol" w:hint="default"/>
        <w:sz w:val="22"/>
        <w:szCs w:val="22"/>
        <w:highlight w:val="white"/>
        <w:rFonts w:cs="OpenSymbol"/>
        <w:color w:val="000000"/>
        <w:lang w:val="es-ES" w:eastAsia="zh-CN" w:bidi="ar-SA"/>
      </w:rPr>
    </w:lvl>
    <w:lvl w:ilvl="1">
      <w:start w:val="1"/>
      <w:numFmt w:val="decimal"/>
      <w:lvlText w:val="%2."/>
      <w:lvlJc w:val="left"/>
      <w:pPr>
        <w:tabs>
          <w:tab w:val="num" w:pos="1080"/>
        </w:tabs>
        <w:ind w:left="1080" w:hanging="360"/>
      </w:pPr>
      <w:rPr>
        <w:sz w:val="32"/>
        <w:i w:val="false"/>
        <w:szCs w:val="32"/>
        <w:iCs/>
        <w:rFonts w:eastAsia="Arial" w:cs="Aria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1">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2">
    <w:lvl w:ilvl="0">
      <w:start w:val="1"/>
      <w:numFmt w:val="bullet"/>
      <w:lvlText w:val=""/>
      <w:lvlJc w:val="left"/>
      <w:pPr>
        <w:ind w:left="928" w:hanging="360"/>
      </w:pPr>
      <w:rPr>
        <w:rFonts w:ascii="Symbol" w:hAnsi="Symbol" w:cs="Symbol" w:hint="default"/>
        <w:sz w:val="22"/>
        <w:rFonts w:cs="Symbol"/>
      </w:rPr>
    </w:lvl>
    <w:lvl w:ilvl="1">
      <w:start w:val="1"/>
      <w:numFmt w:val="bullet"/>
      <w:lvlText w:val="o"/>
      <w:lvlJc w:val="left"/>
      <w:pPr>
        <w:ind w:left="1648" w:hanging="360"/>
      </w:pPr>
      <w:rPr>
        <w:rFonts w:ascii="Courier New" w:hAnsi="Courier New" w:cs="Courier New" w:hint="default"/>
        <w:rFonts w:cs="Courier New"/>
      </w:rPr>
    </w:lvl>
    <w:lvl w:ilvl="2">
      <w:start w:val="1"/>
      <w:numFmt w:val="bullet"/>
      <w:lvlText w:val=""/>
      <w:lvlJc w:val="left"/>
      <w:pPr>
        <w:ind w:left="2368" w:hanging="360"/>
      </w:pPr>
      <w:rPr>
        <w:rFonts w:ascii="Wingdings" w:hAnsi="Wingdings" w:cs="Wingdings" w:hint="default"/>
        <w:rFonts w:cs="Wingdings"/>
      </w:rPr>
    </w:lvl>
    <w:lvl w:ilvl="3">
      <w:start w:val="1"/>
      <w:numFmt w:val="bullet"/>
      <w:lvlText w:val=""/>
      <w:lvlJc w:val="left"/>
      <w:pPr>
        <w:ind w:left="3088" w:hanging="360"/>
      </w:pPr>
      <w:rPr>
        <w:rFonts w:ascii="Symbol" w:hAnsi="Symbol" w:cs="Symbol" w:hint="default"/>
        <w:rFonts w:cs="Symbol"/>
      </w:rPr>
    </w:lvl>
    <w:lvl w:ilvl="4">
      <w:start w:val="1"/>
      <w:numFmt w:val="bullet"/>
      <w:lvlText w:val="o"/>
      <w:lvlJc w:val="left"/>
      <w:pPr>
        <w:ind w:left="3808" w:hanging="360"/>
      </w:pPr>
      <w:rPr>
        <w:rFonts w:ascii="Courier New" w:hAnsi="Courier New" w:cs="Courier New" w:hint="default"/>
        <w:rFonts w:cs="Courier New"/>
      </w:rPr>
    </w:lvl>
    <w:lvl w:ilvl="5">
      <w:start w:val="1"/>
      <w:numFmt w:val="bullet"/>
      <w:lvlText w:val=""/>
      <w:lvlJc w:val="left"/>
      <w:pPr>
        <w:ind w:left="4528" w:hanging="360"/>
      </w:pPr>
      <w:rPr>
        <w:rFonts w:ascii="Wingdings" w:hAnsi="Wingdings" w:cs="Wingdings" w:hint="default"/>
        <w:rFonts w:cs="Wingdings"/>
      </w:rPr>
    </w:lvl>
    <w:lvl w:ilvl="6">
      <w:start w:val="1"/>
      <w:numFmt w:val="bullet"/>
      <w:lvlText w:val=""/>
      <w:lvlJc w:val="left"/>
      <w:pPr>
        <w:ind w:left="5248" w:hanging="360"/>
      </w:pPr>
      <w:rPr>
        <w:rFonts w:ascii="Symbol" w:hAnsi="Symbol" w:cs="Symbol" w:hint="default"/>
        <w:rFonts w:cs="Symbol"/>
      </w:rPr>
    </w:lvl>
    <w:lvl w:ilvl="7">
      <w:start w:val="1"/>
      <w:numFmt w:val="bullet"/>
      <w:lvlText w:val="o"/>
      <w:lvlJc w:val="left"/>
      <w:pPr>
        <w:ind w:left="5968" w:hanging="360"/>
      </w:pPr>
      <w:rPr>
        <w:rFonts w:ascii="Courier New" w:hAnsi="Courier New" w:cs="Courier New" w:hint="default"/>
        <w:rFonts w:cs="Courier New"/>
      </w:rPr>
    </w:lvl>
    <w:lvl w:ilvl="8">
      <w:start w:val="1"/>
      <w:numFmt w:val="bullet"/>
      <w:lvlText w:val=""/>
      <w:lvlJc w:val="left"/>
      <w:pPr>
        <w:ind w:left="6688" w:hanging="360"/>
      </w:pPr>
      <w:rPr>
        <w:rFonts w:ascii="Wingdings" w:hAnsi="Wingdings" w:cs="Wingdings" w:hint="default"/>
        <w:rFonts w:cs="Wingdings"/>
      </w:rPr>
    </w:lvl>
  </w:abstractNum>
  <w:abstractNum w:abstractNumId="13">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4">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5">
    <w:lvl w:ilvl="0">
      <w:start w:val="7"/>
      <w:numFmt w:val="decimal"/>
      <w:lvlText w:val="Paso.%1."/>
      <w:lvlJc w:val="left"/>
      <w:pPr>
        <w:ind w:left="360" w:hanging="360"/>
      </w:pPr>
      <w:rPr>
        <w:sz w:val="22"/>
      </w:rPr>
    </w:lvl>
    <w:lvl w:ilvl="1">
      <w:start w:val="1"/>
      <w:numFmt w:val="decimal"/>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lvl w:ilvl="0">
      <w:start w:val="1"/>
      <w:numFmt w:val="bullet"/>
      <w:lvlText w:val=""/>
      <w:lvlJc w:val="left"/>
      <w:pPr>
        <w:ind w:left="947" w:hanging="360"/>
      </w:pPr>
      <w:rPr>
        <w:rFonts w:ascii="Symbol" w:hAnsi="Symbol" w:cs="Symbol" w:hint="default"/>
        <w:rFonts w:cs="Symbol"/>
      </w:rPr>
    </w:lvl>
    <w:lvl w:ilvl="1">
      <w:start w:val="1"/>
      <w:numFmt w:val="bullet"/>
      <w:lvlText w:val="o"/>
      <w:lvlJc w:val="left"/>
      <w:pPr>
        <w:ind w:left="1667" w:hanging="360"/>
      </w:pPr>
      <w:rPr>
        <w:rFonts w:ascii="Courier New" w:hAnsi="Courier New" w:cs="Courier New" w:hint="default"/>
        <w:rFonts w:cs="Courier New"/>
      </w:rPr>
    </w:lvl>
    <w:lvl w:ilvl="2">
      <w:start w:val="1"/>
      <w:numFmt w:val="bullet"/>
      <w:lvlText w:val=""/>
      <w:lvlJc w:val="left"/>
      <w:pPr>
        <w:ind w:left="2387" w:hanging="360"/>
      </w:pPr>
      <w:rPr>
        <w:rFonts w:ascii="Wingdings" w:hAnsi="Wingdings" w:cs="Wingdings" w:hint="default"/>
        <w:rFonts w:cs="Wingdings"/>
      </w:rPr>
    </w:lvl>
    <w:lvl w:ilvl="3">
      <w:start w:val="1"/>
      <w:numFmt w:val="bullet"/>
      <w:lvlText w:val=""/>
      <w:lvlJc w:val="left"/>
      <w:pPr>
        <w:ind w:left="3107" w:hanging="360"/>
      </w:pPr>
      <w:rPr>
        <w:rFonts w:ascii="Symbol" w:hAnsi="Symbol" w:cs="Symbol" w:hint="default"/>
        <w:rFonts w:cs="Symbol"/>
      </w:rPr>
    </w:lvl>
    <w:lvl w:ilvl="4">
      <w:start w:val="1"/>
      <w:numFmt w:val="bullet"/>
      <w:lvlText w:val="o"/>
      <w:lvlJc w:val="left"/>
      <w:pPr>
        <w:ind w:left="3827" w:hanging="360"/>
      </w:pPr>
      <w:rPr>
        <w:rFonts w:ascii="Courier New" w:hAnsi="Courier New" w:cs="Courier New" w:hint="default"/>
        <w:rFonts w:cs="Courier New"/>
      </w:rPr>
    </w:lvl>
    <w:lvl w:ilvl="5">
      <w:start w:val="1"/>
      <w:numFmt w:val="bullet"/>
      <w:lvlText w:val=""/>
      <w:lvlJc w:val="left"/>
      <w:pPr>
        <w:ind w:left="4547" w:hanging="360"/>
      </w:pPr>
      <w:rPr>
        <w:rFonts w:ascii="Wingdings" w:hAnsi="Wingdings" w:cs="Wingdings" w:hint="default"/>
        <w:rFonts w:cs="Wingdings"/>
      </w:rPr>
    </w:lvl>
    <w:lvl w:ilvl="6">
      <w:start w:val="1"/>
      <w:numFmt w:val="bullet"/>
      <w:lvlText w:val=""/>
      <w:lvlJc w:val="left"/>
      <w:pPr>
        <w:ind w:left="5267" w:hanging="360"/>
      </w:pPr>
      <w:rPr>
        <w:rFonts w:ascii="Symbol" w:hAnsi="Symbol" w:cs="Symbol" w:hint="default"/>
        <w:rFonts w:cs="Symbol"/>
      </w:rPr>
    </w:lvl>
    <w:lvl w:ilvl="7">
      <w:start w:val="1"/>
      <w:numFmt w:val="bullet"/>
      <w:lvlText w:val="o"/>
      <w:lvlJc w:val="left"/>
      <w:pPr>
        <w:ind w:left="5987" w:hanging="360"/>
      </w:pPr>
      <w:rPr>
        <w:rFonts w:ascii="Courier New" w:hAnsi="Courier New" w:cs="Courier New" w:hint="default"/>
        <w:rFonts w:cs="Courier New"/>
      </w:rPr>
    </w:lvl>
    <w:lvl w:ilvl="8">
      <w:start w:val="1"/>
      <w:numFmt w:val="bullet"/>
      <w:lvlText w:val=""/>
      <w:lvlJc w:val="left"/>
      <w:pPr>
        <w:ind w:left="6707" w:hanging="360"/>
      </w:pPr>
      <w:rPr>
        <w:rFonts w:ascii="Wingdings" w:hAnsi="Wingdings" w:cs="Wingdings" w:hint="default"/>
        <w:rFonts w:cs="Wingdings"/>
      </w:rPr>
    </w:lvl>
  </w:abstractNum>
  <w:abstractNum w:abstractNumId="17">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8">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9">
    <w:lvl w:ilvl="0">
      <w:start w:val="1"/>
      <w:numFmt w:val="bullet"/>
      <w:lvlText w:val=""/>
      <w:lvlJc w:val="left"/>
      <w:pPr>
        <w:ind w:left="720" w:hanging="360"/>
      </w:pPr>
      <w:rPr>
        <w:rFonts w:ascii="Symbol" w:hAnsi="Symbol" w:cs="Symbol" w:hint="default"/>
        <w:rFonts w:cs="Symbol"/>
      </w:rPr>
    </w:lvl>
    <w:lvl w:ilvl="1">
      <w:start w:val="1"/>
      <w:numFmt w:val="bullet"/>
      <w:lvlText w:val=""/>
      <w:lvlJc w:val="left"/>
      <w:pPr>
        <w:ind w:left="1440" w:hanging="360"/>
      </w:pPr>
      <w:rPr>
        <w:rFonts w:ascii="Symbol" w:hAnsi="Symbol" w:cs="Symbol" w:hint="default"/>
        <w:rFonts w:cs="Symbol"/>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0">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1">
    <w:lvl w:ilvl="0">
      <w:start w:val="1"/>
      <w:numFmt w:val="decimal"/>
      <w:lvlText w:val="Paso %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lvl w:ilvl="0">
      <w:start w:val="1"/>
      <w:numFmt w:val="decimal"/>
      <w:lvlText w:val="%1."/>
      <w:lvlJc w:val="left"/>
      <w:pPr>
        <w:ind w:left="720" w:hanging="36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lvl w:ilvl="0">
      <w:start w:val="1"/>
      <w:numFmt w:val="bullet"/>
      <w:lvlText w:val=""/>
      <w:lvlJc w:val="left"/>
      <w:pPr>
        <w:ind w:left="1310" w:hanging="360"/>
      </w:pPr>
      <w:rPr>
        <w:rFonts w:ascii="Symbol" w:hAnsi="Symbol" w:cs="Symbol" w:hint="default"/>
        <w:rFonts w:cs="Symbol"/>
      </w:rPr>
    </w:lvl>
    <w:lvl w:ilvl="1">
      <w:start w:val="1"/>
      <w:numFmt w:val="bullet"/>
      <w:lvlText w:val="o"/>
      <w:lvlJc w:val="left"/>
      <w:pPr>
        <w:ind w:left="2030" w:hanging="360"/>
      </w:pPr>
      <w:rPr>
        <w:rFonts w:ascii="Courier New" w:hAnsi="Courier New" w:cs="Courier New" w:hint="default"/>
        <w:rFonts w:cs="Courier New"/>
      </w:rPr>
    </w:lvl>
    <w:lvl w:ilvl="2">
      <w:start w:val="1"/>
      <w:numFmt w:val="bullet"/>
      <w:lvlText w:val=""/>
      <w:lvlJc w:val="left"/>
      <w:pPr>
        <w:ind w:left="2750" w:hanging="360"/>
      </w:pPr>
      <w:rPr>
        <w:rFonts w:ascii="Wingdings" w:hAnsi="Wingdings" w:cs="Wingdings" w:hint="default"/>
        <w:rFonts w:cs="Wingdings"/>
      </w:rPr>
    </w:lvl>
    <w:lvl w:ilvl="3">
      <w:start w:val="1"/>
      <w:numFmt w:val="bullet"/>
      <w:lvlText w:val=""/>
      <w:lvlJc w:val="left"/>
      <w:pPr>
        <w:ind w:left="3470" w:hanging="360"/>
      </w:pPr>
      <w:rPr>
        <w:rFonts w:ascii="Symbol" w:hAnsi="Symbol" w:cs="Symbol" w:hint="default"/>
        <w:rFonts w:cs="Symbol"/>
      </w:rPr>
    </w:lvl>
    <w:lvl w:ilvl="4">
      <w:start w:val="1"/>
      <w:numFmt w:val="bullet"/>
      <w:lvlText w:val="o"/>
      <w:lvlJc w:val="left"/>
      <w:pPr>
        <w:ind w:left="4190" w:hanging="360"/>
      </w:pPr>
      <w:rPr>
        <w:rFonts w:ascii="Courier New" w:hAnsi="Courier New" w:cs="Courier New" w:hint="default"/>
        <w:rFonts w:cs="Courier New"/>
      </w:rPr>
    </w:lvl>
    <w:lvl w:ilvl="5">
      <w:start w:val="1"/>
      <w:numFmt w:val="bullet"/>
      <w:lvlText w:val=""/>
      <w:lvlJc w:val="left"/>
      <w:pPr>
        <w:ind w:left="4910" w:hanging="360"/>
      </w:pPr>
      <w:rPr>
        <w:rFonts w:ascii="Wingdings" w:hAnsi="Wingdings" w:cs="Wingdings" w:hint="default"/>
        <w:rFonts w:cs="Wingdings"/>
      </w:rPr>
    </w:lvl>
    <w:lvl w:ilvl="6">
      <w:start w:val="1"/>
      <w:numFmt w:val="bullet"/>
      <w:lvlText w:val=""/>
      <w:lvlJc w:val="left"/>
      <w:pPr>
        <w:ind w:left="5630" w:hanging="360"/>
      </w:pPr>
      <w:rPr>
        <w:rFonts w:ascii="Symbol" w:hAnsi="Symbol" w:cs="Symbol" w:hint="default"/>
        <w:rFonts w:cs="Symbol"/>
      </w:rPr>
    </w:lvl>
    <w:lvl w:ilvl="7">
      <w:start w:val="1"/>
      <w:numFmt w:val="bullet"/>
      <w:lvlText w:val="o"/>
      <w:lvlJc w:val="left"/>
      <w:pPr>
        <w:ind w:left="6350" w:hanging="360"/>
      </w:pPr>
      <w:rPr>
        <w:rFonts w:ascii="Courier New" w:hAnsi="Courier New" w:cs="Courier New" w:hint="default"/>
        <w:rFonts w:cs="Courier New"/>
      </w:rPr>
    </w:lvl>
    <w:lvl w:ilvl="8">
      <w:start w:val="1"/>
      <w:numFmt w:val="bullet"/>
      <w:lvlText w:val=""/>
      <w:lvlJc w:val="left"/>
      <w:pPr>
        <w:ind w:left="7070" w:hanging="360"/>
      </w:pPr>
      <w:rPr>
        <w:rFonts w:ascii="Wingdings" w:hAnsi="Wingdings" w:cs="Wingdings" w:hint="default"/>
        <w:rFonts w:cs="Wingdings"/>
      </w:rPr>
    </w:lvl>
  </w:abstractNum>
  <w:abstractNum w:abstractNumId="24">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3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lvl w:ilvl="0">
      <w:start w:val="1"/>
      <w:numFmt w:val="decimal"/>
      <w:lvlText w:val="%1."/>
      <w:lvlJc w:val="left"/>
      <w:pPr>
        <w:ind w:left="720" w:hanging="360"/>
      </w:pPr>
    </w:lvl>
    <w:lvl w:ilvl="1">
      <w:start w:val="1"/>
      <w:numFmt w:val="bullet"/>
      <w:lvlText w:val=""/>
      <w:lvlJc w:val="left"/>
      <w:pPr>
        <w:ind w:left="1440" w:hanging="360"/>
      </w:pPr>
      <w:rPr>
        <w:rFonts w:ascii="Symbol" w:hAnsi="Symbol" w:cs="Symbol" w:hint="default"/>
        <w:rFonts w:cs="Symbol"/>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9">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0">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1">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2">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3">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4">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5">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6">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7">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8">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9">
    <w:lvl w:ilvl="0">
      <w:start w:val="1"/>
      <w:numFmt w:val="bullet"/>
      <w:lvlText w:val=""/>
      <w:lvlJc w:val="left"/>
      <w:pPr>
        <w:ind w:left="1080" w:hanging="360"/>
      </w:pPr>
      <w:rPr>
        <w:rFonts w:ascii="Symbol" w:hAnsi="Symbol" w:cs="Symbol" w:hint="default"/>
        <w:rFonts w:cs="Symbol"/>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Fonts w:cs="Wingdings"/>
      </w:rPr>
    </w:lvl>
    <w:lvl w:ilvl="3">
      <w:start w:val="1"/>
      <w:numFmt w:val="bullet"/>
      <w:lvlText w:val=""/>
      <w:lvlJc w:val="left"/>
      <w:pPr>
        <w:ind w:left="3240" w:hanging="360"/>
      </w:pPr>
      <w:rPr>
        <w:rFonts w:ascii="Symbol" w:hAnsi="Symbol" w:cs="Symbol" w:hint="default"/>
        <w:rFonts w:cs="Symbol"/>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Fonts w:cs="Wingdings"/>
      </w:rPr>
    </w:lvl>
    <w:lvl w:ilvl="6">
      <w:start w:val="1"/>
      <w:numFmt w:val="bullet"/>
      <w:lvlText w:val=""/>
      <w:lvlJc w:val="left"/>
      <w:pPr>
        <w:ind w:left="5400" w:hanging="360"/>
      </w:pPr>
      <w:rPr>
        <w:rFonts w:ascii="Symbol" w:hAnsi="Symbol" w:cs="Symbol" w:hint="default"/>
        <w:rFonts w:cs="Symbol"/>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Fonts w:cs="Wingdings"/>
      </w:rPr>
    </w:lvl>
  </w:abstractNum>
  <w:abstractNum w:abstractNumId="40">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1">
    <w:lvl w:ilvl="0">
      <w:start w:val="1"/>
      <w:numFmt w:val="decimal"/>
      <w:lvlText w:val="Paso %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3">
    <w:lvl w:ilvl="0">
      <w:start w:val="1"/>
      <w:numFmt w:val="decimal"/>
      <w:lvlText w:val="Paso %1."/>
      <w:lvlJc w:val="left"/>
      <w:pPr>
        <w:ind w:left="720" w:hanging="360"/>
      </w:pPr>
      <w:rPr>
        <w:i w:val="fals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lvl w:ilvl="0">
      <w:start w:val="1"/>
      <w:numFmt w:val="decimal"/>
      <w:lvlText w:val="Paso 4.%1."/>
      <w:lvlJc w:val="left"/>
      <w:pPr>
        <w:ind w:left="720" w:hanging="360"/>
      </w:pPr>
      <w:rPr>
        <w:i w:val="fals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lvl w:ilvl="0">
      <w:start w:val="1"/>
      <w:numFmt w:val="decimal"/>
      <w:lvlText w:val="Paso 6.%1."/>
      <w:lvlJc w:val="left"/>
      <w:pPr>
        <w:ind w:left="720" w:hanging="360"/>
      </w:pPr>
      <w:rPr>
        <w:i w:val="fals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lvl w:ilvl="0">
      <w:start w:val="1"/>
      <w:numFmt w:val="decimal"/>
      <w:lvlText w:val="Paso 4.%1."/>
      <w:lvlJc w:val="left"/>
      <w:pPr>
        <w:ind w:left="720" w:hanging="360"/>
      </w:pPr>
      <w:rPr>
        <w:i w:val="fals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lang w:val="es-E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lvl w:ilvl="0">
      <w:start w:val="1"/>
      <w:numFmt w:val="decimal"/>
      <w:lvlText w:val="Paso 6.%1."/>
      <w:lvlJc w:val="left"/>
      <w:pPr>
        <w:ind w:left="644" w:hanging="360"/>
      </w:pPr>
      <w:rPr>
        <w:i w:val="fals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lvl w:ilvl="0">
      <w:start w:val="1"/>
      <w:numFmt w:val="decimal"/>
      <w:lvlText w:val="Paso %1."/>
      <w:lvlJc w:val="left"/>
      <w:pPr>
        <w:ind w:left="720" w:hanging="360"/>
      </w:pPr>
      <w:rPr>
        <w:i w:val="fals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lvl w:ilvl="0">
      <w:start w:val="1"/>
      <w:numFmt w:val="decimal"/>
      <w:lvlText w:val="Paso 1.%1."/>
      <w:lvlJc w:val="left"/>
      <w:pPr>
        <w:ind w:left="720" w:hanging="360"/>
      </w:pPr>
      <w:rPr>
        <w:i w:val="fals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lvl w:ilvl="0">
      <w:start w:val="1"/>
      <w:numFmt w:val="decimal"/>
      <w:lvlText w:val="%1."/>
      <w:lvlJc w:val="left"/>
      <w:pPr>
        <w:ind w:left="720" w:hanging="360"/>
      </w:pPr>
      <w:rPr>
        <w:lang w:val="es-E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lvl w:ilvl="0">
      <w:start w:val="1"/>
      <w:numFmt w:val="decimal"/>
      <w:lvlText w:val="%1."/>
      <w:lvlJc w:val="left"/>
      <w:pPr>
        <w:ind w:left="720" w:hanging="360"/>
      </w:pPr>
      <w:rPr>
        <w:sz w:val="22"/>
      </w:rPr>
    </w:lvl>
    <w:lvl w:ilvl="1">
      <w:start w:val="1"/>
      <w:numFmt w:val="bullet"/>
      <w:lvlText w:val=""/>
      <w:lvlJc w:val="left"/>
      <w:pPr>
        <w:ind w:left="1440" w:hanging="360"/>
      </w:pPr>
      <w:rPr>
        <w:rFonts w:ascii="Symbol" w:hAnsi="Symbol" w:cs="Symbol" w:hint="default"/>
        <w:rFonts w:cs="Symbo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3">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4">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5">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6">
    <w:lvl w:ilvl="0">
      <w:start w:val="1"/>
      <w:numFmt w:val="bullet"/>
      <w:lvlText w:val=""/>
      <w:lvlJc w:val="left"/>
      <w:pPr>
        <w:ind w:left="720" w:hanging="360"/>
      </w:pPr>
      <w:rPr>
        <w:rFonts w:ascii="Symbol" w:hAnsi="Symbol" w:cs="Symbol" w:hint="default"/>
        <w:sz w:val="21"/>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7">
    <w:lvl w:ilvl="0">
      <w:start w:val="1"/>
      <w:numFmt w:val="bullet"/>
      <w:lvlText w:val=""/>
      <w:lvlJc w:val="left"/>
      <w:pPr>
        <w:ind w:left="360" w:hanging="360"/>
      </w:pPr>
      <w:rPr>
        <w:rFonts w:ascii="Symbol" w:hAnsi="Symbol" w:cs="Symbol" w:hint="default"/>
        <w:sz w:val="21"/>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58">
    <w:lvl w:ilvl="0">
      <w:start w:val="1"/>
      <w:numFmt w:val="decimal"/>
      <w:lvlText w:val="Paso %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lvl w:ilvl="0">
      <w:start w:val="1"/>
      <w:numFmt w:val="decimal"/>
      <w:lvlText w:val="Paso %1."/>
      <w:lvlJc w:val="left"/>
      <w:pPr>
        <w:ind w:left="1310" w:hanging="360"/>
      </w:pPr>
      <w:rPr>
        <w:i w:val="false"/>
      </w:rPr>
    </w:lvl>
    <w:lvl w:ilvl="1">
      <w:start w:val="1"/>
      <w:numFmt w:val="lowerLetter"/>
      <w:lvlText w:val="%2."/>
      <w:lvlJc w:val="left"/>
      <w:pPr>
        <w:ind w:left="2030" w:hanging="360"/>
      </w:pPr>
    </w:lvl>
    <w:lvl w:ilvl="2">
      <w:start w:val="1"/>
      <w:numFmt w:val="lowerRoman"/>
      <w:lvlText w:val="%3."/>
      <w:lvlJc w:val="right"/>
      <w:pPr>
        <w:ind w:left="2750" w:hanging="180"/>
      </w:pPr>
    </w:lvl>
    <w:lvl w:ilvl="3">
      <w:start w:val="1"/>
      <w:numFmt w:val="decimal"/>
      <w:lvlText w:val="%4."/>
      <w:lvlJc w:val="left"/>
      <w:pPr>
        <w:ind w:left="3470" w:hanging="360"/>
      </w:pPr>
    </w:lvl>
    <w:lvl w:ilvl="4">
      <w:start w:val="1"/>
      <w:numFmt w:val="lowerLetter"/>
      <w:lvlText w:val="%5."/>
      <w:lvlJc w:val="left"/>
      <w:pPr>
        <w:ind w:left="4190" w:hanging="360"/>
      </w:pPr>
    </w:lvl>
    <w:lvl w:ilvl="5">
      <w:start w:val="1"/>
      <w:numFmt w:val="lowerRoman"/>
      <w:lvlText w:val="%6."/>
      <w:lvlJc w:val="right"/>
      <w:pPr>
        <w:ind w:left="4910" w:hanging="180"/>
      </w:pPr>
    </w:lvl>
    <w:lvl w:ilvl="6">
      <w:start w:val="1"/>
      <w:numFmt w:val="decimal"/>
      <w:lvlText w:val="%7."/>
      <w:lvlJc w:val="left"/>
      <w:pPr>
        <w:ind w:left="5630" w:hanging="360"/>
      </w:pPr>
    </w:lvl>
    <w:lvl w:ilvl="7">
      <w:start w:val="1"/>
      <w:numFmt w:val="lowerLetter"/>
      <w:lvlText w:val="%8."/>
      <w:lvlJc w:val="left"/>
      <w:pPr>
        <w:ind w:left="6350" w:hanging="360"/>
      </w:pPr>
    </w:lvl>
    <w:lvl w:ilvl="8">
      <w:start w:val="1"/>
      <w:numFmt w:val="lowerRoman"/>
      <w:lvlText w:val="%9."/>
      <w:lvlJc w:val="right"/>
      <w:pPr>
        <w:ind w:left="7070" w:hanging="180"/>
      </w:pPr>
    </w:lvl>
  </w:abstractNum>
  <w:abstractNum w:abstractNumId="60">
    <w:lvl w:ilvl="0">
      <w:start w:val="1"/>
      <w:numFmt w:val="decimal"/>
      <w:lvlText w:val="Paso %1."/>
      <w:lvlJc w:val="left"/>
      <w:pPr>
        <w:ind w:left="835" w:hanging="360"/>
      </w:pPr>
    </w:lvl>
    <w:lvl w:ilvl="1">
      <w:start w:val="1"/>
      <w:numFmt w:val="lowerLetter"/>
      <w:lvlText w:val="%2."/>
      <w:lvlJc w:val="left"/>
      <w:pPr>
        <w:ind w:left="1555" w:hanging="360"/>
      </w:pPr>
    </w:lvl>
    <w:lvl w:ilvl="2">
      <w:start w:val="1"/>
      <w:numFmt w:val="lowerRoman"/>
      <w:lvlText w:val="%3."/>
      <w:lvlJc w:val="right"/>
      <w:pPr>
        <w:ind w:left="2275" w:hanging="180"/>
      </w:pPr>
    </w:lvl>
    <w:lvl w:ilvl="3">
      <w:start w:val="1"/>
      <w:numFmt w:val="decimal"/>
      <w:lvlText w:val="%4."/>
      <w:lvlJc w:val="left"/>
      <w:pPr>
        <w:ind w:left="2995" w:hanging="360"/>
      </w:pPr>
    </w:lvl>
    <w:lvl w:ilvl="4">
      <w:start w:val="1"/>
      <w:numFmt w:val="lowerLetter"/>
      <w:lvlText w:val="%5."/>
      <w:lvlJc w:val="left"/>
      <w:pPr>
        <w:ind w:left="3715" w:hanging="360"/>
      </w:pPr>
    </w:lvl>
    <w:lvl w:ilvl="5">
      <w:start w:val="1"/>
      <w:numFmt w:val="lowerRoman"/>
      <w:lvlText w:val="%6."/>
      <w:lvlJc w:val="right"/>
      <w:pPr>
        <w:ind w:left="4435" w:hanging="180"/>
      </w:pPr>
    </w:lvl>
    <w:lvl w:ilvl="6">
      <w:start w:val="1"/>
      <w:numFmt w:val="decimal"/>
      <w:lvlText w:val="%7."/>
      <w:lvlJc w:val="left"/>
      <w:pPr>
        <w:ind w:left="5155" w:hanging="360"/>
      </w:pPr>
    </w:lvl>
    <w:lvl w:ilvl="7">
      <w:start w:val="1"/>
      <w:numFmt w:val="lowerLetter"/>
      <w:lvlText w:val="%8."/>
      <w:lvlJc w:val="left"/>
      <w:pPr>
        <w:ind w:left="5875" w:hanging="360"/>
      </w:pPr>
    </w:lvl>
    <w:lvl w:ilvl="8">
      <w:start w:val="1"/>
      <w:numFmt w:val="lowerRoman"/>
      <w:lvlText w:val="%9."/>
      <w:lvlJc w:val="right"/>
      <w:pPr>
        <w:ind w:left="6595" w:hanging="180"/>
      </w:pPr>
    </w:lvl>
  </w:abstractNum>
  <w:abstractNum w:abstractNumId="61">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62">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63">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64">
    <w:lvl w:ilvl="0">
      <w:start w:val="1"/>
      <w:numFmt w:val="bullet"/>
      <w:lvlText w:val="o"/>
      <w:lvlJc w:val="left"/>
      <w:pPr>
        <w:ind w:left="1440" w:hanging="360"/>
      </w:pPr>
      <w:rPr>
        <w:rFonts w:ascii="Courier New" w:hAnsi="Courier New" w:cs="Courier New" w:hint="default"/>
        <w:rFonts w:cs="Courier New"/>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Fonts w:cs="Wingdings"/>
      </w:rPr>
    </w:lvl>
    <w:lvl w:ilvl="3">
      <w:start w:val="1"/>
      <w:numFmt w:val="bullet"/>
      <w:lvlText w:val=""/>
      <w:lvlJc w:val="left"/>
      <w:pPr>
        <w:ind w:left="3600" w:hanging="360"/>
      </w:pPr>
      <w:rPr>
        <w:rFonts w:ascii="Symbol" w:hAnsi="Symbol" w:cs="Symbol" w:hint="default"/>
        <w:rFonts w:cs="Symbol"/>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Fonts w:cs="Wingdings"/>
      </w:rPr>
    </w:lvl>
    <w:lvl w:ilvl="6">
      <w:start w:val="1"/>
      <w:numFmt w:val="bullet"/>
      <w:lvlText w:val=""/>
      <w:lvlJc w:val="left"/>
      <w:pPr>
        <w:ind w:left="5760" w:hanging="360"/>
      </w:pPr>
      <w:rPr>
        <w:rFonts w:ascii="Symbol" w:hAnsi="Symbol" w:cs="Symbol" w:hint="default"/>
        <w:rFonts w:cs="Symbol"/>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Fonts w:cs="Wingdings"/>
      </w:rPr>
    </w:lvl>
  </w:abstractNum>
  <w:abstractNum w:abstractNumId="65">
    <w:lvl w:ilvl="0">
      <w:start w:val="1"/>
      <w:numFmt w:val="bullet"/>
      <w:lvlText w:val="o"/>
      <w:lvlJc w:val="left"/>
      <w:pPr>
        <w:ind w:left="1440" w:hanging="360"/>
      </w:pPr>
      <w:rPr>
        <w:rFonts w:ascii="Courier New" w:hAnsi="Courier New" w:cs="Courier New" w:hint="default"/>
        <w:rFonts w:cs="Courier New"/>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Fonts w:cs="Wingdings"/>
      </w:rPr>
    </w:lvl>
    <w:lvl w:ilvl="3">
      <w:start w:val="1"/>
      <w:numFmt w:val="bullet"/>
      <w:lvlText w:val=""/>
      <w:lvlJc w:val="left"/>
      <w:pPr>
        <w:ind w:left="3600" w:hanging="360"/>
      </w:pPr>
      <w:rPr>
        <w:rFonts w:ascii="Symbol" w:hAnsi="Symbol" w:cs="Symbol" w:hint="default"/>
        <w:rFonts w:cs="Symbol"/>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Fonts w:cs="Wingdings"/>
      </w:rPr>
    </w:lvl>
    <w:lvl w:ilvl="6">
      <w:start w:val="1"/>
      <w:numFmt w:val="bullet"/>
      <w:lvlText w:val=""/>
      <w:lvlJc w:val="left"/>
      <w:pPr>
        <w:ind w:left="5760" w:hanging="360"/>
      </w:pPr>
      <w:rPr>
        <w:rFonts w:ascii="Symbol" w:hAnsi="Symbol" w:cs="Symbol" w:hint="default"/>
        <w:rFonts w:cs="Symbol"/>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Fonts w:cs="Wingdings"/>
      </w:rPr>
    </w:lvl>
  </w:abstractNum>
  <w:abstractNum w:abstractNumId="66">
    <w:lvl w:ilvl="0">
      <w:start w:val="1"/>
      <w:numFmt w:val="bullet"/>
      <w:lvlText w:val="o"/>
      <w:lvlJc w:val="left"/>
      <w:pPr>
        <w:ind w:left="1800" w:hanging="360"/>
      </w:pPr>
      <w:rPr>
        <w:rFonts w:ascii="Courier New" w:hAnsi="Courier New" w:cs="Courier New" w:hint="default"/>
        <w:rFonts w:cs="Courier New"/>
      </w:rPr>
    </w:lvl>
    <w:lvl w:ilvl="1">
      <w:start w:val="1"/>
      <w:numFmt w:val="bullet"/>
      <w:lvlText w:val="o"/>
      <w:lvlJc w:val="left"/>
      <w:pPr>
        <w:ind w:left="2520" w:hanging="360"/>
      </w:pPr>
      <w:rPr>
        <w:rFonts w:ascii="Courier New" w:hAnsi="Courier New" w:cs="Courier New" w:hint="default"/>
        <w:rFonts w:cs="Courier New"/>
      </w:rPr>
    </w:lvl>
    <w:lvl w:ilvl="2">
      <w:start w:val="1"/>
      <w:numFmt w:val="bullet"/>
      <w:lvlText w:val=""/>
      <w:lvlJc w:val="left"/>
      <w:pPr>
        <w:ind w:left="3240" w:hanging="360"/>
      </w:pPr>
      <w:rPr>
        <w:rFonts w:ascii="Wingdings" w:hAnsi="Wingdings" w:cs="Wingdings" w:hint="default"/>
        <w:rFonts w:cs="Wingdings"/>
      </w:rPr>
    </w:lvl>
    <w:lvl w:ilvl="3">
      <w:start w:val="1"/>
      <w:numFmt w:val="bullet"/>
      <w:lvlText w:val=""/>
      <w:lvlJc w:val="left"/>
      <w:pPr>
        <w:ind w:left="3960" w:hanging="360"/>
      </w:pPr>
      <w:rPr>
        <w:rFonts w:ascii="Symbol" w:hAnsi="Symbol" w:cs="Symbol" w:hint="default"/>
        <w:rFonts w:cs="Symbol"/>
      </w:rPr>
    </w:lvl>
    <w:lvl w:ilvl="4">
      <w:start w:val="1"/>
      <w:numFmt w:val="bullet"/>
      <w:lvlText w:val="o"/>
      <w:lvlJc w:val="left"/>
      <w:pPr>
        <w:ind w:left="4680" w:hanging="360"/>
      </w:pPr>
      <w:rPr>
        <w:rFonts w:ascii="Courier New" w:hAnsi="Courier New" w:cs="Courier New" w:hint="default"/>
        <w:rFonts w:cs="Courier New"/>
      </w:rPr>
    </w:lvl>
    <w:lvl w:ilvl="5">
      <w:start w:val="1"/>
      <w:numFmt w:val="bullet"/>
      <w:lvlText w:val=""/>
      <w:lvlJc w:val="left"/>
      <w:pPr>
        <w:ind w:left="5400" w:hanging="360"/>
      </w:pPr>
      <w:rPr>
        <w:rFonts w:ascii="Wingdings" w:hAnsi="Wingdings" w:cs="Wingdings" w:hint="default"/>
        <w:rFonts w:cs="Wingdings"/>
      </w:rPr>
    </w:lvl>
    <w:lvl w:ilvl="6">
      <w:start w:val="1"/>
      <w:numFmt w:val="bullet"/>
      <w:lvlText w:val=""/>
      <w:lvlJc w:val="left"/>
      <w:pPr>
        <w:ind w:left="6120" w:hanging="360"/>
      </w:pPr>
      <w:rPr>
        <w:rFonts w:ascii="Symbol" w:hAnsi="Symbol" w:cs="Symbol" w:hint="default"/>
        <w:rFonts w:cs="Symbol"/>
      </w:rPr>
    </w:lvl>
    <w:lvl w:ilvl="7">
      <w:start w:val="1"/>
      <w:numFmt w:val="bullet"/>
      <w:lvlText w:val="o"/>
      <w:lvlJc w:val="left"/>
      <w:pPr>
        <w:ind w:left="6840" w:hanging="360"/>
      </w:pPr>
      <w:rPr>
        <w:rFonts w:ascii="Courier New" w:hAnsi="Courier New" w:cs="Courier New" w:hint="default"/>
        <w:rFonts w:cs="Courier New"/>
      </w:rPr>
    </w:lvl>
    <w:lvl w:ilvl="8">
      <w:start w:val="1"/>
      <w:numFmt w:val="bullet"/>
      <w:lvlText w:val=""/>
      <w:lvlJc w:val="left"/>
      <w:pPr>
        <w:ind w:left="7560" w:hanging="360"/>
      </w:pPr>
      <w:rPr>
        <w:rFonts w:ascii="Wingdings" w:hAnsi="Wingdings" w:cs="Wingdings" w:hint="default"/>
        <w:rFonts w:cs="Wingdings"/>
      </w:rPr>
    </w:lvl>
  </w:abstractNum>
  <w:abstractNum w:abstractNumId="67">
    <w:lvl w:ilvl="0">
      <w:start w:val="1"/>
      <w:numFmt w:val="bullet"/>
      <w:lvlText w:val="o"/>
      <w:lvlJc w:val="left"/>
      <w:pPr>
        <w:ind w:left="1440" w:hanging="360"/>
      </w:pPr>
      <w:rPr>
        <w:rFonts w:ascii="Courier New" w:hAnsi="Courier New" w:cs="Courier New" w:hint="default"/>
        <w:rFonts w:cs="Courier New"/>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Fonts w:cs="Wingdings"/>
      </w:rPr>
    </w:lvl>
    <w:lvl w:ilvl="3">
      <w:start w:val="1"/>
      <w:numFmt w:val="bullet"/>
      <w:lvlText w:val=""/>
      <w:lvlJc w:val="left"/>
      <w:pPr>
        <w:ind w:left="3600" w:hanging="360"/>
      </w:pPr>
      <w:rPr>
        <w:rFonts w:ascii="Symbol" w:hAnsi="Symbol" w:cs="Symbol" w:hint="default"/>
        <w:rFonts w:cs="Symbol"/>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Fonts w:cs="Wingdings"/>
      </w:rPr>
    </w:lvl>
    <w:lvl w:ilvl="6">
      <w:start w:val="1"/>
      <w:numFmt w:val="bullet"/>
      <w:lvlText w:val=""/>
      <w:lvlJc w:val="left"/>
      <w:pPr>
        <w:ind w:left="5760" w:hanging="360"/>
      </w:pPr>
      <w:rPr>
        <w:rFonts w:ascii="Symbol" w:hAnsi="Symbol" w:cs="Symbol" w:hint="default"/>
        <w:rFonts w:cs="Symbol"/>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Fonts w:cs="Wingdings"/>
      </w:rPr>
    </w:lvl>
  </w:abstractNum>
  <w:abstractNum w:abstractNumId="68">
    <w:lvl w:ilvl="0">
      <w:start w:val="1"/>
      <w:numFmt w:val="bullet"/>
      <w:lvlText w:val="o"/>
      <w:lvlJc w:val="left"/>
      <w:pPr>
        <w:ind w:left="1800" w:hanging="360"/>
      </w:pPr>
      <w:rPr>
        <w:rFonts w:ascii="Courier New" w:hAnsi="Courier New" w:cs="Courier New" w:hint="default"/>
        <w:rFonts w:cs="Courier New"/>
      </w:rPr>
    </w:lvl>
    <w:lvl w:ilvl="1">
      <w:start w:val="1"/>
      <w:numFmt w:val="bullet"/>
      <w:lvlText w:val="o"/>
      <w:lvlJc w:val="left"/>
      <w:pPr>
        <w:ind w:left="2520" w:hanging="360"/>
      </w:pPr>
      <w:rPr>
        <w:rFonts w:ascii="Courier New" w:hAnsi="Courier New" w:cs="Courier New" w:hint="default"/>
        <w:rFonts w:cs="Courier New"/>
      </w:rPr>
    </w:lvl>
    <w:lvl w:ilvl="2">
      <w:start w:val="1"/>
      <w:numFmt w:val="bullet"/>
      <w:lvlText w:val=""/>
      <w:lvlJc w:val="left"/>
      <w:pPr>
        <w:ind w:left="3240" w:hanging="360"/>
      </w:pPr>
      <w:rPr>
        <w:rFonts w:ascii="Wingdings" w:hAnsi="Wingdings" w:cs="Wingdings" w:hint="default"/>
        <w:rFonts w:cs="Wingdings"/>
      </w:rPr>
    </w:lvl>
    <w:lvl w:ilvl="3">
      <w:start w:val="1"/>
      <w:numFmt w:val="bullet"/>
      <w:lvlText w:val=""/>
      <w:lvlJc w:val="left"/>
      <w:pPr>
        <w:ind w:left="3960" w:hanging="360"/>
      </w:pPr>
      <w:rPr>
        <w:rFonts w:ascii="Symbol" w:hAnsi="Symbol" w:cs="Symbol" w:hint="default"/>
        <w:rFonts w:cs="Symbol"/>
      </w:rPr>
    </w:lvl>
    <w:lvl w:ilvl="4">
      <w:start w:val="1"/>
      <w:numFmt w:val="bullet"/>
      <w:lvlText w:val="o"/>
      <w:lvlJc w:val="left"/>
      <w:pPr>
        <w:ind w:left="4680" w:hanging="360"/>
      </w:pPr>
      <w:rPr>
        <w:rFonts w:ascii="Courier New" w:hAnsi="Courier New" w:cs="Courier New" w:hint="default"/>
        <w:rFonts w:cs="Courier New"/>
      </w:rPr>
    </w:lvl>
    <w:lvl w:ilvl="5">
      <w:start w:val="1"/>
      <w:numFmt w:val="bullet"/>
      <w:lvlText w:val=""/>
      <w:lvlJc w:val="left"/>
      <w:pPr>
        <w:ind w:left="5400" w:hanging="360"/>
      </w:pPr>
      <w:rPr>
        <w:rFonts w:ascii="Wingdings" w:hAnsi="Wingdings" w:cs="Wingdings" w:hint="default"/>
        <w:rFonts w:cs="Wingdings"/>
      </w:rPr>
    </w:lvl>
    <w:lvl w:ilvl="6">
      <w:start w:val="1"/>
      <w:numFmt w:val="bullet"/>
      <w:lvlText w:val=""/>
      <w:lvlJc w:val="left"/>
      <w:pPr>
        <w:ind w:left="6120" w:hanging="360"/>
      </w:pPr>
      <w:rPr>
        <w:rFonts w:ascii="Symbol" w:hAnsi="Symbol" w:cs="Symbol" w:hint="default"/>
        <w:rFonts w:cs="Symbol"/>
      </w:rPr>
    </w:lvl>
    <w:lvl w:ilvl="7">
      <w:start w:val="1"/>
      <w:numFmt w:val="bullet"/>
      <w:lvlText w:val="o"/>
      <w:lvlJc w:val="left"/>
      <w:pPr>
        <w:ind w:left="6840" w:hanging="360"/>
      </w:pPr>
      <w:rPr>
        <w:rFonts w:ascii="Courier New" w:hAnsi="Courier New" w:cs="Courier New" w:hint="default"/>
        <w:rFonts w:cs="Courier New"/>
      </w:rPr>
    </w:lvl>
    <w:lvl w:ilvl="8">
      <w:start w:val="1"/>
      <w:numFmt w:val="bullet"/>
      <w:lvlText w:val=""/>
      <w:lvlJc w:val="left"/>
      <w:pPr>
        <w:ind w:left="7560" w:hanging="360"/>
      </w:pPr>
      <w:rPr>
        <w:rFonts w:ascii="Wingdings" w:hAnsi="Wingdings" w:cs="Wingdings" w:hint="default"/>
        <w:rFonts w:cs="Wingdings"/>
      </w:rPr>
    </w:lvl>
  </w:abstractNum>
  <w:abstractNum w:abstractNumId="69">
    <w:lvl w:ilvl="0">
      <w:start w:val="1"/>
      <w:numFmt w:val="bullet"/>
      <w:lvlText w:val=""/>
      <w:lvlJc w:val="left"/>
      <w:pPr>
        <w:ind w:left="830" w:hanging="360"/>
      </w:pPr>
      <w:rPr>
        <w:rFonts w:ascii="Symbol" w:hAnsi="Symbol" w:cs="Symbol" w:hint="default"/>
        <w:rFonts w:cs="Symbol"/>
      </w:rPr>
    </w:lvl>
    <w:lvl w:ilvl="1">
      <w:start w:val="1"/>
      <w:numFmt w:val="bullet"/>
      <w:lvlText w:val="o"/>
      <w:lvlJc w:val="left"/>
      <w:pPr>
        <w:ind w:left="1550" w:hanging="360"/>
      </w:pPr>
      <w:rPr>
        <w:rFonts w:ascii="Courier New" w:hAnsi="Courier New" w:cs="Courier New" w:hint="default"/>
        <w:rFonts w:cs="Courier New"/>
      </w:rPr>
    </w:lvl>
    <w:lvl w:ilvl="2">
      <w:start w:val="1"/>
      <w:numFmt w:val="bullet"/>
      <w:lvlText w:val=""/>
      <w:lvlJc w:val="left"/>
      <w:pPr>
        <w:ind w:left="2270" w:hanging="360"/>
      </w:pPr>
      <w:rPr>
        <w:rFonts w:ascii="Wingdings" w:hAnsi="Wingdings" w:cs="Wingdings" w:hint="default"/>
        <w:rFonts w:cs="Wingdings"/>
      </w:rPr>
    </w:lvl>
    <w:lvl w:ilvl="3">
      <w:start w:val="1"/>
      <w:numFmt w:val="bullet"/>
      <w:lvlText w:val=""/>
      <w:lvlJc w:val="left"/>
      <w:pPr>
        <w:ind w:left="2990" w:hanging="360"/>
      </w:pPr>
      <w:rPr>
        <w:rFonts w:ascii="Symbol" w:hAnsi="Symbol" w:cs="Symbol" w:hint="default"/>
        <w:rFonts w:cs="Symbol"/>
      </w:rPr>
    </w:lvl>
    <w:lvl w:ilvl="4">
      <w:start w:val="1"/>
      <w:numFmt w:val="bullet"/>
      <w:lvlText w:val="o"/>
      <w:lvlJc w:val="left"/>
      <w:pPr>
        <w:ind w:left="3710" w:hanging="360"/>
      </w:pPr>
      <w:rPr>
        <w:rFonts w:ascii="Courier New" w:hAnsi="Courier New" w:cs="Courier New" w:hint="default"/>
        <w:rFonts w:cs="Courier New"/>
      </w:rPr>
    </w:lvl>
    <w:lvl w:ilvl="5">
      <w:start w:val="1"/>
      <w:numFmt w:val="bullet"/>
      <w:lvlText w:val=""/>
      <w:lvlJc w:val="left"/>
      <w:pPr>
        <w:ind w:left="4430" w:hanging="360"/>
      </w:pPr>
      <w:rPr>
        <w:rFonts w:ascii="Wingdings" w:hAnsi="Wingdings" w:cs="Wingdings" w:hint="default"/>
        <w:rFonts w:cs="Wingdings"/>
      </w:rPr>
    </w:lvl>
    <w:lvl w:ilvl="6">
      <w:start w:val="1"/>
      <w:numFmt w:val="bullet"/>
      <w:lvlText w:val=""/>
      <w:lvlJc w:val="left"/>
      <w:pPr>
        <w:ind w:left="5150" w:hanging="360"/>
      </w:pPr>
      <w:rPr>
        <w:rFonts w:ascii="Symbol" w:hAnsi="Symbol" w:cs="Symbol" w:hint="default"/>
        <w:rFonts w:cs="Symbol"/>
      </w:rPr>
    </w:lvl>
    <w:lvl w:ilvl="7">
      <w:start w:val="1"/>
      <w:numFmt w:val="bullet"/>
      <w:lvlText w:val="o"/>
      <w:lvlJc w:val="left"/>
      <w:pPr>
        <w:ind w:left="5870" w:hanging="360"/>
      </w:pPr>
      <w:rPr>
        <w:rFonts w:ascii="Courier New" w:hAnsi="Courier New" w:cs="Courier New" w:hint="default"/>
        <w:rFonts w:cs="Courier New"/>
      </w:rPr>
    </w:lvl>
    <w:lvl w:ilvl="8">
      <w:start w:val="1"/>
      <w:numFmt w:val="bullet"/>
      <w:lvlText w:val=""/>
      <w:lvlJc w:val="left"/>
      <w:pPr>
        <w:ind w:left="6590" w:hanging="360"/>
      </w:pPr>
      <w:rPr>
        <w:rFonts w:ascii="Wingdings" w:hAnsi="Wingdings" w:cs="Wingdings" w:hint="default"/>
        <w:rFonts w:cs="Wingdings"/>
      </w:rPr>
    </w:lvl>
  </w:abstractNum>
  <w:abstractNum w:abstractNumId="70">
    <w:lvl w:ilvl="0">
      <w:start w:val="1"/>
      <w:numFmt w:val="decimal"/>
      <w:lvlText w:val="Paso %1."/>
      <w:lvlJc w:val="left"/>
      <w:pPr>
        <w:ind w:left="1310" w:hanging="360"/>
      </w:pPr>
      <w:rPr>
        <w:i w:val="false"/>
      </w:rPr>
    </w:lvl>
    <w:lvl w:ilvl="1">
      <w:start w:val="1"/>
      <w:numFmt w:val="lowerLetter"/>
      <w:lvlText w:val="%2."/>
      <w:lvlJc w:val="left"/>
      <w:pPr>
        <w:ind w:left="2030" w:hanging="360"/>
      </w:pPr>
    </w:lvl>
    <w:lvl w:ilvl="2">
      <w:start w:val="1"/>
      <w:numFmt w:val="lowerRoman"/>
      <w:lvlText w:val="%3."/>
      <w:lvlJc w:val="right"/>
      <w:pPr>
        <w:ind w:left="2750" w:hanging="180"/>
      </w:pPr>
    </w:lvl>
    <w:lvl w:ilvl="3">
      <w:start w:val="1"/>
      <w:numFmt w:val="decimal"/>
      <w:lvlText w:val="%4."/>
      <w:lvlJc w:val="left"/>
      <w:pPr>
        <w:ind w:left="3470" w:hanging="360"/>
      </w:pPr>
    </w:lvl>
    <w:lvl w:ilvl="4">
      <w:start w:val="1"/>
      <w:numFmt w:val="lowerLetter"/>
      <w:lvlText w:val="%5."/>
      <w:lvlJc w:val="left"/>
      <w:pPr>
        <w:ind w:left="4190" w:hanging="360"/>
      </w:pPr>
    </w:lvl>
    <w:lvl w:ilvl="5">
      <w:start w:val="1"/>
      <w:numFmt w:val="lowerRoman"/>
      <w:lvlText w:val="%6."/>
      <w:lvlJc w:val="right"/>
      <w:pPr>
        <w:ind w:left="4910" w:hanging="180"/>
      </w:pPr>
    </w:lvl>
    <w:lvl w:ilvl="6">
      <w:start w:val="1"/>
      <w:numFmt w:val="decimal"/>
      <w:lvlText w:val="%7."/>
      <w:lvlJc w:val="left"/>
      <w:pPr>
        <w:ind w:left="5630" w:hanging="360"/>
      </w:pPr>
    </w:lvl>
    <w:lvl w:ilvl="7">
      <w:start w:val="1"/>
      <w:numFmt w:val="lowerLetter"/>
      <w:lvlText w:val="%8."/>
      <w:lvlJc w:val="left"/>
      <w:pPr>
        <w:ind w:left="6350" w:hanging="360"/>
      </w:pPr>
    </w:lvl>
    <w:lvl w:ilvl="8">
      <w:start w:val="1"/>
      <w:numFmt w:val="lowerRoman"/>
      <w:lvlText w:val="%9."/>
      <w:lvlJc w:val="right"/>
      <w:pPr>
        <w:ind w:left="7070" w:hanging="180"/>
      </w:pPr>
    </w:lvl>
  </w:abstractNum>
  <w:abstractNum w:abstractNumId="71">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72">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7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lvl w:ilvl="0">
      <w:start w:val="1"/>
      <w:numFmt w:val="decimal"/>
      <w:lvlText w:val="Conjunto de pruebas  %1."/>
      <w:lvlJc w:val="left"/>
      <w:pPr>
        <w:ind w:left="3054" w:hanging="360"/>
      </w:pPr>
      <w:rPr>
        <w:i w:val="fals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lvl w:ilvl="0">
      <w:start w:val="1"/>
      <w:numFmt w:val="bullet"/>
      <w:lvlText w:val=""/>
      <w:lvlJc w:val="left"/>
      <w:pPr>
        <w:ind w:left="1670" w:hanging="360"/>
      </w:pPr>
      <w:rPr>
        <w:rFonts w:ascii="Symbol" w:hAnsi="Symbol" w:cs="Symbol" w:hint="default"/>
        <w:rFonts w:cs="Symbol"/>
      </w:rPr>
    </w:lvl>
    <w:lvl w:ilvl="1">
      <w:start w:val="1"/>
      <w:numFmt w:val="bullet"/>
      <w:lvlText w:val="o"/>
      <w:lvlJc w:val="left"/>
      <w:pPr>
        <w:ind w:left="2390" w:hanging="360"/>
      </w:pPr>
      <w:rPr>
        <w:rFonts w:ascii="Courier New" w:hAnsi="Courier New" w:cs="Courier New" w:hint="default"/>
        <w:rFonts w:cs="Courier New"/>
      </w:rPr>
    </w:lvl>
    <w:lvl w:ilvl="2">
      <w:start w:val="1"/>
      <w:numFmt w:val="bullet"/>
      <w:lvlText w:val=""/>
      <w:lvlJc w:val="left"/>
      <w:pPr>
        <w:ind w:left="3110" w:hanging="360"/>
      </w:pPr>
      <w:rPr>
        <w:rFonts w:ascii="Wingdings" w:hAnsi="Wingdings" w:cs="Wingdings" w:hint="default"/>
        <w:rFonts w:cs="Wingdings"/>
      </w:rPr>
    </w:lvl>
    <w:lvl w:ilvl="3">
      <w:start w:val="1"/>
      <w:numFmt w:val="bullet"/>
      <w:lvlText w:val=""/>
      <w:lvlJc w:val="left"/>
      <w:pPr>
        <w:ind w:left="3830" w:hanging="360"/>
      </w:pPr>
      <w:rPr>
        <w:rFonts w:ascii="Symbol" w:hAnsi="Symbol" w:cs="Symbol" w:hint="default"/>
        <w:rFonts w:cs="Symbol"/>
      </w:rPr>
    </w:lvl>
    <w:lvl w:ilvl="4">
      <w:start w:val="1"/>
      <w:numFmt w:val="bullet"/>
      <w:lvlText w:val="o"/>
      <w:lvlJc w:val="left"/>
      <w:pPr>
        <w:ind w:left="4550" w:hanging="360"/>
      </w:pPr>
      <w:rPr>
        <w:rFonts w:ascii="Courier New" w:hAnsi="Courier New" w:cs="Courier New" w:hint="default"/>
        <w:rFonts w:cs="Courier New"/>
      </w:rPr>
    </w:lvl>
    <w:lvl w:ilvl="5">
      <w:start w:val="1"/>
      <w:numFmt w:val="bullet"/>
      <w:lvlText w:val=""/>
      <w:lvlJc w:val="left"/>
      <w:pPr>
        <w:ind w:left="5270" w:hanging="360"/>
      </w:pPr>
      <w:rPr>
        <w:rFonts w:ascii="Wingdings" w:hAnsi="Wingdings" w:cs="Wingdings" w:hint="default"/>
        <w:rFonts w:cs="Wingdings"/>
      </w:rPr>
    </w:lvl>
    <w:lvl w:ilvl="6">
      <w:start w:val="1"/>
      <w:numFmt w:val="bullet"/>
      <w:lvlText w:val=""/>
      <w:lvlJc w:val="left"/>
      <w:pPr>
        <w:ind w:left="5990" w:hanging="360"/>
      </w:pPr>
      <w:rPr>
        <w:rFonts w:ascii="Symbol" w:hAnsi="Symbol" w:cs="Symbol" w:hint="default"/>
        <w:rFonts w:cs="Symbol"/>
      </w:rPr>
    </w:lvl>
    <w:lvl w:ilvl="7">
      <w:start w:val="1"/>
      <w:numFmt w:val="bullet"/>
      <w:lvlText w:val="o"/>
      <w:lvlJc w:val="left"/>
      <w:pPr>
        <w:ind w:left="6710" w:hanging="360"/>
      </w:pPr>
      <w:rPr>
        <w:rFonts w:ascii="Courier New" w:hAnsi="Courier New" w:cs="Courier New" w:hint="default"/>
        <w:rFonts w:cs="Courier New"/>
      </w:rPr>
    </w:lvl>
    <w:lvl w:ilvl="8">
      <w:start w:val="1"/>
      <w:numFmt w:val="bullet"/>
      <w:lvlText w:val=""/>
      <w:lvlJc w:val="left"/>
      <w:pPr>
        <w:ind w:left="7430" w:hanging="360"/>
      </w:pPr>
      <w:rPr>
        <w:rFonts w:ascii="Wingdings" w:hAnsi="Wingdings" w:cs="Wingdings" w:hint="default"/>
        <w:rFonts w:cs="Wingdings"/>
      </w:rPr>
    </w:lvl>
  </w:abstractNum>
  <w:abstractNum w:abstractNumId="78">
    <w:lvl w:ilvl="0">
      <w:start w:val="1"/>
      <w:numFmt w:val="bullet"/>
      <w:lvlText w:val=""/>
      <w:lvlJc w:val="left"/>
      <w:pPr>
        <w:ind w:left="3054" w:hanging="360"/>
      </w:pPr>
      <w:rPr>
        <w:rFonts w:ascii="Symbol" w:hAnsi="Symbol" w:cs="Symbol" w:hint="default"/>
        <w:i w:val="false"/>
        <w:rFonts w:cs="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80">
    <w:lvl w:ilvl="0">
      <w:start w:val="1"/>
      <w:numFmt w:val="decimal"/>
      <w:lvlText w:val="%1"/>
      <w:lvlJc w:val="left"/>
      <w:pPr>
        <w:ind w:left="432" w:hanging="432"/>
      </w:pPr>
      <w:rPr>
        <w:color w:val="FFFFFF"/>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1">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82">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83">
    <w:lvl w:ilvl="0">
      <w:start w:val="1"/>
      <w:numFmt w:val="bullet"/>
      <w:lvlText w:val=""/>
      <w:lvlJc w:val="left"/>
      <w:pPr>
        <w:ind w:left="720" w:hanging="360"/>
      </w:pPr>
      <w:rPr>
        <w:rFonts w:ascii="Symbol" w:hAnsi="Symbol" w:cs="Symbol" w:hint="default"/>
        <w:sz w:val="21"/>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84">
    <w:lvl w:ilvl="0">
      <w:start w:val="1"/>
      <w:numFmt w:val="bullet"/>
      <w:lvlText w:val="o"/>
      <w:lvlJc w:val="left"/>
      <w:pPr>
        <w:ind w:left="720" w:hanging="360"/>
      </w:pPr>
      <w:rPr>
        <w:rFonts w:ascii="Courier New" w:hAnsi="Courier New" w:cs="Courier New" w:hint="default"/>
        <w:rFonts w:cs="Courier New"/>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85">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86">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87">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bering>
</file>

<file path=word/settings.xml><?xml version="1.0" encoding="utf-8"?>
<w:settings xmlns:w="http://schemas.openxmlformats.org/wordprocessingml/2006/main">
  <w:zoom w:percent="100"/>
  <w:displayBackgroundShape/>
  <w:embedSystemFonts/>
  <w:defaultTabStop w:val="475"/>
  <w:autoHyphenation w:val="fals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游明朝" w:cs="Times New Roman" w:eastAsiaTheme="minorEastAsia"/>
        <w:lang w:val="en-US"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uiPriority="0" w:semiHidden="1" w:unhideWhenUsed="1"/>
    <w:lsdException w:name="endnote text" w:semiHidden="1" w:unhideWhenUsed="1"/>
    <w:lsdException w:name="table of authorities" w:semiHidden="1" w:unhideWhenUsed="1"/>
    <w:lsdException w:name="macro" w:semiHidden="1" w:unhideWhenUsed="1"/>
    <w:lsdException w:name="toa heading" w:uiPriority="0"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uiPriority="0"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ab6158"/>
    <w:pPr>
      <w:widowControl/>
      <w:suppressAutoHyphens w:val="true"/>
      <w:bidi w:val="0"/>
      <w:spacing w:lineRule="auto" w:line="312" w:before="80" w:after="60"/>
      <w:jc w:val="both"/>
      <w:textAlignment w:val="baseline"/>
    </w:pPr>
    <w:rPr>
      <w:rFonts w:ascii="Arial" w:hAnsi="Arial" w:eastAsia="Yu Mincho" w:cs="Arial"/>
      <w:bCs/>
      <w:color w:val="000000"/>
      <w:sz w:val="22"/>
      <w:szCs w:val="22"/>
      <w:lang w:val="es-ES" w:eastAsia="zh-CN" w:bidi="ar-SA"/>
    </w:rPr>
  </w:style>
  <w:style w:type="paragraph" w:styleId="Heading1">
    <w:name w:val="Heading 1"/>
    <w:basedOn w:val="Normal"/>
    <w:next w:val="Normal"/>
    <w:autoRedefine/>
    <w:qFormat/>
    <w:rsid w:val="00b4616b"/>
    <w:pPr>
      <w:keepNext/>
      <w:keepLines/>
      <w:pageBreakBefore/>
      <w:numPr>
        <w:ilvl w:val="0"/>
        <w:numId w:val="1"/>
      </w:numPr>
      <w:spacing w:before="240" w:after="240"/>
      <w:outlineLvl w:val="0"/>
      <w:outlineLvl w:val="0"/>
    </w:pPr>
    <w:rPr>
      <w:rFonts w:eastAsia="MS Gothic" w:cs="Times New Roman"/>
      <w:b/>
      <w:bCs w:val="false"/>
      <w:caps/>
      <w:color w:val="00000A"/>
      <w:sz w:val="32"/>
      <w:szCs w:val="28"/>
      <w:lang w:eastAsia="ja-JP"/>
    </w:rPr>
  </w:style>
  <w:style w:type="paragraph" w:styleId="Heading2">
    <w:name w:val="Heading 2"/>
    <w:basedOn w:val="Normal"/>
    <w:next w:val="Normal"/>
    <w:link w:val="Ttulo2Car"/>
    <w:autoRedefine/>
    <w:qFormat/>
    <w:rsid w:val="00927281"/>
    <w:pPr>
      <w:keepNext/>
      <w:keepLines/>
      <w:numPr>
        <w:ilvl w:val="1"/>
        <w:numId w:val="1"/>
      </w:numPr>
      <w:outlineLvl w:val="1"/>
      <w:outlineLvl w:val="1"/>
    </w:pPr>
    <w:rPr>
      <w:rFonts w:eastAsia="MS Gothic" w:cs="Times New Roman"/>
      <w:b/>
      <w:bCs w:val="false"/>
    </w:rPr>
  </w:style>
  <w:style w:type="paragraph" w:styleId="Heading3">
    <w:name w:val="Heading 3"/>
    <w:basedOn w:val="Normal"/>
    <w:next w:val="Normal"/>
    <w:link w:val="Ttulo3Car"/>
    <w:autoRedefine/>
    <w:qFormat/>
    <w:rsid w:val="00f441b6"/>
    <w:pPr>
      <w:keepNext/>
      <w:keepLines/>
      <w:numPr>
        <w:ilvl w:val="2"/>
        <w:numId w:val="1"/>
      </w:numPr>
      <w:spacing w:lineRule="auto" w:line="288"/>
      <w:outlineLvl w:val="2"/>
      <w:outlineLvl w:val="2"/>
    </w:pPr>
    <w:rPr>
      <w:rFonts w:eastAsia="MS Gothic" w:cs="Times New Roman"/>
      <w:bCs w:val="false"/>
      <w:i/>
      <w:szCs w:val="24"/>
      <w:lang w:val="en-US"/>
    </w:rPr>
  </w:style>
  <w:style w:type="paragraph" w:styleId="Heading4">
    <w:name w:val="Heading 4"/>
    <w:basedOn w:val="Normal"/>
    <w:next w:val="Normal"/>
    <w:link w:val="Ttulo4Car"/>
    <w:qFormat/>
    <w:rsid w:val="00943ef1"/>
    <w:pPr>
      <w:keepNext/>
      <w:keepLines/>
      <w:numPr>
        <w:ilvl w:val="3"/>
        <w:numId w:val="1"/>
      </w:numPr>
      <w:spacing w:before="80" w:after="0"/>
      <w:outlineLvl w:val="3"/>
      <w:outlineLvl w:val="3"/>
    </w:pPr>
    <w:rPr>
      <w:rFonts w:eastAsia="MS Gothic" w:cs="Times New Roman"/>
      <w:bCs w:val="false"/>
      <w:i/>
      <w:iCs/>
    </w:rPr>
  </w:style>
  <w:style w:type="paragraph" w:styleId="Heading5">
    <w:name w:val="Heading 5"/>
    <w:basedOn w:val="Normal"/>
    <w:next w:val="Normal"/>
    <w:link w:val="Ttulo5Car"/>
    <w:uiPriority w:val="9"/>
    <w:qFormat/>
    <w:rsid w:val="006a53cc"/>
    <w:pPr>
      <w:keepNext/>
      <w:keepLines/>
      <w:numPr>
        <w:ilvl w:val="4"/>
        <w:numId w:val="1"/>
      </w:numPr>
      <w:spacing w:before="80" w:after="0"/>
      <w:outlineLvl w:val="4"/>
      <w:outlineLvl w:val="4"/>
    </w:pPr>
    <w:rPr>
      <w:rFonts w:eastAsia="MS Gothic" w:cs="Times New Roman"/>
      <w:u w:val="single"/>
    </w:rPr>
  </w:style>
  <w:style w:type="paragraph" w:styleId="Heading6">
    <w:name w:val="Heading 6"/>
    <w:basedOn w:val="Normal"/>
    <w:next w:val="Normal"/>
    <w:link w:val="Ttulo6Car"/>
    <w:qFormat/>
    <w:rsid w:val="006a53cc"/>
    <w:pPr>
      <w:keepNext/>
      <w:keepLines/>
      <w:numPr>
        <w:ilvl w:val="5"/>
        <w:numId w:val="1"/>
      </w:numPr>
      <w:spacing w:before="200" w:after="60"/>
      <w:outlineLvl w:val="5"/>
      <w:outlineLvl w:val="5"/>
    </w:pPr>
    <w:rPr>
      <w:rFonts w:ascii="Cambria" w:hAnsi="Cambria" w:eastAsia="MS Gothic" w:cs="Times New Roman"/>
      <w:i/>
      <w:iCs/>
      <w:color w:val="00000A"/>
    </w:rPr>
  </w:style>
  <w:style w:type="paragraph" w:styleId="Heading7">
    <w:name w:val="Heading 7"/>
    <w:basedOn w:val="Normal"/>
    <w:next w:val="Normal"/>
    <w:link w:val="Ttulo7Car"/>
    <w:qFormat/>
    <w:pPr>
      <w:keepNext/>
      <w:keepLines/>
      <w:numPr>
        <w:ilvl w:val="6"/>
        <w:numId w:val="1"/>
      </w:numPr>
      <w:spacing w:before="200" w:after="60"/>
      <w:outlineLvl w:val="6"/>
      <w:outlineLvl w:val="6"/>
    </w:pPr>
    <w:rPr>
      <w:rFonts w:ascii="Cambria" w:hAnsi="Cambria" w:eastAsia="MS Gothic" w:cs="Times New Roman"/>
      <w:i/>
      <w:iCs/>
      <w:color w:val="404040"/>
    </w:rPr>
  </w:style>
  <w:style w:type="paragraph" w:styleId="Heading8">
    <w:name w:val="Heading 8"/>
    <w:basedOn w:val="Normal"/>
    <w:next w:val="Normal"/>
    <w:link w:val="Ttulo8Car"/>
    <w:qFormat/>
    <w:pPr>
      <w:keepNext/>
      <w:keepLines/>
      <w:numPr>
        <w:ilvl w:val="7"/>
        <w:numId w:val="1"/>
      </w:numPr>
      <w:spacing w:before="200" w:after="60"/>
      <w:outlineLvl w:val="7"/>
      <w:outlineLvl w:val="7"/>
    </w:pPr>
    <w:rPr>
      <w:rFonts w:ascii="Cambria" w:hAnsi="Cambria" w:eastAsia="MS Gothic" w:cs="Times New Roman"/>
      <w:color w:val="404040"/>
    </w:rPr>
  </w:style>
  <w:style w:type="paragraph" w:styleId="Heading9">
    <w:name w:val="Heading 9"/>
    <w:basedOn w:val="Normal"/>
    <w:next w:val="Normal"/>
    <w:link w:val="Ttulo9Car"/>
    <w:qFormat/>
    <w:pPr>
      <w:keepNext/>
      <w:keepLines/>
      <w:numPr>
        <w:ilvl w:val="8"/>
        <w:numId w:val="1"/>
      </w:numPr>
      <w:spacing w:before="200" w:after="60"/>
      <w:outlineLvl w:val="8"/>
      <w:outlineLvl w:val="8"/>
    </w:pPr>
    <w:rPr>
      <w:rFonts w:ascii="Cambria" w:hAnsi="Cambria" w:eastAsia="MS Gothic" w:cs="Times New Roman"/>
      <w:i/>
      <w:iCs/>
      <w:color w:val="404040"/>
    </w:rPr>
  </w:style>
  <w:style w:type="character" w:styleId="DefaultParagraphFont" w:default="1">
    <w:name w:val="Default Paragraph Font"/>
    <w:uiPriority w:val="1"/>
    <w:semiHidden/>
    <w:unhideWhenUsed/>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rFonts w:ascii="Symbol" w:hAnsi="Symbol" w:eastAsia="Times New Roman" w:cs="OpenSymbol"/>
      <w:color w:val="000000"/>
      <w:sz w:val="22"/>
      <w:szCs w:val="22"/>
      <w:shd w:fill="FFFFFF" w:val="clear"/>
      <w:lang w:val="es-ES" w:eastAsia="zh-CN" w:bidi="ar-SA"/>
    </w:rPr>
  </w:style>
  <w:style w:type="character" w:styleId="WW8Num2z1" w:customStyle="1">
    <w:name w:val="WW8Num2z1"/>
    <w:qFormat/>
    <w:rPr>
      <w:rFonts w:ascii="Arial" w:hAnsi="Arial" w:eastAsia="Arial" w:cs="Arial"/>
      <w:i/>
      <w:iCs/>
      <w:sz w:val="22"/>
      <w:szCs w:val="22"/>
    </w:rPr>
  </w:style>
  <w:style w:type="character" w:styleId="WW8Num2z2" w:customStyle="1">
    <w:name w:val="WW8Num2z2"/>
    <w:qFormat/>
    <w:rPr/>
  </w:style>
  <w:style w:type="character" w:styleId="WW8Num2z3" w:customStyle="1">
    <w:name w:val="WW8Num2z3"/>
    <w:qFormat/>
    <w:rPr/>
  </w:style>
  <w:style w:type="character" w:styleId="WW8Num2z4" w:customStyle="1">
    <w:name w:val="WW8Num2z4"/>
    <w:qFormat/>
    <w:rPr/>
  </w:style>
  <w:style w:type="character" w:styleId="WW8Num2z5" w:customStyle="1">
    <w:name w:val="WW8Num2z5"/>
    <w:qFormat/>
    <w:rPr/>
  </w:style>
  <w:style w:type="character" w:styleId="WW8Num2z6" w:customStyle="1">
    <w:name w:val="WW8Num2z6"/>
    <w:qFormat/>
    <w:rPr/>
  </w:style>
  <w:style w:type="character" w:styleId="WW8Num2z7" w:customStyle="1">
    <w:name w:val="WW8Num2z7"/>
    <w:qFormat/>
    <w:rPr/>
  </w:style>
  <w:style w:type="character" w:styleId="WW8Num2z8" w:customStyle="1">
    <w:name w:val="WW8Num2z8"/>
    <w:qFormat/>
    <w:rPr/>
  </w:style>
  <w:style w:type="character" w:styleId="WW8Num3z0" w:customStyle="1">
    <w:name w:val="WW8Num3z0"/>
    <w:qFormat/>
    <w:rPr>
      <w:rFonts w:ascii="Symbol" w:hAnsi="Symbol" w:cs="Symbol"/>
      <w:sz w:val="20"/>
      <w:szCs w:val="20"/>
    </w:rPr>
  </w:style>
  <w:style w:type="character" w:styleId="WW8Num4z0" w:customStyle="1">
    <w:name w:val="WW8Num4z0"/>
    <w:qFormat/>
    <w:rPr>
      <w:rFonts w:ascii="Symbol" w:hAnsi="Symbol" w:cs="Symbol"/>
      <w:lang w:val="es-ES"/>
    </w:rPr>
  </w:style>
  <w:style w:type="character" w:styleId="WW8Num5z0" w:customStyle="1">
    <w:name w:val="WW8Num5z0"/>
    <w:qFormat/>
    <w:rPr>
      <w:rFonts w:ascii="Symbol" w:hAnsi="Symbol" w:cs="Symbol"/>
      <w:lang w:val="es-ES" w:eastAsia="hi-IN" w:bidi="hi-IN"/>
    </w:rPr>
  </w:style>
  <w:style w:type="character" w:styleId="WW8Num5z1" w:customStyle="1">
    <w:name w:val="WW8Num5z1"/>
    <w:qFormat/>
    <w:rPr>
      <w:rFonts w:ascii="Courier New" w:hAnsi="Courier New" w:cs="Courier New"/>
    </w:rPr>
  </w:style>
  <w:style w:type="character" w:styleId="WW8Num5z2" w:customStyle="1">
    <w:name w:val="WW8Num5z2"/>
    <w:qFormat/>
    <w:rPr>
      <w:rFonts w:ascii="Wingdings" w:hAnsi="Wingdings" w:cs="Wingdings"/>
    </w:rPr>
  </w:style>
  <w:style w:type="character" w:styleId="WW8Num6z0" w:customStyle="1">
    <w:name w:val="WW8Num6z0"/>
    <w:qFormat/>
    <w:rPr>
      <w:rFonts w:ascii="Symbol" w:hAnsi="Symbol" w:cs="OpenSymbol"/>
      <w:color w:val="000000"/>
      <w:sz w:val="22"/>
      <w:szCs w:val="22"/>
      <w:shd w:fill="FFFFFF" w:val="clear"/>
      <w:lang w:val="es-ES" w:eastAsia="zh-CN" w:bidi="ar-SA"/>
    </w:rPr>
  </w:style>
  <w:style w:type="character" w:styleId="WW8Num6z1" w:customStyle="1">
    <w:name w:val="WW8Num6z1"/>
    <w:qFormat/>
    <w:rPr>
      <w:rFonts w:ascii="OpenSymbol" w:hAnsi="OpenSymbol" w:cs="OpenSymbol"/>
      <w:color w:val="000000"/>
      <w:sz w:val="22"/>
      <w:szCs w:val="22"/>
      <w:shd w:fill="FFFFFF" w:val="clear"/>
      <w:lang w:val="es-ES" w:eastAsia="zh-CN" w:bidi="ar-SA"/>
    </w:rPr>
  </w:style>
  <w:style w:type="character" w:styleId="WW8Num7z0" w:customStyle="1">
    <w:name w:val="WW8Num7z0"/>
    <w:qFormat/>
    <w:rPr>
      <w:rFonts w:ascii="Arial" w:hAnsi="Arial" w:cs="Arial"/>
      <w:sz w:val="20"/>
      <w:szCs w:val="20"/>
    </w:rPr>
  </w:style>
  <w:style w:type="character" w:styleId="WW8Num7z1" w:customStyle="1">
    <w:name w:val="WW8Num7z1"/>
    <w:qFormat/>
    <w:rPr/>
  </w:style>
  <w:style w:type="character" w:styleId="WW8Num7z2" w:customStyle="1">
    <w:name w:val="WW8Num7z2"/>
    <w:qFormat/>
    <w:rPr/>
  </w:style>
  <w:style w:type="character" w:styleId="WW8Num7z3" w:customStyle="1">
    <w:name w:val="WW8Num7z3"/>
    <w:qFormat/>
    <w:rPr/>
  </w:style>
  <w:style w:type="character" w:styleId="WW8Num7z4" w:customStyle="1">
    <w:name w:val="WW8Num7z4"/>
    <w:qFormat/>
    <w:rPr/>
  </w:style>
  <w:style w:type="character" w:styleId="WW8Num7z5" w:customStyle="1">
    <w:name w:val="WW8Num7z5"/>
    <w:qFormat/>
    <w:rPr/>
  </w:style>
  <w:style w:type="character" w:styleId="WW8Num7z6" w:customStyle="1">
    <w:name w:val="WW8Num7z6"/>
    <w:qFormat/>
    <w:rPr/>
  </w:style>
  <w:style w:type="character" w:styleId="WW8Num7z7" w:customStyle="1">
    <w:name w:val="WW8Num7z7"/>
    <w:qFormat/>
    <w:rPr/>
  </w:style>
  <w:style w:type="character" w:styleId="WW8Num7z8" w:customStyle="1">
    <w:name w:val="WW8Num7z8"/>
    <w:qFormat/>
    <w:rPr/>
  </w:style>
  <w:style w:type="character" w:styleId="WW8Num8z0" w:customStyle="1">
    <w:name w:val="WW8Num8z0"/>
    <w:qFormat/>
    <w:rPr>
      <w:rFonts w:ascii="Arial" w:hAnsi="Arial" w:eastAsia="Times New Roman" w:cs="Arial"/>
      <w:b w:val="false"/>
      <w:bCs/>
      <w:i w:val="false"/>
      <w:iCs w:val="false"/>
      <w:color w:val="000000"/>
      <w:sz w:val="22"/>
      <w:szCs w:val="22"/>
      <w:lang w:val="es-ES" w:eastAsia="zh-CN" w:bidi="ar-SA"/>
    </w:rPr>
  </w:style>
  <w:style w:type="character" w:styleId="WW8Num8z1" w:customStyle="1">
    <w:name w:val="WW8Num8z1"/>
    <w:qFormat/>
    <w:rPr/>
  </w:style>
  <w:style w:type="character" w:styleId="WW8Num8z2" w:customStyle="1">
    <w:name w:val="WW8Num8z2"/>
    <w:qFormat/>
    <w:rPr>
      <w:rFonts w:ascii="Arial" w:hAnsi="Arial" w:eastAsia="Times New Roman" w:cs="Arial"/>
      <w:b w:val="false"/>
      <w:bCs w:val="false"/>
      <w:color w:val="000000"/>
      <w:sz w:val="22"/>
      <w:szCs w:val="22"/>
      <w:lang w:val="es-ES" w:eastAsia="zh-CN" w:bidi="ar-SA"/>
    </w:rPr>
  </w:style>
  <w:style w:type="character" w:styleId="WW8Num8z3" w:customStyle="1">
    <w:name w:val="WW8Num8z3"/>
    <w:qFormat/>
    <w:rPr>
      <w:lang w:val="es-ES"/>
    </w:rPr>
  </w:style>
  <w:style w:type="character" w:styleId="WW8Num8z4" w:customStyle="1">
    <w:name w:val="WW8Num8z4"/>
    <w:qFormat/>
    <w:rPr>
      <w:lang w:val="es-ES" w:eastAsia="hi-IN" w:bidi="hi-IN"/>
    </w:rPr>
  </w:style>
  <w:style w:type="character" w:styleId="WW8Num8z5" w:customStyle="1">
    <w:name w:val="WW8Num8z5"/>
    <w:qFormat/>
    <w:rPr/>
  </w:style>
  <w:style w:type="character" w:styleId="WW8Num8z6" w:customStyle="1">
    <w:name w:val="WW8Num8z6"/>
    <w:qFormat/>
    <w:rPr/>
  </w:style>
  <w:style w:type="character" w:styleId="WW8Num8z7" w:customStyle="1">
    <w:name w:val="WW8Num8z7"/>
    <w:qFormat/>
    <w:rPr/>
  </w:style>
  <w:style w:type="character" w:styleId="WW8Num8z8" w:customStyle="1">
    <w:name w:val="WW8Num8z8"/>
    <w:qFormat/>
    <w:rPr/>
  </w:style>
  <w:style w:type="character" w:styleId="WW8Num9z0" w:customStyle="1">
    <w:name w:val="WW8Num9z0"/>
    <w:qFormat/>
    <w:rPr>
      <w:rFonts w:ascii="Liberation Mono" w:hAnsi="Liberation Mono" w:cs="Liberation Mono"/>
      <w:b w:val="false"/>
      <w:i w:val="false"/>
      <w:iCs/>
      <w:sz w:val="18"/>
      <w:szCs w:val="18"/>
    </w:rPr>
  </w:style>
  <w:style w:type="character" w:styleId="WW8Num9z1" w:customStyle="1">
    <w:name w:val="WW8Num9z1"/>
    <w:qFormat/>
    <w:rPr/>
  </w:style>
  <w:style w:type="character" w:styleId="WW8Num9z2" w:customStyle="1">
    <w:name w:val="WW8Num9z2"/>
    <w:qFormat/>
    <w:rPr/>
  </w:style>
  <w:style w:type="character" w:styleId="WW8Num9z3" w:customStyle="1">
    <w:name w:val="WW8Num9z3"/>
    <w:qFormat/>
    <w:rPr/>
  </w:style>
  <w:style w:type="character" w:styleId="WW8Num9z4" w:customStyle="1">
    <w:name w:val="WW8Num9z4"/>
    <w:qFormat/>
    <w:rPr/>
  </w:style>
  <w:style w:type="character" w:styleId="WW8Num9z5" w:customStyle="1">
    <w:name w:val="WW8Num9z5"/>
    <w:qFormat/>
    <w:rPr/>
  </w:style>
  <w:style w:type="character" w:styleId="WW8Num9z6" w:customStyle="1">
    <w:name w:val="WW8Num9z6"/>
    <w:qFormat/>
    <w:rPr/>
  </w:style>
  <w:style w:type="character" w:styleId="WW8Num9z7" w:customStyle="1">
    <w:name w:val="WW8Num9z7"/>
    <w:qFormat/>
    <w:rPr/>
  </w:style>
  <w:style w:type="character" w:styleId="WW8Num9z8" w:customStyle="1">
    <w:name w:val="WW8Num9z8"/>
    <w:qFormat/>
    <w:rPr/>
  </w:style>
  <w:style w:type="character" w:styleId="WW8Num10z0" w:customStyle="1">
    <w:name w:val="WW8Num10z0"/>
    <w:qFormat/>
    <w:rPr>
      <w:rFonts w:ascii="Symbol" w:hAnsi="Symbol" w:eastAsia="Arial" w:cs="OpenSymbol"/>
      <w:sz w:val="22"/>
      <w:szCs w:val="22"/>
    </w:rPr>
  </w:style>
  <w:style w:type="character" w:styleId="WW8Num10z1" w:customStyle="1">
    <w:name w:val="WW8Num10z1"/>
    <w:qFormat/>
    <w:rPr>
      <w:rFonts w:ascii="OpenSymbol" w:hAnsi="OpenSymbol" w:cs="OpenSymbol"/>
    </w:rPr>
  </w:style>
  <w:style w:type="character" w:styleId="WW8Num11z0" w:customStyle="1">
    <w:name w:val="WW8Num11z0"/>
    <w:qFormat/>
    <w:rPr>
      <w:rFonts w:ascii="Symbol" w:hAnsi="Symbol" w:eastAsia="Times New Roman" w:cs="OpenSymbol"/>
      <w:color w:val="000000"/>
      <w:sz w:val="22"/>
      <w:szCs w:val="22"/>
      <w:lang w:val="es-ES" w:eastAsia="zh-CN" w:bidi="ar-SA"/>
    </w:rPr>
  </w:style>
  <w:style w:type="character" w:styleId="WW8Num11z1" w:customStyle="1">
    <w:name w:val="WW8Num11z1"/>
    <w:qFormat/>
    <w:rPr>
      <w:rFonts w:ascii="OpenSymbol" w:hAnsi="OpenSymbol" w:cs="OpenSymbol"/>
    </w:rPr>
  </w:style>
  <w:style w:type="character" w:styleId="WW8Num12z0" w:customStyle="1">
    <w:name w:val="WW8Num12z0"/>
    <w:qFormat/>
    <w:rPr>
      <w:rFonts w:ascii="Symbol" w:hAnsi="Symbol" w:eastAsia="Times New Roman" w:cs="OpenSymbol"/>
      <w:color w:val="000000"/>
      <w:sz w:val="20"/>
      <w:szCs w:val="20"/>
      <w:lang w:val="es-ES" w:eastAsia="zh-CN" w:bidi="ar-SA"/>
    </w:rPr>
  </w:style>
  <w:style w:type="character" w:styleId="WW8Num12z1" w:customStyle="1">
    <w:name w:val="WW8Num12z1"/>
    <w:qFormat/>
    <w:rPr>
      <w:rFonts w:ascii="OpenSymbol" w:hAnsi="OpenSymbol" w:cs="OpenSymbol"/>
      <w:color w:val="000000"/>
      <w:sz w:val="22"/>
      <w:szCs w:val="22"/>
      <w:lang w:val="es-ES" w:eastAsia="zh-CN" w:bidi="ar-SA"/>
    </w:rPr>
  </w:style>
  <w:style w:type="character" w:styleId="WW8Num13z0" w:customStyle="1">
    <w:name w:val="WW8Num13z0"/>
    <w:qFormat/>
    <w:rPr>
      <w:sz w:val="22"/>
      <w:szCs w:val="22"/>
    </w:rPr>
  </w:style>
  <w:style w:type="character" w:styleId="WW8Num13z1" w:customStyle="1">
    <w:name w:val="WW8Num13z1"/>
    <w:qFormat/>
    <w:rPr/>
  </w:style>
  <w:style w:type="character" w:styleId="WW8Num13z2" w:customStyle="1">
    <w:name w:val="WW8Num13z2"/>
    <w:qFormat/>
    <w:rPr/>
  </w:style>
  <w:style w:type="character" w:styleId="WW8Num13z3" w:customStyle="1">
    <w:name w:val="WW8Num13z3"/>
    <w:qFormat/>
    <w:rPr/>
  </w:style>
  <w:style w:type="character" w:styleId="WW8Num13z4" w:customStyle="1">
    <w:name w:val="WW8Num13z4"/>
    <w:qFormat/>
    <w:rPr/>
  </w:style>
  <w:style w:type="character" w:styleId="WW8Num13z5" w:customStyle="1">
    <w:name w:val="WW8Num13z5"/>
    <w:qFormat/>
    <w:rPr/>
  </w:style>
  <w:style w:type="character" w:styleId="WW8Num13z6" w:customStyle="1">
    <w:name w:val="WW8Num13z6"/>
    <w:qFormat/>
    <w:rPr/>
  </w:style>
  <w:style w:type="character" w:styleId="WW8Num13z7" w:customStyle="1">
    <w:name w:val="WW8Num13z7"/>
    <w:qFormat/>
    <w:rPr/>
  </w:style>
  <w:style w:type="character" w:styleId="WW8Num13z8" w:customStyle="1">
    <w:name w:val="WW8Num13z8"/>
    <w:qFormat/>
    <w:rPr/>
  </w:style>
  <w:style w:type="character" w:styleId="WW8Num14z0" w:customStyle="1">
    <w:name w:val="WW8Num14z0"/>
    <w:qFormat/>
    <w:rPr>
      <w:i/>
      <w:iCs/>
      <w:sz w:val="18"/>
      <w:szCs w:val="18"/>
    </w:rPr>
  </w:style>
  <w:style w:type="character" w:styleId="WW8Num14z1" w:customStyle="1">
    <w:name w:val="WW8Num14z1"/>
    <w:qFormat/>
    <w:rPr/>
  </w:style>
  <w:style w:type="character" w:styleId="WW8Num14z2" w:customStyle="1">
    <w:name w:val="WW8Num14z2"/>
    <w:qFormat/>
    <w:rPr/>
  </w:style>
  <w:style w:type="character" w:styleId="WW8Num14z3" w:customStyle="1">
    <w:name w:val="WW8Num14z3"/>
    <w:qFormat/>
    <w:rPr/>
  </w:style>
  <w:style w:type="character" w:styleId="WW8Num14z4" w:customStyle="1">
    <w:name w:val="WW8Num14z4"/>
    <w:qFormat/>
    <w:rPr/>
  </w:style>
  <w:style w:type="character" w:styleId="WW8Num14z5" w:customStyle="1">
    <w:name w:val="WW8Num14z5"/>
    <w:qFormat/>
    <w:rPr/>
  </w:style>
  <w:style w:type="character" w:styleId="WW8Num14z6" w:customStyle="1">
    <w:name w:val="WW8Num14z6"/>
    <w:qFormat/>
    <w:rPr/>
  </w:style>
  <w:style w:type="character" w:styleId="WW8Num14z7" w:customStyle="1">
    <w:name w:val="WW8Num14z7"/>
    <w:qFormat/>
    <w:rPr/>
  </w:style>
  <w:style w:type="character" w:styleId="WW8Num14z8" w:customStyle="1">
    <w:name w:val="WW8Num14z8"/>
    <w:qFormat/>
    <w:rPr/>
  </w:style>
  <w:style w:type="character" w:styleId="WW8Num15z0" w:customStyle="1">
    <w:name w:val="WW8Num15z0"/>
    <w:qFormat/>
    <w:rPr>
      <w:i w:val="false"/>
      <w:iCs w:val="false"/>
      <w:sz w:val="22"/>
      <w:szCs w:val="22"/>
    </w:rPr>
  </w:style>
  <w:style w:type="character" w:styleId="WW8Num15z1" w:customStyle="1">
    <w:name w:val="WW8Num15z1"/>
    <w:qFormat/>
    <w:rPr/>
  </w:style>
  <w:style w:type="character" w:styleId="WW8Num15z2" w:customStyle="1">
    <w:name w:val="WW8Num15z2"/>
    <w:qFormat/>
    <w:rPr/>
  </w:style>
  <w:style w:type="character" w:styleId="WW8Num15z3" w:customStyle="1">
    <w:name w:val="WW8Num15z3"/>
    <w:qFormat/>
    <w:rPr/>
  </w:style>
  <w:style w:type="character" w:styleId="WW8Num15z4" w:customStyle="1">
    <w:name w:val="WW8Num15z4"/>
    <w:qFormat/>
    <w:rPr/>
  </w:style>
  <w:style w:type="character" w:styleId="WW8Num15z5" w:customStyle="1">
    <w:name w:val="WW8Num15z5"/>
    <w:qFormat/>
    <w:rPr/>
  </w:style>
  <w:style w:type="character" w:styleId="WW8Num15z6" w:customStyle="1">
    <w:name w:val="WW8Num15z6"/>
    <w:qFormat/>
    <w:rPr/>
  </w:style>
  <w:style w:type="character" w:styleId="WW8Num15z7" w:customStyle="1">
    <w:name w:val="WW8Num15z7"/>
    <w:qFormat/>
    <w:rPr/>
  </w:style>
  <w:style w:type="character" w:styleId="WW8Num15z8" w:customStyle="1">
    <w:name w:val="WW8Num15z8"/>
    <w:qFormat/>
    <w:rPr/>
  </w:style>
  <w:style w:type="character" w:styleId="WW8Num16z0" w:customStyle="1">
    <w:name w:val="WW8Num16z0"/>
    <w:qFormat/>
    <w:rPr>
      <w:rFonts w:ascii="Arial" w:hAnsi="Arial" w:eastAsia="Times New Roman" w:cs="Arial"/>
      <w:bCs/>
      <w:i w:val="false"/>
      <w:iCs w:val="false"/>
      <w:color w:val="000000"/>
      <w:sz w:val="22"/>
      <w:szCs w:val="22"/>
      <w:lang w:val="es-ES" w:eastAsia="zh-CN" w:bidi="ar-SA"/>
    </w:rPr>
  </w:style>
  <w:style w:type="character" w:styleId="WW8Num16z1" w:customStyle="1">
    <w:name w:val="WW8Num16z1"/>
    <w:qFormat/>
    <w:rPr/>
  </w:style>
  <w:style w:type="character" w:styleId="WW8Num16z2" w:customStyle="1">
    <w:name w:val="WW8Num16z2"/>
    <w:qFormat/>
    <w:rPr/>
  </w:style>
  <w:style w:type="character" w:styleId="WW8Num16z3" w:customStyle="1">
    <w:name w:val="WW8Num16z3"/>
    <w:qFormat/>
    <w:rPr/>
  </w:style>
  <w:style w:type="character" w:styleId="WW8Num16z4" w:customStyle="1">
    <w:name w:val="WW8Num16z4"/>
    <w:qFormat/>
    <w:rPr/>
  </w:style>
  <w:style w:type="character" w:styleId="WW8Num16z5" w:customStyle="1">
    <w:name w:val="WW8Num16z5"/>
    <w:qFormat/>
    <w:rPr/>
  </w:style>
  <w:style w:type="character" w:styleId="WW8Num16z6" w:customStyle="1">
    <w:name w:val="WW8Num16z6"/>
    <w:qFormat/>
    <w:rPr/>
  </w:style>
  <w:style w:type="character" w:styleId="WW8Num16z7" w:customStyle="1">
    <w:name w:val="WW8Num16z7"/>
    <w:qFormat/>
    <w:rPr/>
  </w:style>
  <w:style w:type="character" w:styleId="WW8Num16z8" w:customStyle="1">
    <w:name w:val="WW8Num16z8"/>
    <w:qFormat/>
    <w:rPr/>
  </w:style>
  <w:style w:type="character" w:styleId="WW8Num17z0" w:customStyle="1">
    <w:name w:val="WW8Num17z0"/>
    <w:qFormat/>
    <w:rPr>
      <w:rFonts w:ascii="Symbol" w:hAnsi="Symbol" w:cs="OpenSymbol"/>
      <w:sz w:val="22"/>
      <w:szCs w:val="22"/>
    </w:rPr>
  </w:style>
  <w:style w:type="character" w:styleId="WW8Num17z1" w:customStyle="1">
    <w:name w:val="WW8Num17z1"/>
    <w:qFormat/>
    <w:rPr>
      <w:rFonts w:ascii="OpenSymbol" w:hAnsi="OpenSymbol" w:cs="OpenSymbol"/>
    </w:rPr>
  </w:style>
  <w:style w:type="character" w:styleId="WW8Num18z0" w:customStyle="1">
    <w:name w:val="WW8Num18z0"/>
    <w:qFormat/>
    <w:rPr>
      <w:rFonts w:ascii="Symbol" w:hAnsi="Symbol" w:eastAsia="Times New Roman" w:cs="OpenSymbol"/>
      <w:color w:val="000000"/>
      <w:sz w:val="20"/>
      <w:szCs w:val="20"/>
      <w:lang w:val="es-ES" w:eastAsia="zh-CN" w:bidi="ar-SA"/>
    </w:rPr>
  </w:style>
  <w:style w:type="character" w:styleId="WW8Num18z1" w:customStyle="1">
    <w:name w:val="WW8Num18z1"/>
    <w:qFormat/>
    <w:rPr>
      <w:rFonts w:ascii="OpenSymbol" w:hAnsi="OpenSymbol" w:cs="OpenSymbol"/>
    </w:rPr>
  </w:style>
  <w:style w:type="character" w:styleId="WW8Num19z0" w:customStyle="1">
    <w:name w:val="WW8Num19z0"/>
    <w:qFormat/>
    <w:rPr>
      <w:rFonts w:ascii="Symbol" w:hAnsi="Symbol" w:cs="OpenSymbol"/>
      <w:sz w:val="22"/>
      <w:szCs w:val="22"/>
    </w:rPr>
  </w:style>
  <w:style w:type="character" w:styleId="WW8Num19z1" w:customStyle="1">
    <w:name w:val="WW8Num19z1"/>
    <w:qFormat/>
    <w:rPr>
      <w:rFonts w:ascii="OpenSymbol" w:hAnsi="OpenSymbol" w:cs="OpenSymbol"/>
    </w:rPr>
  </w:style>
  <w:style w:type="character" w:styleId="WW8Num20z0" w:customStyle="1">
    <w:name w:val="WW8Num20z0"/>
    <w:qFormat/>
    <w:rPr>
      <w:rFonts w:ascii="Symbol" w:hAnsi="Symbol" w:cs="OpenSymbol"/>
      <w:sz w:val="22"/>
      <w:szCs w:val="22"/>
    </w:rPr>
  </w:style>
  <w:style w:type="character" w:styleId="WW8Num20z1" w:customStyle="1">
    <w:name w:val="WW8Num20z1"/>
    <w:qFormat/>
    <w:rPr>
      <w:rFonts w:ascii="OpenSymbol" w:hAnsi="OpenSymbol" w:cs="OpenSymbol"/>
    </w:rPr>
  </w:style>
  <w:style w:type="character" w:styleId="WW8Num21z0" w:customStyle="1">
    <w:name w:val="WW8Num21z0"/>
    <w:qFormat/>
    <w:rPr>
      <w:rFonts w:ascii="Arial" w:hAnsi="Arial" w:eastAsia="MS Gothic" w:cs="Arial"/>
      <w:b/>
      <w:bCs w:val="false"/>
      <w:i w:val="false"/>
      <w:iCs w:val="false"/>
      <w:color w:val="000000"/>
      <w:sz w:val="22"/>
      <w:szCs w:val="22"/>
      <w:lang w:val="es-ES" w:eastAsia="zh-CN" w:bidi="ar-SA"/>
    </w:rPr>
  </w:style>
  <w:style w:type="character" w:styleId="WW8Num21z1" w:customStyle="1">
    <w:name w:val="WW8Num21z1"/>
    <w:qFormat/>
    <w:rPr/>
  </w:style>
  <w:style w:type="character" w:styleId="WW8Num21z2" w:customStyle="1">
    <w:name w:val="WW8Num21z2"/>
    <w:qFormat/>
    <w:rPr/>
  </w:style>
  <w:style w:type="character" w:styleId="WW8Num21z3" w:customStyle="1">
    <w:name w:val="WW8Num21z3"/>
    <w:qFormat/>
    <w:rPr/>
  </w:style>
  <w:style w:type="character" w:styleId="WW8Num21z4" w:customStyle="1">
    <w:name w:val="WW8Num21z4"/>
    <w:qFormat/>
    <w:rPr/>
  </w:style>
  <w:style w:type="character" w:styleId="WW8Num21z5" w:customStyle="1">
    <w:name w:val="WW8Num21z5"/>
    <w:qFormat/>
    <w:rPr/>
  </w:style>
  <w:style w:type="character" w:styleId="WW8Num21z6" w:customStyle="1">
    <w:name w:val="WW8Num21z6"/>
    <w:qFormat/>
    <w:rPr/>
  </w:style>
  <w:style w:type="character" w:styleId="WW8Num21z7" w:customStyle="1">
    <w:name w:val="WW8Num21z7"/>
    <w:qFormat/>
    <w:rPr/>
  </w:style>
  <w:style w:type="character" w:styleId="WW8Num21z8" w:customStyle="1">
    <w:name w:val="WW8Num21z8"/>
    <w:qFormat/>
    <w:rPr/>
  </w:style>
  <w:style w:type="character" w:styleId="WW8Num22z0" w:customStyle="1">
    <w:name w:val="WW8Num22z0"/>
    <w:qFormat/>
    <w:rPr>
      <w:rFonts w:ascii="Symbol" w:hAnsi="Symbol" w:cs="OpenSymbol"/>
      <w:sz w:val="22"/>
      <w:szCs w:val="22"/>
      <w:lang w:val="es-ES"/>
    </w:rPr>
  </w:style>
  <w:style w:type="character" w:styleId="WW8Num22z1" w:customStyle="1">
    <w:name w:val="WW8Num22z1"/>
    <w:qFormat/>
    <w:rPr>
      <w:rFonts w:ascii="OpenSymbol" w:hAnsi="OpenSymbol" w:cs="OpenSymbol"/>
    </w:rPr>
  </w:style>
  <w:style w:type="character" w:styleId="WW8Num23z0" w:customStyle="1">
    <w:name w:val="WW8Num23z0"/>
    <w:qFormat/>
    <w:rPr>
      <w:rFonts w:ascii="Arial" w:hAnsi="Arial" w:cs="Arial"/>
      <w:sz w:val="22"/>
      <w:szCs w:val="22"/>
    </w:rPr>
  </w:style>
  <w:style w:type="character" w:styleId="WW8Num23z1" w:customStyle="1">
    <w:name w:val="WW8Num23z1"/>
    <w:qFormat/>
    <w:rPr/>
  </w:style>
  <w:style w:type="character" w:styleId="WW8Num23z2" w:customStyle="1">
    <w:name w:val="WW8Num23z2"/>
    <w:qFormat/>
    <w:rPr/>
  </w:style>
  <w:style w:type="character" w:styleId="WW8Num23z3" w:customStyle="1">
    <w:name w:val="WW8Num23z3"/>
    <w:qFormat/>
    <w:rPr/>
  </w:style>
  <w:style w:type="character" w:styleId="WW8Num23z4" w:customStyle="1">
    <w:name w:val="WW8Num23z4"/>
    <w:qFormat/>
    <w:rPr/>
  </w:style>
  <w:style w:type="character" w:styleId="WW8Num23z5" w:customStyle="1">
    <w:name w:val="WW8Num23z5"/>
    <w:qFormat/>
    <w:rPr/>
  </w:style>
  <w:style w:type="character" w:styleId="WW8Num23z6" w:customStyle="1">
    <w:name w:val="WW8Num23z6"/>
    <w:qFormat/>
    <w:rPr/>
  </w:style>
  <w:style w:type="character" w:styleId="WW8Num23z7" w:customStyle="1">
    <w:name w:val="WW8Num23z7"/>
    <w:qFormat/>
    <w:rPr/>
  </w:style>
  <w:style w:type="character" w:styleId="WW8Num23z8" w:customStyle="1">
    <w:name w:val="WW8Num23z8"/>
    <w:qFormat/>
    <w:rPr/>
  </w:style>
  <w:style w:type="character" w:styleId="WW8Num24z0" w:customStyle="1">
    <w:name w:val="WW8Num24z0"/>
    <w:qFormat/>
    <w:rPr>
      <w:rFonts w:ascii="Arial" w:hAnsi="Arial" w:cs="Arial"/>
      <w:i/>
      <w:iCs/>
      <w:sz w:val="22"/>
      <w:szCs w:val="22"/>
    </w:rPr>
  </w:style>
  <w:style w:type="character" w:styleId="WW8Num24z1" w:customStyle="1">
    <w:name w:val="WW8Num24z1"/>
    <w:qFormat/>
    <w:rPr/>
  </w:style>
  <w:style w:type="character" w:styleId="WW8Num24z2" w:customStyle="1">
    <w:name w:val="WW8Num24z2"/>
    <w:qFormat/>
    <w:rPr/>
  </w:style>
  <w:style w:type="character" w:styleId="WW8Num24z3" w:customStyle="1">
    <w:name w:val="WW8Num24z3"/>
    <w:qFormat/>
    <w:rPr/>
  </w:style>
  <w:style w:type="character" w:styleId="WW8Num24z4" w:customStyle="1">
    <w:name w:val="WW8Num24z4"/>
    <w:qFormat/>
    <w:rPr/>
  </w:style>
  <w:style w:type="character" w:styleId="WW8Num24z5" w:customStyle="1">
    <w:name w:val="WW8Num24z5"/>
    <w:qFormat/>
    <w:rPr/>
  </w:style>
  <w:style w:type="character" w:styleId="WW8Num24z6" w:customStyle="1">
    <w:name w:val="WW8Num24z6"/>
    <w:qFormat/>
    <w:rPr/>
  </w:style>
  <w:style w:type="character" w:styleId="WW8Num24z7" w:customStyle="1">
    <w:name w:val="WW8Num24z7"/>
    <w:qFormat/>
    <w:rPr/>
  </w:style>
  <w:style w:type="character" w:styleId="WW8Num24z8" w:customStyle="1">
    <w:name w:val="WW8Num24z8"/>
    <w:qFormat/>
    <w:rPr/>
  </w:style>
  <w:style w:type="character" w:styleId="WW8Num10z2" w:customStyle="1">
    <w:name w:val="WW8Num10z2"/>
    <w:qFormat/>
    <w:rPr/>
  </w:style>
  <w:style w:type="character" w:styleId="WW8Num10z3" w:customStyle="1">
    <w:name w:val="WW8Num10z3"/>
    <w:qFormat/>
    <w:rPr/>
  </w:style>
  <w:style w:type="character" w:styleId="WW8Num10z4" w:customStyle="1">
    <w:name w:val="WW8Num10z4"/>
    <w:qFormat/>
    <w:rPr/>
  </w:style>
  <w:style w:type="character" w:styleId="WW8Num10z5" w:customStyle="1">
    <w:name w:val="WW8Num10z5"/>
    <w:qFormat/>
    <w:rPr/>
  </w:style>
  <w:style w:type="character" w:styleId="WW8Num10z6" w:customStyle="1">
    <w:name w:val="WW8Num10z6"/>
    <w:qFormat/>
    <w:rPr/>
  </w:style>
  <w:style w:type="character" w:styleId="WW8Num10z7" w:customStyle="1">
    <w:name w:val="WW8Num10z7"/>
    <w:qFormat/>
    <w:rPr/>
  </w:style>
  <w:style w:type="character" w:styleId="WW8Num10z8" w:customStyle="1">
    <w:name w:val="WW8Num10z8"/>
    <w:qFormat/>
    <w:rPr/>
  </w:style>
  <w:style w:type="character" w:styleId="WW8Num12z2" w:customStyle="1">
    <w:name w:val="WW8Num12z2"/>
    <w:qFormat/>
    <w:rPr/>
  </w:style>
  <w:style w:type="character" w:styleId="WW8Num12z3" w:customStyle="1">
    <w:name w:val="WW8Num12z3"/>
    <w:qFormat/>
    <w:rPr/>
  </w:style>
  <w:style w:type="character" w:styleId="WW8Num12z4" w:customStyle="1">
    <w:name w:val="WW8Num12z4"/>
    <w:qFormat/>
    <w:rPr/>
  </w:style>
  <w:style w:type="character" w:styleId="WW8Num12z5" w:customStyle="1">
    <w:name w:val="WW8Num12z5"/>
    <w:qFormat/>
    <w:rPr/>
  </w:style>
  <w:style w:type="character" w:styleId="WW8Num12z6" w:customStyle="1">
    <w:name w:val="WW8Num12z6"/>
    <w:qFormat/>
    <w:rPr/>
  </w:style>
  <w:style w:type="character" w:styleId="WW8Num12z7" w:customStyle="1">
    <w:name w:val="WW8Num12z7"/>
    <w:qFormat/>
    <w:rPr/>
  </w:style>
  <w:style w:type="character" w:styleId="WW8Num12z8" w:customStyle="1">
    <w:name w:val="WW8Num12z8"/>
    <w:qFormat/>
    <w:rPr/>
  </w:style>
  <w:style w:type="character" w:styleId="WW8Num17z2" w:customStyle="1">
    <w:name w:val="WW8Num17z2"/>
    <w:qFormat/>
    <w:rPr/>
  </w:style>
  <w:style w:type="character" w:styleId="WW8Num17z3" w:customStyle="1">
    <w:name w:val="WW8Num17z3"/>
    <w:qFormat/>
    <w:rPr/>
  </w:style>
  <w:style w:type="character" w:styleId="WW8Num17z4" w:customStyle="1">
    <w:name w:val="WW8Num17z4"/>
    <w:qFormat/>
    <w:rPr/>
  </w:style>
  <w:style w:type="character" w:styleId="WW8Num17z5" w:customStyle="1">
    <w:name w:val="WW8Num17z5"/>
    <w:qFormat/>
    <w:rPr/>
  </w:style>
  <w:style w:type="character" w:styleId="WW8Num17z6" w:customStyle="1">
    <w:name w:val="WW8Num17z6"/>
    <w:qFormat/>
    <w:rPr/>
  </w:style>
  <w:style w:type="character" w:styleId="WW8Num17z7" w:customStyle="1">
    <w:name w:val="WW8Num17z7"/>
    <w:qFormat/>
    <w:rPr/>
  </w:style>
  <w:style w:type="character" w:styleId="WW8Num17z8" w:customStyle="1">
    <w:name w:val="WW8Num17z8"/>
    <w:qFormat/>
    <w:rPr/>
  </w:style>
  <w:style w:type="character" w:styleId="WW8Num18z2" w:customStyle="1">
    <w:name w:val="WW8Num18z2"/>
    <w:qFormat/>
    <w:rPr/>
  </w:style>
  <w:style w:type="character" w:styleId="WW8Num18z3" w:customStyle="1">
    <w:name w:val="WW8Num18z3"/>
    <w:qFormat/>
    <w:rPr/>
  </w:style>
  <w:style w:type="character" w:styleId="WW8Num18z4" w:customStyle="1">
    <w:name w:val="WW8Num18z4"/>
    <w:qFormat/>
    <w:rPr/>
  </w:style>
  <w:style w:type="character" w:styleId="WW8Num18z5" w:customStyle="1">
    <w:name w:val="WW8Num18z5"/>
    <w:qFormat/>
    <w:rPr/>
  </w:style>
  <w:style w:type="character" w:styleId="WW8Num18z6" w:customStyle="1">
    <w:name w:val="WW8Num18z6"/>
    <w:qFormat/>
    <w:rPr/>
  </w:style>
  <w:style w:type="character" w:styleId="WW8Num18z7" w:customStyle="1">
    <w:name w:val="WW8Num18z7"/>
    <w:qFormat/>
    <w:rPr/>
  </w:style>
  <w:style w:type="character" w:styleId="WW8Num18z8" w:customStyle="1">
    <w:name w:val="WW8Num18z8"/>
    <w:qFormat/>
    <w:rPr/>
  </w:style>
  <w:style w:type="character" w:styleId="WW8Num19z2" w:customStyle="1">
    <w:name w:val="WW8Num19z2"/>
    <w:qFormat/>
    <w:rPr/>
  </w:style>
  <w:style w:type="character" w:styleId="WW8Num19z3" w:customStyle="1">
    <w:name w:val="WW8Num19z3"/>
    <w:qFormat/>
    <w:rPr/>
  </w:style>
  <w:style w:type="character" w:styleId="WW8Num19z4" w:customStyle="1">
    <w:name w:val="WW8Num19z4"/>
    <w:qFormat/>
    <w:rPr/>
  </w:style>
  <w:style w:type="character" w:styleId="WW8Num19z5" w:customStyle="1">
    <w:name w:val="WW8Num19z5"/>
    <w:qFormat/>
    <w:rPr/>
  </w:style>
  <w:style w:type="character" w:styleId="WW8Num19z6" w:customStyle="1">
    <w:name w:val="WW8Num19z6"/>
    <w:qFormat/>
    <w:rPr/>
  </w:style>
  <w:style w:type="character" w:styleId="WW8Num19z7" w:customStyle="1">
    <w:name w:val="WW8Num19z7"/>
    <w:qFormat/>
    <w:rPr/>
  </w:style>
  <w:style w:type="character" w:styleId="WW8Num19z8" w:customStyle="1">
    <w:name w:val="WW8Num19z8"/>
    <w:qFormat/>
    <w:rPr/>
  </w:style>
  <w:style w:type="character" w:styleId="WW8Num25z0" w:customStyle="1">
    <w:name w:val="WW8Num25z0"/>
    <w:qFormat/>
    <w:rPr>
      <w:rFonts w:ascii="Arial" w:hAnsi="Arial" w:eastAsia="MS Gothic" w:cs="Arial"/>
      <w:b/>
      <w:bCs w:val="false"/>
      <w:i w:val="false"/>
      <w:iCs w:val="false"/>
      <w:color w:val="000000"/>
      <w:sz w:val="22"/>
      <w:szCs w:val="22"/>
      <w:lang w:val="es-ES" w:eastAsia="zh-CN" w:bidi="ar-SA"/>
    </w:rPr>
  </w:style>
  <w:style w:type="character" w:styleId="WW8Num25z1" w:customStyle="1">
    <w:name w:val="WW8Num25z1"/>
    <w:qFormat/>
    <w:rPr/>
  </w:style>
  <w:style w:type="character" w:styleId="WW8Num25z2" w:customStyle="1">
    <w:name w:val="WW8Num25z2"/>
    <w:qFormat/>
    <w:rPr/>
  </w:style>
  <w:style w:type="character" w:styleId="WW8Num25z3" w:customStyle="1">
    <w:name w:val="WW8Num25z3"/>
    <w:qFormat/>
    <w:rPr/>
  </w:style>
  <w:style w:type="character" w:styleId="WW8Num25z4" w:customStyle="1">
    <w:name w:val="WW8Num25z4"/>
    <w:qFormat/>
    <w:rPr/>
  </w:style>
  <w:style w:type="character" w:styleId="WW8Num25z5" w:customStyle="1">
    <w:name w:val="WW8Num25z5"/>
    <w:qFormat/>
    <w:rPr/>
  </w:style>
  <w:style w:type="character" w:styleId="WW8Num25z6" w:customStyle="1">
    <w:name w:val="WW8Num25z6"/>
    <w:qFormat/>
    <w:rPr/>
  </w:style>
  <w:style w:type="character" w:styleId="WW8Num25z7" w:customStyle="1">
    <w:name w:val="WW8Num25z7"/>
    <w:qFormat/>
    <w:rPr/>
  </w:style>
  <w:style w:type="character" w:styleId="WW8Num25z8" w:customStyle="1">
    <w:name w:val="WW8Num25z8"/>
    <w:qFormat/>
    <w:rPr/>
  </w:style>
  <w:style w:type="character" w:styleId="WW8Num26z0" w:customStyle="1">
    <w:name w:val="WW8Num26z0"/>
    <w:qFormat/>
    <w:rPr>
      <w:rFonts w:ascii="Symbol" w:hAnsi="Symbol" w:cs="OpenSymbol"/>
      <w:sz w:val="22"/>
      <w:szCs w:val="22"/>
      <w:lang w:val="es-ES"/>
    </w:rPr>
  </w:style>
  <w:style w:type="character" w:styleId="WW8Num26z1" w:customStyle="1">
    <w:name w:val="WW8Num26z1"/>
    <w:qFormat/>
    <w:rPr>
      <w:rFonts w:ascii="OpenSymbol" w:hAnsi="OpenSymbol" w:cs="OpenSymbol"/>
    </w:rPr>
  </w:style>
  <w:style w:type="character" w:styleId="WW8Num27z0" w:customStyle="1">
    <w:name w:val="WW8Num27z0"/>
    <w:qFormat/>
    <w:rPr>
      <w:rFonts w:ascii="Arial" w:hAnsi="Arial" w:cs="Arial"/>
      <w:sz w:val="22"/>
      <w:szCs w:val="22"/>
    </w:rPr>
  </w:style>
  <w:style w:type="character" w:styleId="WW8Num27z1" w:customStyle="1">
    <w:name w:val="WW8Num27z1"/>
    <w:qFormat/>
    <w:rPr/>
  </w:style>
  <w:style w:type="character" w:styleId="WW8Num27z2" w:customStyle="1">
    <w:name w:val="WW8Num27z2"/>
    <w:qFormat/>
    <w:rPr/>
  </w:style>
  <w:style w:type="character" w:styleId="WW8Num27z3" w:customStyle="1">
    <w:name w:val="WW8Num27z3"/>
    <w:qFormat/>
    <w:rPr/>
  </w:style>
  <w:style w:type="character" w:styleId="WW8Num27z4" w:customStyle="1">
    <w:name w:val="WW8Num27z4"/>
    <w:qFormat/>
    <w:rPr/>
  </w:style>
  <w:style w:type="character" w:styleId="WW8Num27z5" w:customStyle="1">
    <w:name w:val="WW8Num27z5"/>
    <w:qFormat/>
    <w:rPr/>
  </w:style>
  <w:style w:type="character" w:styleId="WW8Num27z6" w:customStyle="1">
    <w:name w:val="WW8Num27z6"/>
    <w:qFormat/>
    <w:rPr/>
  </w:style>
  <w:style w:type="character" w:styleId="WW8Num27z7" w:customStyle="1">
    <w:name w:val="WW8Num27z7"/>
    <w:qFormat/>
    <w:rPr/>
  </w:style>
  <w:style w:type="character" w:styleId="WW8Num27z8" w:customStyle="1">
    <w:name w:val="WW8Num27z8"/>
    <w:qFormat/>
    <w:rPr/>
  </w:style>
  <w:style w:type="character" w:styleId="WW8Num28z0" w:customStyle="1">
    <w:name w:val="WW8Num28z0"/>
    <w:qFormat/>
    <w:rPr>
      <w:rFonts w:ascii="Arial" w:hAnsi="Arial" w:cs="Arial"/>
      <w:i/>
      <w:iCs/>
      <w:sz w:val="22"/>
      <w:szCs w:val="22"/>
    </w:rPr>
  </w:style>
  <w:style w:type="character" w:styleId="WW8Num28z1" w:customStyle="1">
    <w:name w:val="WW8Num28z1"/>
    <w:qFormat/>
    <w:rPr/>
  </w:style>
  <w:style w:type="character" w:styleId="WW8Num28z2" w:customStyle="1">
    <w:name w:val="WW8Num28z2"/>
    <w:qFormat/>
    <w:rPr/>
  </w:style>
  <w:style w:type="character" w:styleId="WW8Num28z3" w:customStyle="1">
    <w:name w:val="WW8Num28z3"/>
    <w:qFormat/>
    <w:rPr/>
  </w:style>
  <w:style w:type="character" w:styleId="WW8Num28z4" w:customStyle="1">
    <w:name w:val="WW8Num28z4"/>
    <w:qFormat/>
    <w:rPr/>
  </w:style>
  <w:style w:type="character" w:styleId="WW8Num28z5" w:customStyle="1">
    <w:name w:val="WW8Num28z5"/>
    <w:qFormat/>
    <w:rPr/>
  </w:style>
  <w:style w:type="character" w:styleId="WW8Num28z6" w:customStyle="1">
    <w:name w:val="WW8Num28z6"/>
    <w:qFormat/>
    <w:rPr/>
  </w:style>
  <w:style w:type="character" w:styleId="WW8Num28z7" w:customStyle="1">
    <w:name w:val="WW8Num28z7"/>
    <w:qFormat/>
    <w:rPr/>
  </w:style>
  <w:style w:type="character" w:styleId="WW8Num28z8" w:customStyle="1">
    <w:name w:val="WW8Num28z8"/>
    <w:qFormat/>
    <w:rPr/>
  </w:style>
  <w:style w:type="character" w:styleId="WW8Num20z2" w:customStyle="1">
    <w:name w:val="WW8Num20z2"/>
    <w:qFormat/>
    <w:rPr/>
  </w:style>
  <w:style w:type="character" w:styleId="WW8Num20z3" w:customStyle="1">
    <w:name w:val="WW8Num20z3"/>
    <w:qFormat/>
    <w:rPr/>
  </w:style>
  <w:style w:type="character" w:styleId="WW8Num20z4" w:customStyle="1">
    <w:name w:val="WW8Num20z4"/>
    <w:qFormat/>
    <w:rPr/>
  </w:style>
  <w:style w:type="character" w:styleId="WW8Num20z5" w:customStyle="1">
    <w:name w:val="WW8Num20z5"/>
    <w:qFormat/>
    <w:rPr/>
  </w:style>
  <w:style w:type="character" w:styleId="WW8Num20z6" w:customStyle="1">
    <w:name w:val="WW8Num20z6"/>
    <w:qFormat/>
    <w:rPr/>
  </w:style>
  <w:style w:type="character" w:styleId="WW8Num20z7" w:customStyle="1">
    <w:name w:val="WW8Num20z7"/>
    <w:qFormat/>
    <w:rPr/>
  </w:style>
  <w:style w:type="character" w:styleId="WW8Num20z8" w:customStyle="1">
    <w:name w:val="WW8Num20z8"/>
    <w:qFormat/>
    <w:rPr/>
  </w:style>
  <w:style w:type="character" w:styleId="WW8Num22z2" w:customStyle="1">
    <w:name w:val="WW8Num22z2"/>
    <w:qFormat/>
    <w:rPr/>
  </w:style>
  <w:style w:type="character" w:styleId="WW8Num22z3" w:customStyle="1">
    <w:name w:val="WW8Num22z3"/>
    <w:qFormat/>
    <w:rPr/>
  </w:style>
  <w:style w:type="character" w:styleId="WW8Num22z4" w:customStyle="1">
    <w:name w:val="WW8Num22z4"/>
    <w:qFormat/>
    <w:rPr/>
  </w:style>
  <w:style w:type="character" w:styleId="WW8Num22z5" w:customStyle="1">
    <w:name w:val="WW8Num22z5"/>
    <w:qFormat/>
    <w:rPr/>
  </w:style>
  <w:style w:type="character" w:styleId="WW8Num22z6" w:customStyle="1">
    <w:name w:val="WW8Num22z6"/>
    <w:qFormat/>
    <w:rPr/>
  </w:style>
  <w:style w:type="character" w:styleId="WW8Num22z7" w:customStyle="1">
    <w:name w:val="WW8Num22z7"/>
    <w:qFormat/>
    <w:rPr/>
  </w:style>
  <w:style w:type="character" w:styleId="WW8Num22z8" w:customStyle="1">
    <w:name w:val="WW8Num22z8"/>
    <w:qFormat/>
    <w:rPr/>
  </w:style>
  <w:style w:type="character" w:styleId="WW8Num26z2" w:customStyle="1">
    <w:name w:val="WW8Num26z2"/>
    <w:qFormat/>
    <w:rPr/>
  </w:style>
  <w:style w:type="character" w:styleId="WW8Num26z3" w:customStyle="1">
    <w:name w:val="WW8Num26z3"/>
    <w:qFormat/>
    <w:rPr/>
  </w:style>
  <w:style w:type="character" w:styleId="WW8Num26z4" w:customStyle="1">
    <w:name w:val="WW8Num26z4"/>
    <w:qFormat/>
    <w:rPr/>
  </w:style>
  <w:style w:type="character" w:styleId="WW8Num26z5" w:customStyle="1">
    <w:name w:val="WW8Num26z5"/>
    <w:qFormat/>
    <w:rPr/>
  </w:style>
  <w:style w:type="character" w:styleId="WW8Num26z6" w:customStyle="1">
    <w:name w:val="WW8Num26z6"/>
    <w:qFormat/>
    <w:rPr/>
  </w:style>
  <w:style w:type="character" w:styleId="WW8Num26z7" w:customStyle="1">
    <w:name w:val="WW8Num26z7"/>
    <w:qFormat/>
    <w:rPr/>
  </w:style>
  <w:style w:type="character" w:styleId="WW8Num26z8" w:customStyle="1">
    <w:name w:val="WW8Num26z8"/>
    <w:qFormat/>
    <w:rPr/>
  </w:style>
  <w:style w:type="character" w:styleId="WW8Num29z0" w:customStyle="1">
    <w:name w:val="WW8Num29z0"/>
    <w:qFormat/>
    <w:rPr>
      <w:i w:val="false"/>
      <w:iCs w:val="false"/>
      <w:sz w:val="22"/>
      <w:szCs w:val="22"/>
    </w:rPr>
  </w:style>
  <w:style w:type="character" w:styleId="WW8Num29z1" w:customStyle="1">
    <w:name w:val="WW8Num29z1"/>
    <w:qFormat/>
    <w:rPr/>
  </w:style>
  <w:style w:type="character" w:styleId="WW8Num29z2" w:customStyle="1">
    <w:name w:val="WW8Num29z2"/>
    <w:qFormat/>
    <w:rPr/>
  </w:style>
  <w:style w:type="character" w:styleId="WW8Num29z3" w:customStyle="1">
    <w:name w:val="WW8Num29z3"/>
    <w:qFormat/>
    <w:rPr/>
  </w:style>
  <w:style w:type="character" w:styleId="WW8Num29z4" w:customStyle="1">
    <w:name w:val="WW8Num29z4"/>
    <w:qFormat/>
    <w:rPr/>
  </w:style>
  <w:style w:type="character" w:styleId="WW8Num29z5" w:customStyle="1">
    <w:name w:val="WW8Num29z5"/>
    <w:qFormat/>
    <w:rPr/>
  </w:style>
  <w:style w:type="character" w:styleId="WW8Num29z6" w:customStyle="1">
    <w:name w:val="WW8Num29z6"/>
    <w:qFormat/>
    <w:rPr/>
  </w:style>
  <w:style w:type="character" w:styleId="WW8Num29z7" w:customStyle="1">
    <w:name w:val="WW8Num29z7"/>
    <w:qFormat/>
    <w:rPr/>
  </w:style>
  <w:style w:type="character" w:styleId="WW8Num29z8" w:customStyle="1">
    <w:name w:val="WW8Num29z8"/>
    <w:qFormat/>
    <w:rPr/>
  </w:style>
  <w:style w:type="character" w:styleId="WW8Num30z0" w:customStyle="1">
    <w:name w:val="WW8Num30z0"/>
    <w:qFormat/>
    <w:rPr>
      <w:rFonts w:ascii="Symbol" w:hAnsi="Symbol" w:cs="OpenSymbol"/>
      <w:sz w:val="20"/>
      <w:szCs w:val="20"/>
    </w:rPr>
  </w:style>
  <w:style w:type="character" w:styleId="WW8Num30z1" w:customStyle="1">
    <w:name w:val="WW8Num30z1"/>
    <w:qFormat/>
    <w:rPr>
      <w:rFonts w:ascii="OpenSymbol" w:hAnsi="OpenSymbol" w:cs="OpenSymbol"/>
    </w:rPr>
  </w:style>
  <w:style w:type="character" w:styleId="WW8Num30z2" w:customStyle="1">
    <w:name w:val="WW8Num30z2"/>
    <w:qFormat/>
    <w:rPr>
      <w:rFonts w:ascii="Wingdings" w:hAnsi="Wingdings" w:cs="Wingdings"/>
    </w:rPr>
  </w:style>
  <w:style w:type="character" w:styleId="WW8Num30z3" w:customStyle="1">
    <w:name w:val="WW8Num30z3"/>
    <w:qFormat/>
    <w:rPr/>
  </w:style>
  <w:style w:type="character" w:styleId="WW8Num30z4" w:customStyle="1">
    <w:name w:val="WW8Num30z4"/>
    <w:qFormat/>
    <w:rPr/>
  </w:style>
  <w:style w:type="character" w:styleId="WW8Num30z6" w:customStyle="1">
    <w:name w:val="WW8Num30z6"/>
    <w:qFormat/>
    <w:rPr/>
  </w:style>
  <w:style w:type="character" w:styleId="WW8Num30z7" w:customStyle="1">
    <w:name w:val="WW8Num30z7"/>
    <w:qFormat/>
    <w:rPr/>
  </w:style>
  <w:style w:type="character" w:styleId="WW8Num30z8" w:customStyle="1">
    <w:name w:val="WW8Num30z8"/>
    <w:qFormat/>
    <w:rPr/>
  </w:style>
  <w:style w:type="character" w:styleId="WW8Num31z0" w:customStyle="1">
    <w:name w:val="WW8Num31z0"/>
    <w:qFormat/>
    <w:rPr>
      <w:rFonts w:ascii="Symbol" w:hAnsi="Symbol" w:cs="OpenSymbol"/>
    </w:rPr>
  </w:style>
  <w:style w:type="character" w:styleId="WW8Num31z1" w:customStyle="1">
    <w:name w:val="WW8Num31z1"/>
    <w:qFormat/>
    <w:rPr>
      <w:rFonts w:ascii="OpenSymbol" w:hAnsi="OpenSymbol" w:cs="OpenSymbol"/>
    </w:rPr>
  </w:style>
  <w:style w:type="character" w:styleId="WW8Num32z0" w:customStyle="1">
    <w:name w:val="WW8Num32z0"/>
    <w:qFormat/>
    <w:rPr>
      <w:rFonts w:ascii="Symbol" w:hAnsi="Symbol" w:cs="OpenSymbol"/>
    </w:rPr>
  </w:style>
  <w:style w:type="character" w:styleId="WW8Num32z1" w:customStyle="1">
    <w:name w:val="WW8Num32z1"/>
    <w:qFormat/>
    <w:rPr>
      <w:rFonts w:ascii="OpenSymbol" w:hAnsi="OpenSymbol" w:cs="OpenSymbol"/>
    </w:rPr>
  </w:style>
  <w:style w:type="character" w:styleId="WW8Num33z0" w:customStyle="1">
    <w:name w:val="WW8Num33z0"/>
    <w:qFormat/>
    <w:rPr>
      <w:rFonts w:ascii="Symbol" w:hAnsi="Symbol" w:cs="OpenSymbol"/>
    </w:rPr>
  </w:style>
  <w:style w:type="character" w:styleId="WW8Num33z1" w:customStyle="1">
    <w:name w:val="WW8Num33z1"/>
    <w:qFormat/>
    <w:rPr>
      <w:rFonts w:ascii="OpenSymbol" w:hAnsi="OpenSymbol" w:cs="OpenSymbol"/>
    </w:rPr>
  </w:style>
  <w:style w:type="character" w:styleId="WW8Num34z0" w:customStyle="1">
    <w:name w:val="WW8Num34z0"/>
    <w:qFormat/>
    <w:rPr>
      <w:rFonts w:eastAsia="Times New Roman" w:cs="Arial"/>
      <w:bCs/>
      <w:color w:val="000000"/>
      <w:sz w:val="22"/>
      <w:szCs w:val="22"/>
      <w:lang w:val="es-ES" w:eastAsia="zh-CN" w:bidi="ar-SA"/>
    </w:rPr>
  </w:style>
  <w:style w:type="character" w:styleId="WW8Num34z1" w:customStyle="1">
    <w:name w:val="WW8Num34z1"/>
    <w:qFormat/>
    <w:rPr/>
  </w:style>
  <w:style w:type="character" w:styleId="WW8Num34z2" w:customStyle="1">
    <w:name w:val="WW8Num34z2"/>
    <w:qFormat/>
    <w:rPr>
      <w:rFonts w:ascii="Arial" w:hAnsi="Arial" w:eastAsia="Times New Roman" w:cs="Arial"/>
      <w:b w:val="false"/>
      <w:bCs w:val="false"/>
      <w:color w:val="000000"/>
      <w:sz w:val="22"/>
      <w:szCs w:val="22"/>
      <w:lang w:val="es-ES" w:eastAsia="zh-CN" w:bidi="ar-SA"/>
    </w:rPr>
  </w:style>
  <w:style w:type="character" w:styleId="WW8Num34z3" w:customStyle="1">
    <w:name w:val="WW8Num34z3"/>
    <w:qFormat/>
    <w:rPr>
      <w:lang w:val="es-ES"/>
    </w:rPr>
  </w:style>
  <w:style w:type="character" w:styleId="WW8Num34z4" w:customStyle="1">
    <w:name w:val="WW8Num34z4"/>
    <w:qFormat/>
    <w:rPr>
      <w:lang w:val="es-ES" w:eastAsia="hi-IN" w:bidi="hi-IN"/>
    </w:rPr>
  </w:style>
  <w:style w:type="character" w:styleId="WW8Num34z5" w:customStyle="1">
    <w:name w:val="WW8Num34z5"/>
    <w:qFormat/>
    <w:rPr/>
  </w:style>
  <w:style w:type="character" w:styleId="WW8Num34z6" w:customStyle="1">
    <w:name w:val="WW8Num34z6"/>
    <w:qFormat/>
    <w:rPr/>
  </w:style>
  <w:style w:type="character" w:styleId="WW8Num34z7" w:customStyle="1">
    <w:name w:val="WW8Num34z7"/>
    <w:qFormat/>
    <w:rPr/>
  </w:style>
  <w:style w:type="character" w:styleId="WW8Num34z8" w:customStyle="1">
    <w:name w:val="WW8Num34z8"/>
    <w:qFormat/>
    <w:rPr/>
  </w:style>
  <w:style w:type="character" w:styleId="WW8Num35z0" w:customStyle="1">
    <w:name w:val="WW8Num35z0"/>
    <w:qFormat/>
    <w:rPr>
      <w:rFonts w:ascii="Symbol" w:hAnsi="Symbol" w:eastAsia="Times New Roman" w:cs="OpenSymbol"/>
      <w:color w:val="000000"/>
      <w:sz w:val="22"/>
      <w:szCs w:val="22"/>
      <w:lang w:val="es-ES" w:eastAsia="zh-CN" w:bidi="ar-SA"/>
    </w:rPr>
  </w:style>
  <w:style w:type="character" w:styleId="WW8Num35z1" w:customStyle="1">
    <w:name w:val="WW8Num35z1"/>
    <w:qFormat/>
    <w:rPr>
      <w:rFonts w:ascii="OpenSymbol" w:hAnsi="OpenSymbol" w:cs="OpenSymbol"/>
    </w:rPr>
  </w:style>
  <w:style w:type="character" w:styleId="WW8Num11z2" w:customStyle="1">
    <w:name w:val="WW8Num11z2"/>
    <w:qFormat/>
    <w:rPr/>
  </w:style>
  <w:style w:type="character" w:styleId="WW8Num11z3" w:customStyle="1">
    <w:name w:val="WW8Num11z3"/>
    <w:qFormat/>
    <w:rPr/>
  </w:style>
  <w:style w:type="character" w:styleId="WW8Num11z4" w:customStyle="1">
    <w:name w:val="WW8Num11z4"/>
    <w:qFormat/>
    <w:rPr/>
  </w:style>
  <w:style w:type="character" w:styleId="WW8Num11z5" w:customStyle="1">
    <w:name w:val="WW8Num11z5"/>
    <w:qFormat/>
    <w:rPr/>
  </w:style>
  <w:style w:type="character" w:styleId="WW8Num11z6" w:customStyle="1">
    <w:name w:val="WW8Num11z6"/>
    <w:qFormat/>
    <w:rPr/>
  </w:style>
  <w:style w:type="character" w:styleId="WW8Num11z7" w:customStyle="1">
    <w:name w:val="WW8Num11z7"/>
    <w:qFormat/>
    <w:rPr/>
  </w:style>
  <w:style w:type="character" w:styleId="WW8Num11z8" w:customStyle="1">
    <w:name w:val="WW8Num11z8"/>
    <w:qFormat/>
    <w:rPr/>
  </w:style>
  <w:style w:type="character" w:styleId="WW8Num32z2" w:customStyle="1">
    <w:name w:val="WW8Num32z2"/>
    <w:qFormat/>
    <w:rPr>
      <w:rFonts w:ascii="Wingdings" w:hAnsi="Wingdings" w:cs="Wingdings"/>
    </w:rPr>
  </w:style>
  <w:style w:type="character" w:styleId="WW8Num32z6" w:customStyle="1">
    <w:name w:val="WW8Num32z6"/>
    <w:qFormat/>
    <w:rPr>
      <w:rFonts w:ascii="Symbol" w:hAnsi="Symbol" w:cs="Symbol"/>
    </w:rPr>
  </w:style>
  <w:style w:type="character" w:styleId="WW8Num33z2" w:customStyle="1">
    <w:name w:val="WW8Num33z2"/>
    <w:qFormat/>
    <w:rPr>
      <w:rFonts w:ascii="Arial" w:hAnsi="Arial" w:eastAsia="Times New Roman" w:cs="Arial"/>
      <w:b w:val="false"/>
      <w:bCs w:val="false"/>
      <w:color w:val="000000"/>
      <w:sz w:val="22"/>
      <w:szCs w:val="22"/>
      <w:lang w:val="es-ES" w:eastAsia="zh-CN" w:bidi="ar-SA"/>
    </w:rPr>
  </w:style>
  <w:style w:type="character" w:styleId="WW8Num33z3" w:customStyle="1">
    <w:name w:val="WW8Num33z3"/>
    <w:qFormat/>
    <w:rPr>
      <w:lang w:val="es-ES"/>
    </w:rPr>
  </w:style>
  <w:style w:type="character" w:styleId="WW8Num33z4" w:customStyle="1">
    <w:name w:val="WW8Num33z4"/>
    <w:qFormat/>
    <w:rPr>
      <w:lang w:val="es-ES" w:eastAsia="hi-IN" w:bidi="hi-IN"/>
    </w:rPr>
  </w:style>
  <w:style w:type="character" w:styleId="WW8Num33z5" w:customStyle="1">
    <w:name w:val="WW8Num33z5"/>
    <w:qFormat/>
    <w:rPr/>
  </w:style>
  <w:style w:type="character" w:styleId="WW8Num33z6" w:customStyle="1">
    <w:name w:val="WW8Num33z6"/>
    <w:qFormat/>
    <w:rPr/>
  </w:style>
  <w:style w:type="character" w:styleId="WW8Num33z7" w:customStyle="1">
    <w:name w:val="WW8Num33z7"/>
    <w:qFormat/>
    <w:rPr/>
  </w:style>
  <w:style w:type="character" w:styleId="WW8Num33z8" w:customStyle="1">
    <w:name w:val="WW8Num33z8"/>
    <w:qFormat/>
    <w:rPr/>
  </w:style>
  <w:style w:type="character" w:styleId="WW8Num36z0" w:customStyle="1">
    <w:name w:val="WW8Num36z0"/>
    <w:qFormat/>
    <w:rPr>
      <w:rFonts w:ascii="Symbol" w:hAnsi="Symbol" w:cs="OpenSymbol"/>
    </w:rPr>
  </w:style>
  <w:style w:type="character" w:styleId="WW8Num36z1" w:customStyle="1">
    <w:name w:val="WW8Num36z1"/>
    <w:qFormat/>
    <w:rPr>
      <w:rFonts w:ascii="OpenSymbol" w:hAnsi="OpenSymbol" w:cs="OpenSymbol"/>
    </w:rPr>
  </w:style>
  <w:style w:type="character" w:styleId="WW8Num37z0" w:customStyle="1">
    <w:name w:val="WW8Num37z0"/>
    <w:qFormat/>
    <w:rPr>
      <w:rFonts w:ascii="Symbol" w:hAnsi="Symbol" w:eastAsia="Times New Roman" w:cs="OpenSymbol"/>
      <w:color w:val="000000"/>
      <w:sz w:val="22"/>
      <w:szCs w:val="22"/>
      <w:shd w:fill="FFFFFF" w:val="clear"/>
      <w:lang w:val="es-ES" w:eastAsia="zh-CN" w:bidi="ar-SA"/>
    </w:rPr>
  </w:style>
  <w:style w:type="character" w:styleId="WW8Num37z1" w:customStyle="1">
    <w:name w:val="WW8Num37z1"/>
    <w:qFormat/>
    <w:rPr>
      <w:rFonts w:ascii="OpenSymbol" w:hAnsi="OpenSymbol" w:cs="OpenSymbol"/>
    </w:rPr>
  </w:style>
  <w:style w:type="character" w:styleId="WW8Num38z0" w:customStyle="1">
    <w:name w:val="WW8Num38z0"/>
    <w:qFormat/>
    <w:rPr>
      <w:rFonts w:ascii="Symbol" w:hAnsi="Symbol" w:cs="OpenSymbol"/>
    </w:rPr>
  </w:style>
  <w:style w:type="character" w:styleId="WW8Num38z1" w:customStyle="1">
    <w:name w:val="WW8Num38z1"/>
    <w:qFormat/>
    <w:rPr>
      <w:rFonts w:ascii="OpenSymbol" w:hAnsi="OpenSymbol" w:cs="OpenSymbol"/>
    </w:rPr>
  </w:style>
  <w:style w:type="character" w:styleId="WW8Num39z0" w:customStyle="1">
    <w:name w:val="WW8Num39z0"/>
    <w:qFormat/>
    <w:rPr>
      <w:rFonts w:ascii="Symbol" w:hAnsi="Symbol" w:cs="OpenSymbol"/>
    </w:rPr>
  </w:style>
  <w:style w:type="character" w:styleId="WW8Num39z1" w:customStyle="1">
    <w:name w:val="WW8Num39z1"/>
    <w:qFormat/>
    <w:rPr>
      <w:rFonts w:ascii="OpenSymbol" w:hAnsi="OpenSymbol" w:cs="OpenSymbol"/>
    </w:rPr>
  </w:style>
  <w:style w:type="character" w:styleId="WW8Num35z2" w:customStyle="1">
    <w:name w:val="WW8Num35z2"/>
    <w:qFormat/>
    <w:rPr/>
  </w:style>
  <w:style w:type="character" w:styleId="WW8Num35z3" w:customStyle="1">
    <w:name w:val="WW8Num35z3"/>
    <w:qFormat/>
    <w:rPr/>
  </w:style>
  <w:style w:type="character" w:styleId="WW8Num35z4" w:customStyle="1">
    <w:name w:val="WW8Num35z4"/>
    <w:qFormat/>
    <w:rPr/>
  </w:style>
  <w:style w:type="character" w:styleId="WW8Num35z5" w:customStyle="1">
    <w:name w:val="WW8Num35z5"/>
    <w:qFormat/>
    <w:rPr/>
  </w:style>
  <w:style w:type="character" w:styleId="WW8Num35z6" w:customStyle="1">
    <w:name w:val="WW8Num35z6"/>
    <w:qFormat/>
    <w:rPr/>
  </w:style>
  <w:style w:type="character" w:styleId="WW8Num35z7" w:customStyle="1">
    <w:name w:val="WW8Num35z7"/>
    <w:qFormat/>
    <w:rPr/>
  </w:style>
  <w:style w:type="character" w:styleId="WW8Num35z8" w:customStyle="1">
    <w:name w:val="WW8Num35z8"/>
    <w:qFormat/>
    <w:rPr/>
  </w:style>
  <w:style w:type="character" w:styleId="WW8Num32z3" w:customStyle="1">
    <w:name w:val="WW8Num32z3"/>
    <w:qFormat/>
    <w:rPr>
      <w:rFonts w:ascii="Symbol" w:hAnsi="Symbol" w:cs="Symbol"/>
    </w:rPr>
  </w:style>
  <w:style w:type="character" w:styleId="WW8Num37z2" w:customStyle="1">
    <w:name w:val="WW8Num37z2"/>
    <w:qFormat/>
    <w:rPr>
      <w:rFonts w:ascii="Wingdings" w:hAnsi="Wingdings" w:cs="Wingdings"/>
    </w:rPr>
  </w:style>
  <w:style w:type="character" w:styleId="WW8Num37z6" w:customStyle="1">
    <w:name w:val="WW8Num37z6"/>
    <w:qFormat/>
    <w:rPr>
      <w:rFonts w:ascii="Symbol" w:hAnsi="Symbol" w:cs="Symbol"/>
    </w:rPr>
  </w:style>
  <w:style w:type="character" w:styleId="WW8Num38z2" w:customStyle="1">
    <w:name w:val="WW8Num38z2"/>
    <w:qFormat/>
    <w:rPr/>
  </w:style>
  <w:style w:type="character" w:styleId="WW8Num38z3" w:customStyle="1">
    <w:name w:val="WW8Num38z3"/>
    <w:qFormat/>
    <w:rPr/>
  </w:style>
  <w:style w:type="character" w:styleId="WW8Num38z4" w:customStyle="1">
    <w:name w:val="WW8Num38z4"/>
    <w:qFormat/>
    <w:rPr/>
  </w:style>
  <w:style w:type="character" w:styleId="WW8Num38z5" w:customStyle="1">
    <w:name w:val="WW8Num38z5"/>
    <w:qFormat/>
    <w:rPr/>
  </w:style>
  <w:style w:type="character" w:styleId="WW8Num38z6" w:customStyle="1">
    <w:name w:val="WW8Num38z6"/>
    <w:qFormat/>
    <w:rPr/>
  </w:style>
  <w:style w:type="character" w:styleId="WW8Num38z7" w:customStyle="1">
    <w:name w:val="WW8Num38z7"/>
    <w:qFormat/>
    <w:rPr/>
  </w:style>
  <w:style w:type="character" w:styleId="WW8Num38z8" w:customStyle="1">
    <w:name w:val="WW8Num38z8"/>
    <w:qFormat/>
    <w:rPr/>
  </w:style>
  <w:style w:type="character" w:styleId="WW8Num31z2" w:customStyle="1">
    <w:name w:val="WW8Num31z2"/>
    <w:qFormat/>
    <w:rPr>
      <w:rFonts w:ascii="Wingdings" w:hAnsi="Wingdings" w:cs="Wingdings"/>
    </w:rPr>
  </w:style>
  <w:style w:type="character" w:styleId="WW8Num31z3" w:customStyle="1">
    <w:name w:val="WW8Num31z3"/>
    <w:qFormat/>
    <w:rPr>
      <w:rFonts w:ascii="Symbol" w:hAnsi="Symbol" w:cs="Symbol"/>
    </w:rPr>
  </w:style>
  <w:style w:type="character" w:styleId="WW8Num36z2" w:customStyle="1">
    <w:name w:val="WW8Num36z2"/>
    <w:qFormat/>
    <w:rPr>
      <w:rFonts w:ascii="Wingdings" w:hAnsi="Wingdings" w:cs="Wingdings"/>
    </w:rPr>
  </w:style>
  <w:style w:type="character" w:styleId="WW8Num37z3" w:customStyle="1">
    <w:name w:val="WW8Num37z3"/>
    <w:qFormat/>
    <w:rPr/>
  </w:style>
  <w:style w:type="character" w:styleId="WW8Num37z4" w:customStyle="1">
    <w:name w:val="WW8Num37z4"/>
    <w:qFormat/>
    <w:rPr/>
  </w:style>
  <w:style w:type="character" w:styleId="WW8Num37z5" w:customStyle="1">
    <w:name w:val="WW8Num37z5"/>
    <w:qFormat/>
    <w:rPr/>
  </w:style>
  <w:style w:type="character" w:styleId="WW8Num37z7" w:customStyle="1">
    <w:name w:val="WW8Num37z7"/>
    <w:qFormat/>
    <w:rPr/>
  </w:style>
  <w:style w:type="character" w:styleId="WW8Num37z8" w:customStyle="1">
    <w:name w:val="WW8Num37z8"/>
    <w:qFormat/>
    <w:rPr/>
  </w:style>
  <w:style w:type="character" w:styleId="WW8Num39z2" w:customStyle="1">
    <w:name w:val="WW8Num39z2"/>
    <w:qFormat/>
    <w:rPr>
      <w:rFonts w:ascii="Wingdings" w:hAnsi="Wingdings" w:cs="Wingdings"/>
    </w:rPr>
  </w:style>
  <w:style w:type="character" w:styleId="WW8Num39z6" w:customStyle="1">
    <w:name w:val="WW8Num39z6"/>
    <w:qFormat/>
    <w:rPr>
      <w:rFonts w:ascii="Symbol" w:hAnsi="Symbol" w:cs="Symbol"/>
    </w:rPr>
  </w:style>
  <w:style w:type="character" w:styleId="WW8Num40z0" w:customStyle="1">
    <w:name w:val="WW8Num40z0"/>
    <w:qFormat/>
    <w:rPr/>
  </w:style>
  <w:style w:type="character" w:styleId="WW8Num40z1" w:customStyle="1">
    <w:name w:val="WW8Num40z1"/>
    <w:qFormat/>
    <w:rPr/>
  </w:style>
  <w:style w:type="character" w:styleId="WW8Num40z2" w:customStyle="1">
    <w:name w:val="WW8Num40z2"/>
    <w:qFormat/>
    <w:rPr/>
  </w:style>
  <w:style w:type="character" w:styleId="WW8Num40z3" w:customStyle="1">
    <w:name w:val="WW8Num40z3"/>
    <w:qFormat/>
    <w:rPr/>
  </w:style>
  <w:style w:type="character" w:styleId="WW8Num40z4" w:customStyle="1">
    <w:name w:val="WW8Num40z4"/>
    <w:qFormat/>
    <w:rPr/>
  </w:style>
  <w:style w:type="character" w:styleId="WW8Num40z5" w:customStyle="1">
    <w:name w:val="WW8Num40z5"/>
    <w:qFormat/>
    <w:rPr/>
  </w:style>
  <w:style w:type="character" w:styleId="WW8Num40z6" w:customStyle="1">
    <w:name w:val="WW8Num40z6"/>
    <w:qFormat/>
    <w:rPr/>
  </w:style>
  <w:style w:type="character" w:styleId="WW8Num40z7" w:customStyle="1">
    <w:name w:val="WW8Num40z7"/>
    <w:qFormat/>
    <w:rPr/>
  </w:style>
  <w:style w:type="character" w:styleId="WW8Num40z8" w:customStyle="1">
    <w:name w:val="WW8Num40z8"/>
    <w:qFormat/>
    <w:rPr/>
  </w:style>
  <w:style w:type="character" w:styleId="Fuentedeprrafopredeter1" w:customStyle="1">
    <w:name w:val="Fuente de párrafo predeter.1"/>
    <w:qFormat/>
    <w:rPr/>
  </w:style>
  <w:style w:type="character" w:styleId="WW8Num3z1" w:customStyle="1">
    <w:name w:val="WW8Num3z1"/>
    <w:qFormat/>
    <w:rPr>
      <w:rFonts w:ascii="Courier New" w:hAnsi="Courier New" w:cs="Courier New"/>
    </w:rPr>
  </w:style>
  <w:style w:type="character" w:styleId="WW8Num3z2" w:customStyle="1">
    <w:name w:val="WW8Num3z2"/>
    <w:qFormat/>
    <w:rPr>
      <w:rFonts w:ascii="Wingdings" w:hAnsi="Wingdings" w:cs="Wingdings"/>
    </w:rPr>
  </w:style>
  <w:style w:type="character" w:styleId="WW8Num4z1" w:customStyle="1">
    <w:name w:val="WW8Num4z1"/>
    <w:qFormat/>
    <w:rPr>
      <w:rFonts w:ascii="Courier New" w:hAnsi="Courier New" w:cs="Courier New"/>
    </w:rPr>
  </w:style>
  <w:style w:type="character" w:styleId="WW8Num4z2" w:customStyle="1">
    <w:name w:val="WW8Num4z2"/>
    <w:qFormat/>
    <w:rPr>
      <w:rFonts w:ascii="Wingdings" w:hAnsi="Wingdings" w:cs="Wingdings"/>
    </w:rPr>
  </w:style>
  <w:style w:type="character" w:styleId="WW8Num6z2" w:customStyle="1">
    <w:name w:val="WW8Num6z2"/>
    <w:qFormat/>
    <w:rPr>
      <w:rFonts w:ascii="Wingdings" w:hAnsi="Wingdings" w:cs="Wingdings"/>
    </w:rPr>
  </w:style>
  <w:style w:type="character" w:styleId="Fuentedeprrafopredeter3" w:customStyle="1">
    <w:name w:val="Fuente de párrafo predeter.3"/>
    <w:qFormat/>
    <w:rPr/>
  </w:style>
  <w:style w:type="character" w:styleId="Heading1Char" w:customStyle="1">
    <w:name w:val="Heading 1 Char"/>
    <w:qFormat/>
    <w:rPr>
      <w:rFonts w:ascii="Cambria" w:hAnsi="Cambria" w:eastAsia="MS Gothic" w:cs="Times New Roman"/>
      <w:b/>
      <w:color w:val="000000"/>
      <w:sz w:val="32"/>
      <w:szCs w:val="28"/>
      <w:lang w:val="es-ES"/>
    </w:rPr>
  </w:style>
  <w:style w:type="character" w:styleId="Heading2Char" w:customStyle="1">
    <w:name w:val="Heading 2 Char"/>
    <w:qFormat/>
    <w:rPr>
      <w:rFonts w:ascii="Cambria" w:hAnsi="Cambria" w:eastAsia="MS Gothic" w:cs="Times New Roman"/>
      <w:b/>
      <w:color w:val="000000"/>
      <w:sz w:val="28"/>
      <w:szCs w:val="26"/>
      <w:lang w:val="es-ES"/>
    </w:rPr>
  </w:style>
  <w:style w:type="character" w:styleId="Heading3Char" w:customStyle="1">
    <w:name w:val="Heading 3 Char"/>
    <w:qFormat/>
    <w:rPr>
      <w:rFonts w:ascii="Cambria" w:hAnsi="Cambria" w:eastAsia="MS Gothic" w:cs="Times New Roman"/>
      <w:b/>
      <w:color w:val="000000"/>
      <w:sz w:val="24"/>
      <w:szCs w:val="22"/>
      <w:lang w:val="es-ES"/>
    </w:rPr>
  </w:style>
  <w:style w:type="character" w:styleId="Heading4Char" w:customStyle="1">
    <w:name w:val="Heading 4 Char"/>
    <w:qFormat/>
    <w:rPr>
      <w:rFonts w:ascii="Cambria" w:hAnsi="Cambria" w:eastAsia="MS Gothic" w:cs="Times New Roman"/>
      <w:b/>
      <w:i/>
      <w:iCs/>
      <w:color w:val="000000"/>
      <w:sz w:val="22"/>
      <w:szCs w:val="22"/>
      <w:lang w:val="es-ES"/>
    </w:rPr>
  </w:style>
  <w:style w:type="character" w:styleId="Heading5Char" w:customStyle="1">
    <w:name w:val="Heading 5 Char"/>
    <w:qFormat/>
    <w:rPr>
      <w:rFonts w:ascii="Cambria" w:hAnsi="Cambria" w:eastAsia="MS Gothic" w:cs="Times New Roman"/>
      <w:bCs/>
      <w:color w:val="243F60"/>
      <w:sz w:val="22"/>
      <w:szCs w:val="22"/>
      <w:lang w:val="es-ES"/>
    </w:rPr>
  </w:style>
  <w:style w:type="character" w:styleId="Heading6Char" w:customStyle="1">
    <w:name w:val="Heading 6 Char"/>
    <w:qFormat/>
    <w:rPr>
      <w:rFonts w:ascii="Cambria" w:hAnsi="Cambria" w:eastAsia="MS Gothic" w:cs="Times New Roman"/>
      <w:bCs/>
      <w:i/>
      <w:iCs/>
      <w:color w:val="243F60"/>
      <w:sz w:val="22"/>
      <w:szCs w:val="22"/>
      <w:lang w:val="es-ES"/>
    </w:rPr>
  </w:style>
  <w:style w:type="character" w:styleId="Heading7Char" w:customStyle="1">
    <w:name w:val="Heading 7 Char"/>
    <w:qFormat/>
    <w:rPr>
      <w:rFonts w:ascii="Cambria" w:hAnsi="Cambria" w:eastAsia="MS Gothic" w:cs="Times New Roman"/>
      <w:bCs/>
      <w:i/>
      <w:iCs/>
      <w:color w:val="404040"/>
      <w:sz w:val="22"/>
      <w:szCs w:val="22"/>
      <w:lang w:val="es-ES"/>
    </w:rPr>
  </w:style>
  <w:style w:type="character" w:styleId="Heading8Char" w:customStyle="1">
    <w:name w:val="Heading 8 Char"/>
    <w:qFormat/>
    <w:rPr>
      <w:rFonts w:ascii="Cambria" w:hAnsi="Cambria" w:eastAsia="MS Gothic" w:cs="Times New Roman"/>
      <w:bCs/>
      <w:color w:val="404040"/>
      <w:sz w:val="22"/>
      <w:szCs w:val="22"/>
      <w:lang w:val="es-ES"/>
    </w:rPr>
  </w:style>
  <w:style w:type="character" w:styleId="Heading9Char" w:customStyle="1">
    <w:name w:val="Heading 9 Char"/>
    <w:qFormat/>
    <w:rPr>
      <w:rFonts w:ascii="Cambria" w:hAnsi="Cambria" w:eastAsia="MS Gothic" w:cs="Times New Roman"/>
      <w:bCs/>
      <w:i/>
      <w:iCs/>
      <w:color w:val="404040"/>
      <w:sz w:val="22"/>
      <w:szCs w:val="22"/>
      <w:lang w:val="es-ES"/>
    </w:rPr>
  </w:style>
  <w:style w:type="character" w:styleId="BodyTextChar" w:customStyle="1">
    <w:name w:val="Body Text Char"/>
    <w:qFormat/>
    <w:rPr>
      <w:rFonts w:ascii="Calibri" w:hAnsi="Calibri" w:eastAsia="Calibri" w:cs="Calibri"/>
      <w:sz w:val="22"/>
      <w:szCs w:val="22"/>
      <w:lang w:val="es-ES"/>
    </w:rPr>
  </w:style>
  <w:style w:type="character" w:styleId="TitleChar" w:customStyle="1">
    <w:name w:val="Title Char"/>
    <w:qFormat/>
    <w:rPr>
      <w:rFonts w:ascii="Cambria" w:hAnsi="Cambria" w:eastAsia="MS Gothic" w:cs="Times New Roman"/>
      <w:bCs/>
      <w:color w:val="000000"/>
      <w:spacing w:val="5"/>
      <w:sz w:val="52"/>
      <w:szCs w:val="52"/>
      <w:lang w:val="es-ES"/>
    </w:rPr>
  </w:style>
  <w:style w:type="character" w:styleId="InternetLink" w:customStyle="1">
    <w:name w:val="Internet Link"/>
    <w:rsid w:val="00790c3b"/>
    <w:rPr>
      <w:color w:val="000080"/>
      <w:u w:val="single"/>
    </w:rPr>
  </w:style>
  <w:style w:type="character" w:styleId="DocumentMapChar" w:customStyle="1">
    <w:name w:val="Document Map Char"/>
    <w:qFormat/>
    <w:rPr>
      <w:rFonts w:ascii="Tahoma" w:hAnsi="Tahoma" w:cs="Tahoma"/>
      <w:bCs/>
      <w:color w:val="000000"/>
      <w:sz w:val="16"/>
      <w:szCs w:val="16"/>
      <w:lang w:val="es-ES"/>
    </w:rPr>
  </w:style>
  <w:style w:type="character" w:styleId="Bullets" w:customStyle="1">
    <w:name w:val="Bullets"/>
    <w:qFormat/>
    <w:rPr>
      <w:rFonts w:ascii="OpenSymbol" w:hAnsi="OpenSymbol" w:eastAsia="OpenSymbol" w:cs="OpenSymbol"/>
    </w:rPr>
  </w:style>
  <w:style w:type="character" w:styleId="NumberingSymbols" w:customStyle="1">
    <w:name w:val="Numbering Symbols"/>
    <w:qFormat/>
    <w:rPr/>
  </w:style>
  <w:style w:type="character" w:styleId="Ttulo1Car" w:customStyle="1">
    <w:name w:val="Título 1 Car"/>
    <w:uiPriority w:val="9"/>
    <w:qFormat/>
    <w:rPr>
      <w:rFonts w:ascii="Cambria" w:hAnsi="Cambria" w:eastAsia="MS Gothic" w:cs="Cambria"/>
      <w:b/>
      <w:color w:val="000000"/>
      <w:sz w:val="32"/>
      <w:szCs w:val="28"/>
    </w:rPr>
  </w:style>
  <w:style w:type="character" w:styleId="Refdecomentario1" w:customStyle="1">
    <w:name w:val="Ref. de comentario1"/>
    <w:qFormat/>
    <w:rPr>
      <w:sz w:val="16"/>
      <w:szCs w:val="16"/>
    </w:rPr>
  </w:style>
  <w:style w:type="character" w:styleId="TextocomentarioCar" w:customStyle="1">
    <w:name w:val="Texto comentario Car"/>
    <w:qFormat/>
    <w:rPr>
      <w:rFonts w:ascii="Arial" w:hAnsi="Arial" w:cs="Arial"/>
      <w:bCs/>
      <w:color w:val="000000"/>
      <w:lang w:val="es-ES"/>
    </w:rPr>
  </w:style>
  <w:style w:type="character" w:styleId="AsuntodelcomentarioCar" w:customStyle="1">
    <w:name w:val="Asunto del comentario Car"/>
    <w:qFormat/>
    <w:rPr>
      <w:rFonts w:ascii="Arial" w:hAnsi="Arial" w:cs="Arial"/>
      <w:b/>
      <w:bCs/>
      <w:color w:val="000000"/>
      <w:lang w:val="es-ES"/>
    </w:rPr>
  </w:style>
  <w:style w:type="character" w:styleId="TextodegloboCar" w:customStyle="1">
    <w:name w:val="Texto de globo Car"/>
    <w:qFormat/>
    <w:rPr>
      <w:rFonts w:ascii="Tahoma" w:hAnsi="Tahoma" w:cs="Tahoma"/>
      <w:bCs/>
      <w:color w:val="000000"/>
      <w:sz w:val="16"/>
      <w:szCs w:val="16"/>
      <w:lang w:val="es-ES"/>
    </w:rPr>
  </w:style>
  <w:style w:type="character" w:styleId="TDoctNormalCharCharCharCharCharCharCharCharCharCharCharCharCharCharChar" w:customStyle="1">
    <w:name w:val="TDoctNormal Char Char Char Char Char Char Char Char Char Char Char Char Char Char Char"/>
    <w:qFormat/>
    <w:rPr>
      <w:rFonts w:ascii="Arial" w:hAnsi="Arial" w:eastAsia="SimSun" w:cs="Arial"/>
      <w:sz w:val="22"/>
      <w:szCs w:val="22"/>
      <w:lang w:val="es-ES"/>
    </w:rPr>
  </w:style>
  <w:style w:type="character" w:styleId="Vietas" w:customStyle="1">
    <w:name w:val="Viñetas"/>
    <w:qFormat/>
    <w:rPr>
      <w:rFonts w:ascii="OpenSymbol" w:hAnsi="OpenSymbol" w:eastAsia="OpenSymbol" w:cs="OpenSymbol"/>
    </w:rPr>
  </w:style>
  <w:style w:type="character" w:styleId="Smbolosdenumeracin" w:customStyle="1">
    <w:name w:val="Símbolos de numeración"/>
    <w:qFormat/>
    <w:rPr/>
  </w:style>
  <w:style w:type="character" w:styleId="Enlacedelndice" w:customStyle="1">
    <w:name w:val="Enlace del índice"/>
    <w:qFormat/>
    <w:rPr/>
  </w:style>
  <w:style w:type="character" w:styleId="IndexLink" w:customStyle="1">
    <w:name w:val="Index Link"/>
    <w:qFormat/>
    <w:rPr/>
  </w:style>
  <w:style w:type="character" w:styleId="FootnoteCharacters" w:customStyle="1">
    <w:name w:val="Footnote Characters"/>
    <w:qFormat/>
    <w:rPr>
      <w:vertAlign w:val="superscript"/>
    </w:rPr>
  </w:style>
  <w:style w:type="character" w:styleId="Caracteresdenotaalpie" w:customStyle="1">
    <w:name w:val="Caracteres de nota al pie"/>
    <w:qFormat/>
    <w:rPr>
      <w:vertAlign w:val="superscript"/>
    </w:rPr>
  </w:style>
  <w:style w:type="character" w:styleId="EndnoteCharacters" w:customStyle="1">
    <w:name w:val="Endnote Characters"/>
    <w:qFormat/>
    <w:rPr>
      <w:vertAlign w:val="superscript"/>
    </w:rPr>
  </w:style>
  <w:style w:type="character" w:styleId="WWEndnoteCharacters" w:customStyle="1">
    <w:name w:val="WW-Endnote Characters"/>
    <w:qFormat/>
    <w:rPr/>
  </w:style>
  <w:style w:type="character" w:styleId="Caracteresdenotafinal" w:customStyle="1">
    <w:name w:val="Caracteres de nota final"/>
    <w:qFormat/>
    <w:rPr>
      <w:vertAlign w:val="superscript"/>
    </w:rPr>
  </w:style>
  <w:style w:type="character" w:styleId="Ancladenotaalpie" w:customStyle="1">
    <w:name w:val="Ancla de nota al pie"/>
    <w:qFormat/>
    <w:rPr>
      <w:vertAlign w:val="superscript"/>
    </w:rPr>
  </w:style>
  <w:style w:type="character" w:styleId="Ancladenotafinal" w:customStyle="1">
    <w:name w:val="Ancla de nota final"/>
    <w:qFormat/>
    <w:rPr>
      <w:vertAlign w:val="superscript"/>
    </w:rPr>
  </w:style>
  <w:style w:type="character" w:styleId="Footnotereference">
    <w:name w:val="footnote reference"/>
    <w:uiPriority w:val="99"/>
    <w:qFormat/>
    <w:rPr>
      <w:vertAlign w:val="superscript"/>
    </w:rPr>
  </w:style>
  <w:style w:type="character" w:styleId="Endnotereference">
    <w:name w:val="endnote reference"/>
    <w:qFormat/>
    <w:rPr>
      <w:vertAlign w:val="superscript"/>
    </w:rPr>
  </w:style>
  <w:style w:type="character" w:styleId="Annotationreference">
    <w:name w:val="annotation reference"/>
    <w:uiPriority w:val="99"/>
    <w:semiHidden/>
    <w:unhideWhenUsed/>
    <w:qFormat/>
    <w:rsid w:val="000543a1"/>
    <w:rPr>
      <w:sz w:val="16"/>
      <w:szCs w:val="16"/>
    </w:rPr>
  </w:style>
  <w:style w:type="character" w:styleId="TextocomentarioCar1" w:customStyle="1">
    <w:name w:val="Texto comentario Car1"/>
    <w:link w:val="Textocomentario"/>
    <w:uiPriority w:val="99"/>
    <w:semiHidden/>
    <w:qFormat/>
    <w:rsid w:val="000543a1"/>
    <w:rPr>
      <w:rFonts w:ascii="Arial" w:hAnsi="Arial" w:cs="Arial"/>
      <w:bCs/>
      <w:color w:val="000000"/>
      <w:lang w:eastAsia="zh-CN"/>
    </w:rPr>
  </w:style>
  <w:style w:type="character" w:styleId="AsuntodelcomentarioCar1" w:customStyle="1">
    <w:name w:val="Asunto del comentario Car1"/>
    <w:link w:val="Asuntodelcomentario"/>
    <w:uiPriority w:val="99"/>
    <w:semiHidden/>
    <w:qFormat/>
    <w:rsid w:val="000543a1"/>
    <w:rPr>
      <w:rFonts w:ascii="Arial" w:hAnsi="Arial" w:cs="Arial"/>
      <w:b/>
      <w:bCs/>
      <w:color w:val="000000"/>
      <w:lang w:eastAsia="zh-CN"/>
    </w:rPr>
  </w:style>
  <w:style w:type="character" w:styleId="TextodegloboCar1" w:customStyle="1">
    <w:name w:val="Texto de globo Car1"/>
    <w:link w:val="Textodeglobo"/>
    <w:uiPriority w:val="99"/>
    <w:semiHidden/>
    <w:qFormat/>
    <w:rsid w:val="000543a1"/>
    <w:rPr>
      <w:rFonts w:ascii="Tahoma" w:hAnsi="Tahoma" w:cs="Tahoma"/>
      <w:bCs/>
      <w:color w:val="000000"/>
      <w:sz w:val="16"/>
      <w:szCs w:val="16"/>
      <w:lang w:eastAsia="zh-CN"/>
    </w:rPr>
  </w:style>
  <w:style w:type="character" w:styleId="TDNormalChar" w:customStyle="1">
    <w:name w:val="TDNormal Char"/>
    <w:link w:val="TDNormal"/>
    <w:qFormat/>
    <w:rsid w:val="00f708d5"/>
    <w:rPr>
      <w:rFonts w:ascii="Arial" w:hAnsi="Arial" w:cs="Arial"/>
      <w:bCs/>
      <w:color w:val="000000"/>
      <w:sz w:val="22"/>
      <w:szCs w:val="22"/>
      <w:lang w:eastAsia="zh-CN"/>
    </w:rPr>
  </w:style>
  <w:style w:type="character" w:styleId="NormalAlgorithmChar" w:customStyle="1">
    <w:name w:val="Normal_Algorithm Char"/>
    <w:link w:val="NormalAlgorithm"/>
    <w:qFormat/>
    <w:rsid w:val="009b045f"/>
    <w:rPr>
      <w:rFonts w:ascii="Arial" w:hAnsi="Arial" w:cs="Arial"/>
      <w:bCs/>
      <w:i/>
      <w:iCs/>
      <w:color w:val="000000"/>
      <w:sz w:val="24"/>
      <w:szCs w:val="18"/>
      <w:lang w:val="es-ES" w:eastAsia="zh-CN"/>
    </w:rPr>
  </w:style>
  <w:style w:type="character" w:styleId="EncabezadoCar" w:customStyle="1">
    <w:name w:val="Encabezado Car"/>
    <w:link w:val="Encabezado"/>
    <w:uiPriority w:val="99"/>
    <w:qFormat/>
    <w:rsid w:val="004c7ff1"/>
    <w:rPr>
      <w:rFonts w:ascii="Arial" w:hAnsi="Arial" w:cs="Arial"/>
      <w:bCs/>
      <w:color w:val="000000"/>
      <w:sz w:val="22"/>
      <w:szCs w:val="22"/>
      <w:lang w:eastAsia="zh-CN"/>
    </w:rPr>
  </w:style>
  <w:style w:type="character" w:styleId="PiedepginaCar" w:customStyle="1">
    <w:name w:val="Pie de página Car"/>
    <w:link w:val="Piedepgina"/>
    <w:uiPriority w:val="99"/>
    <w:qFormat/>
    <w:rsid w:val="004c7ff1"/>
    <w:rPr>
      <w:rFonts w:ascii="Arial" w:hAnsi="Arial" w:cs="Arial"/>
      <w:bCs/>
      <w:color w:val="000000"/>
      <w:sz w:val="22"/>
      <w:szCs w:val="22"/>
      <w:lang w:eastAsia="zh-CN"/>
    </w:rPr>
  </w:style>
  <w:style w:type="character" w:styleId="PrrafodelistaCar" w:customStyle="1">
    <w:name w:val="Párrafo de lista Car"/>
    <w:link w:val="Prrafodelista"/>
    <w:uiPriority w:val="99"/>
    <w:qFormat/>
    <w:locked/>
    <w:rsid w:val="004c7ff1"/>
    <w:rPr>
      <w:rFonts w:ascii="Arial" w:hAnsi="Arial" w:cs="Arial"/>
      <w:bCs/>
      <w:color w:val="000000"/>
      <w:sz w:val="22"/>
      <w:szCs w:val="22"/>
      <w:lang w:eastAsia="zh-CN"/>
    </w:rPr>
  </w:style>
  <w:style w:type="character" w:styleId="Pagenumber">
    <w:name w:val="page number"/>
    <w:basedOn w:val="DefaultParagraphFont"/>
    <w:qFormat/>
    <w:rsid w:val="004c7ff1"/>
    <w:rPr/>
  </w:style>
  <w:style w:type="character" w:styleId="FootnoteTextChar" w:customStyle="1">
    <w:name w:val="Footnote Text Char"/>
    <w:link w:val="Textonotapie"/>
    <w:uiPriority w:val="99"/>
    <w:qFormat/>
    <w:rsid w:val="004c7ff1"/>
    <w:rPr>
      <w:rFonts w:ascii="Arial" w:hAnsi="Arial" w:cs="Arial"/>
      <w:bCs/>
      <w:color w:val="000000"/>
      <w:lang w:eastAsia="zh-CN"/>
    </w:rPr>
  </w:style>
  <w:style w:type="character" w:styleId="NorFurniber1Car" w:customStyle="1">
    <w:name w:val="Nor_Furniber1 Car"/>
    <w:link w:val="NorFurniber1"/>
    <w:qFormat/>
    <w:rsid w:val="00172bc5"/>
    <w:rPr>
      <w:rFonts w:ascii="Arial" w:hAnsi="Arial" w:cs="Arial"/>
      <w:color w:val="000000"/>
      <w:sz w:val="28"/>
      <w:szCs w:val="22"/>
      <w:lang w:eastAsia="ar-SA"/>
    </w:rPr>
  </w:style>
  <w:style w:type="character" w:styleId="TablaFurniberCar" w:customStyle="1">
    <w:name w:val="Tabla_Furniber Car"/>
    <w:link w:val="TablaFurniber"/>
    <w:qFormat/>
    <w:rsid w:val="001a5f05"/>
    <w:rPr>
      <w:rFonts w:ascii="Tahoma" w:hAnsi="Tahoma" w:eastAsia="Calibri"/>
      <w:sz w:val="18"/>
      <w:szCs w:val="24"/>
      <w:lang w:eastAsia="en-US"/>
    </w:rPr>
  </w:style>
  <w:style w:type="character" w:styleId="TextoindependienteCar" w:customStyle="1">
    <w:name w:val="Texto independiente Car"/>
    <w:link w:val="Textoindependiente"/>
    <w:qFormat/>
    <w:rsid w:val="002d0e39"/>
    <w:rPr>
      <w:rFonts w:ascii="Calibri" w:hAnsi="Calibri" w:eastAsia="Calibri" w:cs="Calibri"/>
      <w:color w:val="000000"/>
      <w:sz w:val="22"/>
      <w:szCs w:val="22"/>
      <w:lang w:val="es-ES" w:eastAsia="zh-CN"/>
    </w:rPr>
  </w:style>
  <w:style w:type="character" w:styleId="BibliografiaCar" w:customStyle="1">
    <w:name w:val="Bibliografia Car"/>
    <w:link w:val="Bibliografia"/>
    <w:qFormat/>
    <w:rsid w:val="00202f9b"/>
    <w:rPr>
      <w:rFonts w:ascii="Arial" w:hAnsi="Arial" w:eastAsia="MS Gothic" w:cs="Arial"/>
      <w:bCs/>
      <w:i/>
      <w:color w:val="000000"/>
      <w:sz w:val="24"/>
      <w:szCs w:val="22"/>
      <w:lang w:eastAsia="zh-CN"/>
    </w:rPr>
  </w:style>
  <w:style w:type="character" w:styleId="CitaCar" w:customStyle="1">
    <w:name w:val="Cita Car"/>
    <w:link w:val="Cita"/>
    <w:uiPriority w:val="29"/>
    <w:qFormat/>
    <w:rsid w:val="00104cb4"/>
    <w:rPr>
      <w:rFonts w:ascii="Arial" w:hAnsi="Arial" w:cs="Arial"/>
      <w:bCs/>
      <w:i/>
      <w:iCs/>
      <w:color w:val="404040"/>
      <w:sz w:val="22"/>
      <w:szCs w:val="22"/>
      <w:lang w:eastAsia="zh-CN"/>
    </w:rPr>
  </w:style>
  <w:style w:type="character" w:styleId="TablaFiguraCar" w:customStyle="1">
    <w:name w:val="Tabla-Figura Car"/>
    <w:qFormat/>
    <w:rsid w:val="00f04782"/>
    <w:rPr>
      <w:rFonts w:ascii="Arial" w:hAnsi="Arial" w:eastAsia="MS Gothic" w:cs="Arial"/>
      <w:bCs/>
      <w:color w:val="000000"/>
      <w:szCs w:val="22"/>
      <w:lang w:val="es-ES" w:eastAsia="zh-CN"/>
    </w:rPr>
  </w:style>
  <w:style w:type="character" w:styleId="SinespaciadoCar" w:customStyle="1">
    <w:name w:val="Sin espaciado Car"/>
    <w:link w:val="Sinespaciado"/>
    <w:uiPriority w:val="1"/>
    <w:qFormat/>
    <w:rsid w:val="00d171cd"/>
    <w:rPr>
      <w:rFonts w:ascii="Calibri" w:hAnsi="Calibri" w:eastAsia="Calibri"/>
      <w:sz w:val="22"/>
      <w:szCs w:val="22"/>
      <w:lang w:val="es-CO" w:eastAsia="en-US"/>
    </w:rPr>
  </w:style>
  <w:style w:type="character" w:styleId="Strong">
    <w:name w:val="Strong"/>
    <w:uiPriority w:val="22"/>
    <w:qFormat/>
    <w:rsid w:val="00592108"/>
    <w:rPr>
      <w:b/>
      <w:bCs/>
    </w:rPr>
  </w:style>
  <w:style w:type="character" w:styleId="NormalTablaCar" w:customStyle="1">
    <w:name w:val="Normal_Tabla Car"/>
    <w:link w:val="NormalTabla"/>
    <w:qFormat/>
    <w:rsid w:val="0028774e"/>
    <w:rPr>
      <w:rFonts w:ascii="Arial" w:hAnsi="Arial" w:cs="Arial"/>
      <w:bCs/>
      <w:color w:val="000000"/>
      <w:lang w:val="es-ES" w:eastAsia="zh-CN"/>
    </w:rPr>
  </w:style>
  <w:style w:type="character" w:styleId="WW8Num81z0" w:customStyle="1">
    <w:name w:val="WW8Num81z0"/>
    <w:qFormat/>
    <w:rsid w:val="006a7429"/>
    <w:rPr>
      <w:rFonts w:ascii="Symbol" w:hAnsi="Symbol" w:cs="Symbol"/>
    </w:rPr>
  </w:style>
  <w:style w:type="character" w:styleId="WW8Num81z1" w:customStyle="1">
    <w:name w:val="WW8Num81z1"/>
    <w:qFormat/>
    <w:rsid w:val="006a7429"/>
    <w:rPr>
      <w:rFonts w:ascii="Courier New" w:hAnsi="Courier New" w:cs="Courier New"/>
    </w:rPr>
  </w:style>
  <w:style w:type="character" w:styleId="WW8Num81z2" w:customStyle="1">
    <w:name w:val="WW8Num81z2"/>
    <w:qFormat/>
    <w:rsid w:val="006a7429"/>
    <w:rPr>
      <w:rFonts w:ascii="Wingdings" w:hAnsi="Wingdings" w:cs="Wingdings"/>
    </w:rPr>
  </w:style>
  <w:style w:type="character" w:styleId="Mwheadline" w:customStyle="1">
    <w:name w:val="mw-headline"/>
    <w:qFormat/>
    <w:rsid w:val="007c69a6"/>
    <w:rPr/>
  </w:style>
  <w:style w:type="character" w:styleId="St" w:customStyle="1">
    <w:name w:val="st"/>
    <w:qFormat/>
    <w:rsid w:val="00e943ef"/>
    <w:rPr/>
  </w:style>
  <w:style w:type="character" w:styleId="Emphasis">
    <w:name w:val="Emphasis"/>
    <w:uiPriority w:val="20"/>
    <w:qFormat/>
    <w:rsid w:val="00cd7d27"/>
    <w:rPr>
      <w:i/>
      <w:iCs/>
    </w:rPr>
  </w:style>
  <w:style w:type="character" w:styleId="Style37" w:customStyle="1">
    <w:name w:val="style37"/>
    <w:qFormat/>
    <w:rsid w:val="004e78a7"/>
    <w:rPr/>
  </w:style>
  <w:style w:type="character" w:styleId="HTMLCite">
    <w:name w:val="HTML Cite"/>
    <w:uiPriority w:val="99"/>
    <w:semiHidden/>
    <w:unhideWhenUsed/>
    <w:qFormat/>
    <w:rsid w:val="000650bb"/>
    <w:rPr>
      <w:i/>
      <w:iCs/>
    </w:rPr>
  </w:style>
  <w:style w:type="character" w:styleId="Citation" w:customStyle="1">
    <w:name w:val="citation"/>
    <w:qFormat/>
    <w:rsid w:val="00650f2d"/>
    <w:rPr/>
  </w:style>
  <w:style w:type="character" w:styleId="Sizem" w:customStyle="1">
    <w:name w:val="size-m"/>
    <w:qFormat/>
    <w:rsid w:val="004d567c"/>
    <w:rPr/>
  </w:style>
  <w:style w:type="character" w:styleId="Referencetext" w:customStyle="1">
    <w:name w:val="reference-text"/>
    <w:qFormat/>
    <w:rsid w:val="00d83e36"/>
    <w:rPr/>
  </w:style>
  <w:style w:type="character" w:styleId="TextonotaalfinalCar" w:customStyle="1">
    <w:name w:val="Texto nota al final Car"/>
    <w:link w:val="Textonotaalfinal"/>
    <w:uiPriority w:val="99"/>
    <w:semiHidden/>
    <w:qFormat/>
    <w:rsid w:val="00ff7293"/>
    <w:rPr>
      <w:rFonts w:ascii="Arial" w:hAnsi="Arial" w:cs="Arial"/>
      <w:bCs/>
      <w:color w:val="000000"/>
      <w:lang w:eastAsia="zh-CN"/>
    </w:rPr>
  </w:style>
  <w:style w:type="character" w:styleId="NormalPieCar" w:customStyle="1">
    <w:name w:val="Normal_Pie Car"/>
    <w:link w:val="NormalPie"/>
    <w:qFormat/>
    <w:rsid w:val="005732dd"/>
    <w:rPr>
      <w:rFonts w:ascii="Calibri" w:hAnsi="Calibri" w:cs="Arial"/>
      <w:bCs/>
      <w:color w:val="000000"/>
      <w:sz w:val="18"/>
      <w:lang w:eastAsia="zh-CN"/>
    </w:rPr>
  </w:style>
  <w:style w:type="character" w:styleId="TextomgpiCar" w:customStyle="1">
    <w:name w:val="texto mgpi Car"/>
    <w:qFormat/>
    <w:rsid w:val="00813c49"/>
    <w:rPr>
      <w:rFonts w:ascii="Calibri" w:hAnsi="Calibri" w:eastAsia="Calibri"/>
      <w:bCs/>
      <w:iCs/>
      <w:sz w:val="22"/>
      <w:szCs w:val="22"/>
      <w:lang w:eastAsia="ar-SA"/>
    </w:rPr>
  </w:style>
  <w:style w:type="character" w:styleId="HTMLAcronym">
    <w:name w:val="HTML Acronym"/>
    <w:uiPriority w:val="99"/>
    <w:semiHidden/>
    <w:unhideWhenUsed/>
    <w:qFormat/>
    <w:rsid w:val="00c701e0"/>
    <w:rPr/>
  </w:style>
  <w:style w:type="character" w:styleId="HTMLconformatoprevioCar" w:customStyle="1">
    <w:name w:val="HTML con formato previo Car"/>
    <w:link w:val="HTMLconformatoprevio"/>
    <w:uiPriority w:val="99"/>
    <w:qFormat/>
    <w:rsid w:val="00747347"/>
    <w:rPr>
      <w:rFonts w:ascii="Courier New" w:hAnsi="Courier New" w:cs="Courier New"/>
    </w:rPr>
  </w:style>
  <w:style w:type="character" w:styleId="Bibliographicinformationtitle" w:customStyle="1">
    <w:name w:val="bibliographic-information__title"/>
    <w:qFormat/>
    <w:rsid w:val="00701c91"/>
    <w:rPr/>
  </w:style>
  <w:style w:type="character" w:styleId="Bibliographicinformationvalue" w:customStyle="1">
    <w:name w:val="bibliographic-information__value"/>
    <w:qFormat/>
    <w:rsid w:val="00701c91"/>
    <w:rPr/>
  </w:style>
  <w:style w:type="character" w:styleId="Printisbn" w:customStyle="1">
    <w:name w:val="printisbn"/>
    <w:qFormat/>
    <w:rsid w:val="00cf159f"/>
    <w:rPr/>
  </w:style>
  <w:style w:type="character" w:styleId="Doi" w:customStyle="1">
    <w:name w:val="doi"/>
    <w:qFormat/>
    <w:rsid w:val="00cf159f"/>
    <w:rPr/>
  </w:style>
  <w:style w:type="character" w:styleId="Ttulo5Car" w:customStyle="1">
    <w:name w:val="Título 5 Car"/>
    <w:link w:val="Ttulo5"/>
    <w:uiPriority w:val="9"/>
    <w:qFormat/>
    <w:rsid w:val="006a53cc"/>
    <w:rPr>
      <w:rFonts w:ascii="Arial" w:hAnsi="Arial" w:eastAsia="MS Gothic"/>
      <w:bCs/>
      <w:color w:val="000000"/>
      <w:sz w:val="22"/>
      <w:szCs w:val="22"/>
      <w:u w:val="single"/>
      <w:lang w:val="es-ES" w:eastAsia="zh-CN"/>
    </w:rPr>
  </w:style>
  <w:style w:type="character" w:styleId="NormalAnexTablaCar" w:customStyle="1">
    <w:name w:val="Normal_Anex_Tabla Car"/>
    <w:link w:val="NormalAnexTabla"/>
    <w:qFormat/>
    <w:rsid w:val="003201be"/>
    <w:rPr>
      <w:rFonts w:ascii="Arial" w:hAnsi="Arial" w:cs="Ubuntu Mono"/>
      <w:bCs/>
      <w:color w:val="000000"/>
      <w:lang w:eastAsia="zh-CN"/>
    </w:rPr>
  </w:style>
  <w:style w:type="character" w:styleId="PlaceholderText">
    <w:name w:val="Placeholder Text"/>
    <w:uiPriority w:val="99"/>
    <w:semiHidden/>
    <w:qFormat/>
    <w:rsid w:val="001c6f54"/>
    <w:rPr>
      <w:color w:val="808080"/>
    </w:rPr>
  </w:style>
  <w:style w:type="character" w:styleId="TDoctNormalCharCharCharCharCharCharCharCharCharCharCharCharCharCharCharCharCharCharCharCharCharCharCharCharCharChar" w:customStyle="1">
    <w:name w:val="TDoctNormal Char Char Char Char Char Char Char Char Char Char Char Char Char Char Char Char Char Char Char Char Char Char Char Char Char Char"/>
    <w:link w:val="TDoctNormalCharCharCharCharCharCharCharCharCharCharCharCharCharCharCharCharCharCharCharCharCharCharCharCharChar"/>
    <w:qFormat/>
    <w:rsid w:val="00a4182a"/>
    <w:rPr>
      <w:rFonts w:ascii="Arial" w:hAnsi="Arial" w:eastAsia="SimSun"/>
      <w:sz w:val="22"/>
      <w:lang w:eastAsia="en-US"/>
    </w:rPr>
  </w:style>
  <w:style w:type="character" w:styleId="TDoctNormalStyleCharCharCharChar" w:customStyle="1">
    <w:name w:val="TDoctNormal Style Char Char Char Char"/>
    <w:link w:val="TDoctNormalStyleCharCharChar"/>
    <w:qFormat/>
    <w:rsid w:val="00a4182a"/>
    <w:rPr>
      <w:rFonts w:ascii="Arial" w:hAnsi="Arial" w:cs="Arial"/>
      <w:iCs/>
      <w:sz w:val="22"/>
      <w:lang w:val="en-US"/>
    </w:rPr>
  </w:style>
  <w:style w:type="character" w:styleId="StyleHeading4TimesNewRoman11ptChar" w:customStyle="1">
    <w:name w:val="Style Heading 4 + Times New Roman 11 pt Char"/>
    <w:link w:val="StyleHeading4TimesNewRoman11pt"/>
    <w:qFormat/>
    <w:rsid w:val="00a4182a"/>
    <w:rPr>
      <w:rFonts w:eastAsia="SimSun"/>
      <w:bCs/>
      <w:sz w:val="22"/>
      <w:lang w:val="es-ES"/>
    </w:rPr>
  </w:style>
  <w:style w:type="character" w:styleId="StyleStyleHeading4CharLatinArial10ptBoldNotItalic" w:customStyle="1">
    <w:name w:val="Style Style Heading 4 Char + (Latin) Arial 10 pt Bold Not Italic +"/>
    <w:qFormat/>
    <w:rsid w:val="00a4182a"/>
    <w:rPr>
      <w:rFonts w:ascii="Times New Roman" w:hAnsi="Times New Roman" w:eastAsia="SimSun" w:cs="Arial"/>
      <w:b w:val="false"/>
      <w:bCs/>
      <w:sz w:val="22"/>
      <w:szCs w:val="22"/>
      <w:lang w:val="es-ES" w:eastAsia="en-US" w:bidi="ar-SA"/>
    </w:rPr>
  </w:style>
  <w:style w:type="character" w:styleId="Bold" w:customStyle="1">
    <w:name w:val="bold"/>
    <w:basedOn w:val="DefaultParagraphFont"/>
    <w:qFormat/>
    <w:rsid w:val="00b3282b"/>
    <w:rPr/>
  </w:style>
  <w:style w:type="character" w:styleId="Ttulo2Car" w:customStyle="1">
    <w:name w:val="Título 2 Car"/>
    <w:link w:val="Ttulo2"/>
    <w:qFormat/>
    <w:rsid w:val="00927281"/>
    <w:rPr>
      <w:rFonts w:ascii="Arial" w:hAnsi="Arial" w:eastAsia="MS Gothic"/>
      <w:b/>
      <w:color w:val="000000"/>
      <w:sz w:val="22"/>
      <w:szCs w:val="22"/>
      <w:lang w:val="es-ES" w:eastAsia="zh-CN"/>
    </w:rPr>
  </w:style>
  <w:style w:type="character" w:styleId="TDoctNormalCharCharCharCharCharCharCharCharCharCharCharChar" w:customStyle="1">
    <w:name w:val="TDoctNormal Char Char Char Char Char Char Char Char Char Char Char Char"/>
    <w:link w:val="TDoctNormalCharCharCharCharCharCharCharCharCharCharChar"/>
    <w:qFormat/>
    <w:rsid w:val="00935305"/>
    <w:rPr>
      <w:rFonts w:ascii="Arial" w:hAnsi="Arial" w:eastAsia="SimSun"/>
      <w:sz w:val="22"/>
      <w:szCs w:val="22"/>
      <w:lang w:val="es-ES"/>
    </w:rPr>
  </w:style>
  <w:style w:type="character" w:styleId="Ttulo4Car" w:customStyle="1">
    <w:name w:val="Título 4 Car"/>
    <w:link w:val="Ttulo4"/>
    <w:qFormat/>
    <w:rsid w:val="00943ef1"/>
    <w:rPr>
      <w:rFonts w:ascii="Arial" w:hAnsi="Arial" w:eastAsia="MS Gothic"/>
      <w:i/>
      <w:iCs/>
      <w:color w:val="000000"/>
      <w:sz w:val="22"/>
      <w:szCs w:val="22"/>
      <w:lang w:val="es-ES" w:eastAsia="zh-CN"/>
    </w:rPr>
  </w:style>
  <w:style w:type="character" w:styleId="NormalAlgoritthm2Car" w:customStyle="1">
    <w:name w:val="Normal_Algoritthm2 Car"/>
    <w:link w:val="NormalAlgoritthm2"/>
    <w:qFormat/>
    <w:rsid w:val="00d11a39"/>
    <w:rPr>
      <w:rFonts w:ascii="Arial" w:hAnsi="Arial" w:cs="Arial"/>
      <w:bCs/>
      <w:iCs/>
      <w:color w:val="000000"/>
      <w:lang w:val="es-ES" w:eastAsia="zh-CN"/>
    </w:rPr>
  </w:style>
  <w:style w:type="character" w:styleId="Papertext" w:customStyle="1">
    <w:name w:val="Paper text Знак"/>
    <w:link w:val="Papertext"/>
    <w:qFormat/>
    <w:rsid w:val="00720b57"/>
    <w:rPr>
      <w:rFonts w:eastAsia="Arial Unicode MS" w:cs="Arial"/>
      <w:bCs/>
      <w:lang w:val="en-GB" w:eastAsia="ja-JP"/>
    </w:rPr>
  </w:style>
  <w:style w:type="character" w:styleId="11InlineHeading" w:customStyle="1">
    <w:name w:val="11_Inline_Heading"/>
    <w:qFormat/>
    <w:rsid w:val="009e7d64"/>
    <w:rPr>
      <w:rFonts w:ascii="Arial" w:hAnsi="Arial"/>
      <w:b/>
      <w:lang w:val="en-GB"/>
    </w:rPr>
  </w:style>
  <w:style w:type="character" w:styleId="Sectiontitle" w:customStyle="1">
    <w:name w:val="Section title Знак"/>
    <w:link w:val="Sectiontitle"/>
    <w:qFormat/>
    <w:rsid w:val="009e7d64"/>
    <w:rPr>
      <w:rFonts w:eastAsia="Arial Unicode MS" w:cs="Arial"/>
      <w:bCs/>
      <w:lang w:val="en-GB" w:eastAsia="ja-JP"/>
    </w:rPr>
  </w:style>
  <w:style w:type="character" w:styleId="Normal1Car" w:customStyle="1">
    <w:name w:val="Normal1 Car"/>
    <w:basedOn w:val="DefaultParagraphFont"/>
    <w:link w:val="Normal1"/>
    <w:qFormat/>
    <w:rsid w:val="006d3cc7"/>
    <w:rPr>
      <w:lang w:val="es-ES" w:eastAsia="es-ES"/>
    </w:rPr>
  </w:style>
  <w:style w:type="character" w:styleId="Ttulo3Car" w:customStyle="1">
    <w:name w:val="Título 3 Car"/>
    <w:basedOn w:val="DefaultParagraphFont"/>
    <w:link w:val="Ttulo3"/>
    <w:qFormat/>
    <w:rsid w:val="00f441b6"/>
    <w:rPr>
      <w:rFonts w:ascii="Arial" w:hAnsi="Arial" w:eastAsia="MS Gothic"/>
      <w:i/>
      <w:color w:val="000000"/>
      <w:sz w:val="22"/>
      <w:szCs w:val="24"/>
      <w:lang w:val="en-US" w:eastAsia="zh-CN"/>
    </w:rPr>
  </w:style>
  <w:style w:type="character" w:styleId="Ttulo6Car" w:customStyle="1">
    <w:name w:val="Título 6 Car"/>
    <w:basedOn w:val="DefaultParagraphFont"/>
    <w:link w:val="Ttulo6"/>
    <w:qFormat/>
    <w:rsid w:val="00e82a89"/>
    <w:rPr>
      <w:rFonts w:ascii="Cambria" w:hAnsi="Cambria" w:eastAsia="MS Gothic"/>
      <w:bCs/>
      <w:i/>
      <w:iCs/>
      <w:sz w:val="22"/>
      <w:szCs w:val="22"/>
      <w:lang w:val="es-ES" w:eastAsia="zh-CN"/>
    </w:rPr>
  </w:style>
  <w:style w:type="character" w:styleId="Ttulo7Car" w:customStyle="1">
    <w:name w:val="Título 7 Car"/>
    <w:basedOn w:val="DefaultParagraphFont"/>
    <w:link w:val="Ttulo7"/>
    <w:qFormat/>
    <w:rsid w:val="00e82a89"/>
    <w:rPr>
      <w:rFonts w:ascii="Cambria" w:hAnsi="Cambria" w:eastAsia="MS Gothic"/>
      <w:bCs/>
      <w:i/>
      <w:iCs/>
      <w:color w:val="404040"/>
      <w:sz w:val="22"/>
      <w:szCs w:val="22"/>
      <w:lang w:val="es-ES" w:eastAsia="zh-CN"/>
    </w:rPr>
  </w:style>
  <w:style w:type="character" w:styleId="Ttulo8Car" w:customStyle="1">
    <w:name w:val="Título 8 Car"/>
    <w:basedOn w:val="DefaultParagraphFont"/>
    <w:link w:val="Ttulo8"/>
    <w:qFormat/>
    <w:rsid w:val="00e82a89"/>
    <w:rPr>
      <w:rFonts w:ascii="Cambria" w:hAnsi="Cambria" w:eastAsia="MS Gothic"/>
      <w:bCs/>
      <w:color w:val="404040"/>
      <w:sz w:val="22"/>
      <w:szCs w:val="22"/>
      <w:lang w:val="es-ES" w:eastAsia="zh-CN"/>
    </w:rPr>
  </w:style>
  <w:style w:type="character" w:styleId="Ttulo9Car" w:customStyle="1">
    <w:name w:val="Título 9 Car"/>
    <w:basedOn w:val="DefaultParagraphFont"/>
    <w:link w:val="Ttulo9"/>
    <w:qFormat/>
    <w:rsid w:val="00e82a89"/>
    <w:rPr>
      <w:rFonts w:ascii="Cambria" w:hAnsi="Cambria" w:eastAsia="MS Gothic"/>
      <w:bCs/>
      <w:i/>
      <w:iCs/>
      <w:color w:val="404040"/>
      <w:sz w:val="22"/>
      <w:szCs w:val="22"/>
      <w:lang w:val="es-ES" w:eastAsia="zh-CN"/>
    </w:rPr>
  </w:style>
  <w:style w:type="character" w:styleId="NormalStatisticCar" w:customStyle="1">
    <w:name w:val="NormalStatistic Car"/>
    <w:basedOn w:val="DefaultParagraphFont"/>
    <w:link w:val="NormalStatistic"/>
    <w:qFormat/>
    <w:locked/>
    <w:rsid w:val="00f1506a"/>
    <w:rPr>
      <w:rFonts w:ascii="Courier New" w:hAnsi="Courier New" w:cs="Arial"/>
      <w:sz w:val="18"/>
      <w:szCs w:val="18"/>
      <w:lang w:val="en-US"/>
    </w:rPr>
  </w:style>
  <w:style w:type="character" w:styleId="NormalStatisticChar" w:customStyle="1">
    <w:name w:val="NormalStatistic Char"/>
    <w:basedOn w:val="DefaultParagraphFont"/>
    <w:qFormat/>
    <w:locked/>
    <w:rsid w:val="00e82a89"/>
    <w:rPr>
      <w:rFonts w:ascii="Courier New" w:hAnsi="Courier New" w:eastAsia="游明朝" w:cs="Arial" w:eastAsiaTheme="minorEastAsia"/>
      <w:i/>
      <w:iCs/>
      <w:sz w:val="18"/>
      <w:szCs w:val="18"/>
      <w:lang w:val="es-ES"/>
    </w:rPr>
  </w:style>
  <w:style w:type="character" w:styleId="DescripcinCar" w:customStyle="1">
    <w:name w:val="Descripción Car"/>
    <w:basedOn w:val="DefaultParagraphFont"/>
    <w:link w:val="Descripcin"/>
    <w:uiPriority w:val="35"/>
    <w:qFormat/>
    <w:rsid w:val="00eb43e4"/>
    <w:rPr>
      <w:rFonts w:ascii="Arial" w:hAnsi="Arial" w:cs="Verdana"/>
      <w:bCs/>
      <w:color w:val="000000"/>
      <w:szCs w:val="22"/>
      <w:lang w:val="es-ES" w:eastAsia="zh-CN"/>
    </w:rPr>
  </w:style>
  <w:style w:type="character" w:styleId="Hgkelc" w:customStyle="1">
    <w:name w:val="hgkelc"/>
    <w:basedOn w:val="DefaultParagraphFont"/>
    <w:qFormat/>
    <w:rsid w:val="009c042c"/>
    <w:rPr/>
  </w:style>
  <w:style w:type="character" w:styleId="Y2iqfc" w:customStyle="1">
    <w:name w:val="y2iqfc"/>
    <w:basedOn w:val="DefaultParagraphFont"/>
    <w:qFormat/>
    <w:rsid w:val="00a60af6"/>
    <w:rPr/>
  </w:style>
  <w:style w:type="character" w:styleId="ListLabel1" w:customStyle="1">
    <w:name w:val="ListLabel 1"/>
    <w:qFormat/>
    <w:rPr>
      <w:rFonts w:cs="OpenSymbol"/>
      <w:color w:val="000000"/>
      <w:sz w:val="22"/>
      <w:szCs w:val="22"/>
      <w:highlight w:val="white"/>
      <w:lang w:val="es-ES" w:eastAsia="zh-CN" w:bidi="ar-SA"/>
    </w:rPr>
  </w:style>
  <w:style w:type="character" w:styleId="ListLabel2" w:customStyle="1">
    <w:name w:val="ListLabel 2"/>
    <w:qFormat/>
    <w:rPr>
      <w:rFonts w:ascii="Courier New" w:hAnsi="Courier New" w:cs="Arial"/>
      <w:b w:val="false"/>
      <w:i w:val="false"/>
      <w:iCs/>
      <w:sz w:val="22"/>
      <w:szCs w:val="32"/>
    </w:rPr>
  </w:style>
  <w:style w:type="character" w:styleId="ListLabel3" w:customStyle="1">
    <w:name w:val="ListLabel 3"/>
    <w:qFormat/>
    <w:rPr>
      <w:rFonts w:cs="OpenSymbol"/>
      <w:color w:val="000000"/>
      <w:sz w:val="22"/>
      <w:szCs w:val="22"/>
      <w:highlight w:val="white"/>
      <w:lang w:val="es-ES" w:eastAsia="zh-CN" w:bidi="ar-SA"/>
    </w:rPr>
  </w:style>
  <w:style w:type="character" w:styleId="ListLabel4" w:customStyle="1">
    <w:name w:val="ListLabel 4"/>
    <w:qFormat/>
    <w:rPr>
      <w:rFonts w:cs="OpenSymbol"/>
      <w:color w:val="000000"/>
      <w:sz w:val="22"/>
      <w:szCs w:val="22"/>
      <w:highlight w:val="white"/>
      <w:lang w:val="es-ES" w:eastAsia="zh-CN" w:bidi="ar-SA"/>
    </w:rPr>
  </w:style>
  <w:style w:type="character" w:styleId="ListLabel5" w:customStyle="1">
    <w:name w:val="ListLabel 5"/>
    <w:qFormat/>
    <w:rPr>
      <w:rFonts w:cs="OpenSymbol"/>
      <w:color w:val="000000"/>
      <w:sz w:val="22"/>
      <w:szCs w:val="22"/>
      <w:highlight w:val="white"/>
      <w:lang w:val="es-ES" w:eastAsia="zh-CN" w:bidi="ar-SA"/>
    </w:rPr>
  </w:style>
  <w:style w:type="character" w:styleId="ListLabel6" w:customStyle="1">
    <w:name w:val="ListLabel 6"/>
    <w:qFormat/>
    <w:rPr>
      <w:rFonts w:cs="OpenSymbol"/>
      <w:color w:val="000000"/>
      <w:sz w:val="22"/>
      <w:szCs w:val="22"/>
      <w:highlight w:val="white"/>
      <w:lang w:val="es-ES" w:eastAsia="zh-CN" w:bidi="ar-SA"/>
    </w:rPr>
  </w:style>
  <w:style w:type="character" w:styleId="ListLabel7" w:customStyle="1">
    <w:name w:val="ListLabel 7"/>
    <w:qFormat/>
    <w:rPr>
      <w:rFonts w:cs="OpenSymbol"/>
      <w:color w:val="000000"/>
      <w:sz w:val="22"/>
      <w:szCs w:val="22"/>
      <w:highlight w:val="white"/>
      <w:lang w:val="es-ES" w:eastAsia="zh-CN" w:bidi="ar-SA"/>
    </w:rPr>
  </w:style>
  <w:style w:type="character" w:styleId="ListLabel8" w:customStyle="1">
    <w:name w:val="ListLabel 8"/>
    <w:qFormat/>
    <w:rPr>
      <w:rFonts w:cs="OpenSymbol"/>
      <w:color w:val="000000"/>
      <w:sz w:val="22"/>
      <w:szCs w:val="22"/>
      <w:highlight w:val="white"/>
      <w:lang w:val="es-ES" w:eastAsia="zh-CN" w:bidi="ar-SA"/>
    </w:rPr>
  </w:style>
  <w:style w:type="character" w:styleId="ListLabel9" w:customStyle="1">
    <w:name w:val="ListLabel 9"/>
    <w:qFormat/>
    <w:rPr>
      <w:rFonts w:cs="OpenSymbol"/>
      <w:color w:val="000000"/>
      <w:sz w:val="22"/>
      <w:szCs w:val="22"/>
      <w:highlight w:val="white"/>
      <w:lang w:val="es-ES" w:eastAsia="zh-CN" w:bidi="ar-SA"/>
    </w:rPr>
  </w:style>
  <w:style w:type="character" w:styleId="ListLabel10" w:customStyle="1">
    <w:name w:val="ListLabel 10"/>
    <w:qFormat/>
    <w:rPr>
      <w:rFonts w:cs="OpenSymbol"/>
      <w:color w:val="000000"/>
      <w:sz w:val="22"/>
      <w:szCs w:val="22"/>
      <w:highlight w:val="white"/>
      <w:lang w:val="es-ES" w:eastAsia="zh-CN" w:bidi="ar-SA"/>
    </w:rPr>
  </w:style>
  <w:style w:type="character" w:styleId="ListLabel11" w:customStyle="1">
    <w:name w:val="ListLabel 11"/>
    <w:qFormat/>
    <w:rPr>
      <w:rFonts w:cs="OpenSymbol"/>
      <w:color w:val="000000"/>
      <w:sz w:val="22"/>
      <w:szCs w:val="22"/>
      <w:highlight w:val="white"/>
      <w:lang w:val="es-ES" w:eastAsia="zh-CN" w:bidi="ar-SA"/>
    </w:rPr>
  </w:style>
  <w:style w:type="character" w:styleId="ListLabel12" w:customStyle="1">
    <w:name w:val="ListLabel 12"/>
    <w:qFormat/>
    <w:rPr>
      <w:rFonts w:eastAsia="Times New Roman" w:cs="Arial"/>
      <w:b w:val="false"/>
      <w:bCs/>
      <w:i w:val="false"/>
      <w:iCs w:val="false"/>
      <w:color w:val="000000"/>
      <w:sz w:val="22"/>
      <w:szCs w:val="22"/>
      <w:lang w:val="es-ES" w:eastAsia="zh-CN" w:bidi="ar-SA"/>
    </w:rPr>
  </w:style>
  <w:style w:type="character" w:styleId="ListLabel13" w:customStyle="1">
    <w:name w:val="ListLabel 13"/>
    <w:qFormat/>
    <w:rPr>
      <w:rFonts w:eastAsia="Times New Roman" w:cs="Arial"/>
      <w:b w:val="false"/>
      <w:bCs w:val="false"/>
      <w:color w:val="000000"/>
      <w:sz w:val="22"/>
      <w:szCs w:val="22"/>
      <w:lang w:val="es-ES" w:eastAsia="zh-CN" w:bidi="ar-SA"/>
    </w:rPr>
  </w:style>
  <w:style w:type="character" w:styleId="ListLabel14" w:customStyle="1">
    <w:name w:val="ListLabel 14"/>
    <w:qFormat/>
    <w:rPr>
      <w:lang w:val="es-ES"/>
    </w:rPr>
  </w:style>
  <w:style w:type="character" w:styleId="ListLabel15" w:customStyle="1">
    <w:name w:val="ListLabel 15"/>
    <w:qFormat/>
    <w:rPr>
      <w:lang w:val="es-ES" w:eastAsia="hi-IN" w:bidi="hi-IN"/>
    </w:rPr>
  </w:style>
  <w:style w:type="character" w:styleId="ListLabel16" w:customStyle="1">
    <w:name w:val="ListLabel 16"/>
    <w:qFormat/>
    <w:rPr>
      <w:rFonts w:cs="OpenSymbol"/>
      <w:sz w:val="22"/>
      <w:szCs w:val="22"/>
    </w:rPr>
  </w:style>
  <w:style w:type="character" w:styleId="ListLabel17" w:customStyle="1">
    <w:name w:val="ListLabel 17"/>
    <w:qFormat/>
    <w:rPr>
      <w:rFonts w:cs="OpenSymbol"/>
    </w:rPr>
  </w:style>
  <w:style w:type="character" w:styleId="ListLabel18" w:customStyle="1">
    <w:name w:val="ListLabel 18"/>
    <w:qFormat/>
    <w:rPr>
      <w:rFonts w:cs="OpenSymbol"/>
    </w:rPr>
  </w:style>
  <w:style w:type="character" w:styleId="ListLabel19" w:customStyle="1">
    <w:name w:val="ListLabel 19"/>
    <w:qFormat/>
    <w:rPr>
      <w:rFonts w:cs="OpenSymbol"/>
      <w:sz w:val="22"/>
      <w:szCs w:val="22"/>
    </w:rPr>
  </w:style>
  <w:style w:type="character" w:styleId="ListLabel20" w:customStyle="1">
    <w:name w:val="ListLabel 20"/>
    <w:qFormat/>
    <w:rPr>
      <w:rFonts w:cs="OpenSymbol"/>
    </w:rPr>
  </w:style>
  <w:style w:type="character" w:styleId="ListLabel21" w:customStyle="1">
    <w:name w:val="ListLabel 21"/>
    <w:qFormat/>
    <w:rPr>
      <w:rFonts w:cs="OpenSymbol"/>
    </w:rPr>
  </w:style>
  <w:style w:type="character" w:styleId="ListLabel22" w:customStyle="1">
    <w:name w:val="ListLabel 22"/>
    <w:qFormat/>
    <w:rPr>
      <w:rFonts w:cs="OpenSymbol"/>
      <w:sz w:val="22"/>
      <w:szCs w:val="22"/>
    </w:rPr>
  </w:style>
  <w:style w:type="character" w:styleId="ListLabel23" w:customStyle="1">
    <w:name w:val="ListLabel 23"/>
    <w:qFormat/>
    <w:rPr>
      <w:rFonts w:cs="OpenSymbol"/>
    </w:rPr>
  </w:style>
  <w:style w:type="character" w:styleId="ListLabel24" w:customStyle="1">
    <w:name w:val="ListLabel 24"/>
    <w:qFormat/>
    <w:rPr>
      <w:rFonts w:cs="OpenSymbol"/>
    </w:rPr>
  </w:style>
  <w:style w:type="character" w:styleId="ListLabel25" w:customStyle="1">
    <w:name w:val="ListLabel 25"/>
    <w:qFormat/>
    <w:rPr>
      <w:rFonts w:cs="Courier New"/>
    </w:rPr>
  </w:style>
  <w:style w:type="character" w:styleId="ListLabel26" w:customStyle="1">
    <w:name w:val="ListLabel 26"/>
    <w:qFormat/>
    <w:rPr>
      <w:rFonts w:cs="Courier New"/>
    </w:rPr>
  </w:style>
  <w:style w:type="character" w:styleId="ListLabel27" w:customStyle="1">
    <w:name w:val="ListLabel 27"/>
    <w:qFormat/>
    <w:rPr>
      <w:b w:val="false"/>
      <w:i w:val="false"/>
      <w:iCs w:val="false"/>
      <w:caps w:val="false"/>
      <w:smallCaps w:val="false"/>
      <w:strike w:val="false"/>
      <w:dstrike w:val="false"/>
      <w:vanish w:val="false"/>
      <w:color w:val="000000"/>
      <w:spacing w:val="0"/>
      <w:position w:val="0"/>
      <w:sz w:val="22"/>
      <w:sz w:val="22"/>
      <w:u w:val="none"/>
      <w:effect w:val="none"/>
      <w:vertAlign w:val="baseline"/>
      <w:em w:val="none"/>
    </w:rPr>
  </w:style>
  <w:style w:type="character" w:styleId="ListLabel28" w:customStyle="1">
    <w:name w:val="ListLabel 28"/>
    <w:qFormat/>
    <w:rPr>
      <w:rFonts w:cs="Courier New"/>
    </w:rPr>
  </w:style>
  <w:style w:type="character" w:styleId="ListLabel29" w:customStyle="1">
    <w:name w:val="ListLabel 29"/>
    <w:qFormat/>
    <w:rPr>
      <w:rFonts w:cs="Courier New"/>
    </w:rPr>
  </w:style>
  <w:style w:type="character" w:styleId="ListLabel30" w:customStyle="1">
    <w:name w:val="ListLabel 30"/>
    <w:qFormat/>
    <w:rPr>
      <w:rFonts w:cs="Courier New"/>
    </w:rPr>
  </w:style>
  <w:style w:type="character" w:styleId="ListLabel31" w:customStyle="1">
    <w:name w:val="ListLabel 31"/>
    <w:qFormat/>
    <w:rPr>
      <w:i w:val="false"/>
    </w:rPr>
  </w:style>
  <w:style w:type="character" w:styleId="ListLabel32" w:customStyle="1">
    <w:name w:val="ListLabel 32"/>
    <w:qFormat/>
    <w:rPr>
      <w:i w:val="false"/>
    </w:rPr>
  </w:style>
  <w:style w:type="character" w:styleId="ListLabel33" w:customStyle="1">
    <w:name w:val="ListLabel 33"/>
    <w:qFormat/>
    <w:rPr>
      <w:sz w:val="32"/>
      <w:szCs w:val="32"/>
    </w:rPr>
  </w:style>
  <w:style w:type="character" w:styleId="ListLabel34" w:customStyle="1">
    <w:name w:val="ListLabel 34"/>
    <w:qFormat/>
    <w:rPr>
      <w:i w:val="false"/>
    </w:rPr>
  </w:style>
  <w:style w:type="character" w:styleId="ListLabel35" w:customStyle="1">
    <w:name w:val="ListLabel 35"/>
    <w:qFormat/>
    <w:rPr>
      <w:sz w:val="32"/>
      <w:szCs w:val="32"/>
    </w:rPr>
  </w:style>
  <w:style w:type="character" w:styleId="ListLabel36" w:customStyle="1">
    <w:name w:val="ListLabel 36"/>
    <w:qFormat/>
    <w:rPr>
      <w:rFonts w:cs="OpenSymbol"/>
      <w:color w:val="000000"/>
      <w:sz w:val="22"/>
      <w:szCs w:val="22"/>
      <w:highlight w:val="white"/>
      <w:lang w:val="es-ES" w:eastAsia="zh-CN" w:bidi="ar-SA"/>
    </w:rPr>
  </w:style>
  <w:style w:type="character" w:styleId="ListLabel37" w:customStyle="1">
    <w:name w:val="ListLabel 37"/>
    <w:qFormat/>
    <w:rPr>
      <w:rFonts w:eastAsia="Arial" w:cs="Arial"/>
      <w:i w:val="false"/>
      <w:iCs/>
      <w:sz w:val="32"/>
      <w:szCs w:val="32"/>
    </w:rPr>
  </w:style>
  <w:style w:type="character" w:styleId="ListLabel38" w:customStyle="1">
    <w:name w:val="ListLabel 38"/>
    <w:qFormat/>
    <w:rPr>
      <w:rFonts w:cs="Courier New"/>
    </w:rPr>
  </w:style>
  <w:style w:type="character" w:styleId="ListLabel39" w:customStyle="1">
    <w:name w:val="ListLabel 39"/>
    <w:qFormat/>
    <w:rPr>
      <w:rFonts w:cs="Courier New"/>
    </w:rPr>
  </w:style>
  <w:style w:type="character" w:styleId="ListLabel40" w:customStyle="1">
    <w:name w:val="ListLabel 40"/>
    <w:qFormat/>
    <w:rPr>
      <w:rFonts w:cs="Courier New"/>
    </w:rPr>
  </w:style>
  <w:style w:type="character" w:styleId="ListLabel41" w:customStyle="1">
    <w:name w:val="ListLabel 41"/>
    <w:qFormat/>
    <w:rPr>
      <w:rFonts w:cs="Courier New"/>
    </w:rPr>
  </w:style>
  <w:style w:type="character" w:styleId="ListLabel42" w:customStyle="1">
    <w:name w:val="ListLabel 42"/>
    <w:qFormat/>
    <w:rPr>
      <w:rFonts w:cs="Courier New"/>
    </w:rPr>
  </w:style>
  <w:style w:type="character" w:styleId="ListLabel43" w:customStyle="1">
    <w:name w:val="ListLabel 43"/>
    <w:qFormat/>
    <w:rPr>
      <w:rFonts w:cs="Courier New"/>
    </w:rPr>
  </w:style>
  <w:style w:type="character" w:styleId="ListLabel44" w:customStyle="1">
    <w:name w:val="ListLabel 44"/>
    <w:qFormat/>
    <w:rPr>
      <w:color w:val="00000A"/>
    </w:rPr>
  </w:style>
  <w:style w:type="character" w:styleId="ListLabel45" w:customStyle="1">
    <w:name w:val="ListLabel 45"/>
    <w:qFormat/>
    <w:rPr>
      <w:sz w:val="18"/>
      <w:szCs w:val="18"/>
    </w:rPr>
  </w:style>
  <w:style w:type="character" w:styleId="ListLabel46" w:customStyle="1">
    <w:name w:val="ListLabel 46"/>
    <w:qFormat/>
    <w:rPr>
      <w:rFonts w:cs="Courier New"/>
    </w:rPr>
  </w:style>
  <w:style w:type="character" w:styleId="ListLabel47" w:customStyle="1">
    <w:name w:val="ListLabel 47"/>
    <w:qFormat/>
    <w:rPr>
      <w:rFonts w:cs="Courier New"/>
    </w:rPr>
  </w:style>
  <w:style w:type="character" w:styleId="ListLabel48" w:customStyle="1">
    <w:name w:val="ListLabel 48"/>
    <w:qFormat/>
    <w:rPr>
      <w:rFonts w:cs="Courier New"/>
    </w:rPr>
  </w:style>
  <w:style w:type="character" w:styleId="ListLabel49" w:customStyle="1">
    <w:name w:val="ListLabel 49"/>
    <w:qFormat/>
    <w:rPr>
      <w:i w:val="false"/>
      <w:color w:val="00000A"/>
    </w:rPr>
  </w:style>
  <w:style w:type="character" w:styleId="ListLabel50" w:customStyle="1">
    <w:name w:val="ListLabel 50"/>
    <w:qFormat/>
    <w:rPr>
      <w:rFonts w:cs="Courier New"/>
    </w:rPr>
  </w:style>
  <w:style w:type="character" w:styleId="ListLabel51" w:customStyle="1">
    <w:name w:val="ListLabel 51"/>
    <w:qFormat/>
    <w:rPr>
      <w:rFonts w:cs="Courier New"/>
    </w:rPr>
  </w:style>
  <w:style w:type="character" w:styleId="ListLabel52" w:customStyle="1">
    <w:name w:val="ListLabel 52"/>
    <w:qFormat/>
    <w:rPr>
      <w:rFonts w:cs="Courier New"/>
    </w:rPr>
  </w:style>
  <w:style w:type="character" w:styleId="ListLabel53" w:customStyle="1">
    <w:name w:val="ListLabel 53"/>
    <w:qFormat/>
    <w:rPr>
      <w:rFonts w:cs="Courier New"/>
    </w:rPr>
  </w:style>
  <w:style w:type="character" w:styleId="ListLabel54" w:customStyle="1">
    <w:name w:val="ListLabel 54"/>
    <w:qFormat/>
    <w:rPr>
      <w:rFonts w:cs="Courier New"/>
    </w:rPr>
  </w:style>
  <w:style w:type="character" w:styleId="ListLabel55" w:customStyle="1">
    <w:name w:val="ListLabel 55"/>
    <w:qFormat/>
    <w:rPr>
      <w:rFonts w:cs="Courier New"/>
    </w:rPr>
  </w:style>
  <w:style w:type="character" w:styleId="ListLabel56" w:customStyle="1">
    <w:name w:val="ListLabel 56"/>
    <w:qFormat/>
    <w:rPr>
      <w:rFonts w:cs="Courier New"/>
    </w:rPr>
  </w:style>
  <w:style w:type="character" w:styleId="ListLabel57" w:customStyle="1">
    <w:name w:val="ListLabel 57"/>
    <w:qFormat/>
    <w:rPr>
      <w:rFonts w:cs="Courier New"/>
    </w:rPr>
  </w:style>
  <w:style w:type="character" w:styleId="ListLabel58" w:customStyle="1">
    <w:name w:val="ListLabel 58"/>
    <w:qFormat/>
    <w:rPr>
      <w:rFonts w:cs="Courier New"/>
    </w:rPr>
  </w:style>
  <w:style w:type="character" w:styleId="ListLabel59" w:customStyle="1">
    <w:name w:val="ListLabel 59"/>
    <w:qFormat/>
    <w:rPr>
      <w:sz w:val="22"/>
    </w:rPr>
  </w:style>
  <w:style w:type="character" w:styleId="ListLabel60" w:customStyle="1">
    <w:name w:val="ListLabel 60"/>
    <w:qFormat/>
    <w:rPr>
      <w:rFonts w:cs="Courier New"/>
    </w:rPr>
  </w:style>
  <w:style w:type="character" w:styleId="ListLabel61" w:customStyle="1">
    <w:name w:val="ListLabel 61"/>
    <w:qFormat/>
    <w:rPr>
      <w:rFonts w:cs="Courier New"/>
    </w:rPr>
  </w:style>
  <w:style w:type="character" w:styleId="ListLabel62" w:customStyle="1">
    <w:name w:val="ListLabel 62"/>
    <w:qFormat/>
    <w:rPr>
      <w:rFonts w:cs="Courier New"/>
    </w:rPr>
  </w:style>
  <w:style w:type="character" w:styleId="ListLabel63" w:customStyle="1">
    <w:name w:val="ListLabel 63"/>
    <w:qFormat/>
    <w:rPr>
      <w:rFonts w:cs="Courier New"/>
    </w:rPr>
  </w:style>
  <w:style w:type="character" w:styleId="ListLabel64" w:customStyle="1">
    <w:name w:val="ListLabel 64"/>
    <w:qFormat/>
    <w:rPr>
      <w:rFonts w:cs="Courier New"/>
    </w:rPr>
  </w:style>
  <w:style w:type="character" w:styleId="ListLabel65" w:customStyle="1">
    <w:name w:val="ListLabel 65"/>
    <w:qFormat/>
    <w:rPr>
      <w:rFonts w:cs="Courier New"/>
    </w:rPr>
  </w:style>
  <w:style w:type="character" w:styleId="ListLabel66" w:customStyle="1">
    <w:name w:val="ListLabel 66"/>
    <w:qFormat/>
    <w:rPr>
      <w:rFonts w:cs="Courier New"/>
    </w:rPr>
  </w:style>
  <w:style w:type="character" w:styleId="ListLabel67" w:customStyle="1">
    <w:name w:val="ListLabel 67"/>
    <w:qFormat/>
    <w:rPr>
      <w:rFonts w:cs="Courier New"/>
    </w:rPr>
  </w:style>
  <w:style w:type="character" w:styleId="ListLabel68" w:customStyle="1">
    <w:name w:val="ListLabel 68"/>
    <w:qFormat/>
    <w:rPr>
      <w:rFonts w:cs="Courier New"/>
    </w:rPr>
  </w:style>
  <w:style w:type="character" w:styleId="ListLabel69" w:customStyle="1">
    <w:name w:val="ListLabel 69"/>
    <w:qFormat/>
    <w:rPr>
      <w:rFonts w:cs="Courier New"/>
    </w:rPr>
  </w:style>
  <w:style w:type="character" w:styleId="ListLabel70" w:customStyle="1">
    <w:name w:val="ListLabel 70"/>
    <w:qFormat/>
    <w:rPr>
      <w:rFonts w:cs="Courier New"/>
    </w:rPr>
  </w:style>
  <w:style w:type="character" w:styleId="ListLabel71" w:customStyle="1">
    <w:name w:val="ListLabel 71"/>
    <w:qFormat/>
    <w:rPr>
      <w:rFonts w:cs="Courier New"/>
    </w:rPr>
  </w:style>
  <w:style w:type="character" w:styleId="ListLabel72" w:customStyle="1">
    <w:name w:val="ListLabel 72"/>
    <w:qFormat/>
    <w:rPr>
      <w:rFonts w:cs="Courier New"/>
    </w:rPr>
  </w:style>
  <w:style w:type="character" w:styleId="ListLabel73" w:customStyle="1">
    <w:name w:val="ListLabel 73"/>
    <w:qFormat/>
    <w:rPr>
      <w:rFonts w:cs="Courier New"/>
    </w:rPr>
  </w:style>
  <w:style w:type="character" w:styleId="ListLabel74" w:customStyle="1">
    <w:name w:val="ListLabel 74"/>
    <w:qFormat/>
    <w:rPr>
      <w:sz w:val="22"/>
    </w:rPr>
  </w:style>
  <w:style w:type="character" w:styleId="ListLabel75" w:customStyle="1">
    <w:name w:val="ListLabel 75"/>
    <w:qFormat/>
    <w:rPr>
      <w:rFonts w:cs="Courier New"/>
    </w:rPr>
  </w:style>
  <w:style w:type="character" w:styleId="ListLabel76" w:customStyle="1">
    <w:name w:val="ListLabel 76"/>
    <w:qFormat/>
    <w:rPr>
      <w:rFonts w:cs="Courier New"/>
    </w:rPr>
  </w:style>
  <w:style w:type="character" w:styleId="ListLabel77" w:customStyle="1">
    <w:name w:val="ListLabel 77"/>
    <w:qFormat/>
    <w:rPr>
      <w:rFonts w:cs="Courier New"/>
    </w:rPr>
  </w:style>
  <w:style w:type="character" w:styleId="ListLabel78" w:customStyle="1">
    <w:name w:val="ListLabel 78"/>
    <w:qFormat/>
    <w:rPr>
      <w:rFonts w:cs="Courier New"/>
    </w:rPr>
  </w:style>
  <w:style w:type="character" w:styleId="ListLabel79" w:customStyle="1">
    <w:name w:val="ListLabel 79"/>
    <w:qFormat/>
    <w:rPr>
      <w:rFonts w:cs="Courier New"/>
    </w:rPr>
  </w:style>
  <w:style w:type="character" w:styleId="ListLabel80" w:customStyle="1">
    <w:name w:val="ListLabel 80"/>
    <w:qFormat/>
    <w:rPr>
      <w:rFonts w:cs="Courier New"/>
    </w:rPr>
  </w:style>
  <w:style w:type="character" w:styleId="ListLabel81" w:customStyle="1">
    <w:name w:val="ListLabel 81"/>
    <w:qFormat/>
    <w:rPr>
      <w:rFonts w:cs="Courier New"/>
    </w:rPr>
  </w:style>
  <w:style w:type="character" w:styleId="ListLabel82" w:customStyle="1">
    <w:name w:val="ListLabel 82"/>
    <w:qFormat/>
    <w:rPr>
      <w:rFonts w:cs="Courier New"/>
    </w:rPr>
  </w:style>
  <w:style w:type="character" w:styleId="ListLabel83" w:customStyle="1">
    <w:name w:val="ListLabel 83"/>
    <w:qFormat/>
    <w:rPr>
      <w:rFonts w:cs="Courier New"/>
    </w:rPr>
  </w:style>
  <w:style w:type="character" w:styleId="ListLabel84" w:customStyle="1">
    <w:name w:val="ListLabel 84"/>
    <w:qFormat/>
    <w:rPr>
      <w:rFonts w:cs="Courier New"/>
    </w:rPr>
  </w:style>
  <w:style w:type="character" w:styleId="ListLabel85" w:customStyle="1">
    <w:name w:val="ListLabel 85"/>
    <w:qFormat/>
    <w:rPr>
      <w:rFonts w:cs="Courier New"/>
    </w:rPr>
  </w:style>
  <w:style w:type="character" w:styleId="ListLabel86" w:customStyle="1">
    <w:name w:val="ListLabel 86"/>
    <w:qFormat/>
    <w:rPr>
      <w:rFonts w:cs="Courier New"/>
    </w:rPr>
  </w:style>
  <w:style w:type="character" w:styleId="ListLabel87" w:customStyle="1">
    <w:name w:val="ListLabel 87"/>
    <w:qFormat/>
    <w:rPr>
      <w:rFonts w:cs="Courier New"/>
    </w:rPr>
  </w:style>
  <w:style w:type="character" w:styleId="ListLabel88" w:customStyle="1">
    <w:name w:val="ListLabel 88"/>
    <w:qFormat/>
    <w:rPr>
      <w:rFonts w:cs="Courier New"/>
    </w:rPr>
  </w:style>
  <w:style w:type="character" w:styleId="ListLabel89" w:customStyle="1">
    <w:name w:val="ListLabel 89"/>
    <w:qFormat/>
    <w:rPr>
      <w:rFonts w:cs="Courier New"/>
    </w:rPr>
  </w:style>
  <w:style w:type="character" w:styleId="ListLabel90" w:customStyle="1">
    <w:name w:val="ListLabel 90"/>
    <w:qFormat/>
    <w:rPr>
      <w:rFonts w:cs="Courier New"/>
    </w:rPr>
  </w:style>
  <w:style w:type="character" w:styleId="ListLabel91" w:customStyle="1">
    <w:name w:val="ListLabel 91"/>
    <w:qFormat/>
    <w:rPr>
      <w:rFonts w:cs="Courier New"/>
    </w:rPr>
  </w:style>
  <w:style w:type="character" w:styleId="ListLabel92" w:customStyle="1">
    <w:name w:val="ListLabel 92"/>
    <w:qFormat/>
    <w:rPr>
      <w:rFonts w:cs="Courier New"/>
    </w:rPr>
  </w:style>
  <w:style w:type="character" w:styleId="ListLabel93" w:customStyle="1">
    <w:name w:val="ListLabel 93"/>
    <w:qFormat/>
    <w:rPr>
      <w:rFonts w:cs="Courier New"/>
    </w:rPr>
  </w:style>
  <w:style w:type="character" w:styleId="ListLabel94" w:customStyle="1">
    <w:name w:val="ListLabel 94"/>
    <w:qFormat/>
    <w:rPr>
      <w:rFonts w:cs="Courier New"/>
    </w:rPr>
  </w:style>
  <w:style w:type="character" w:styleId="ListLabel95" w:customStyle="1">
    <w:name w:val="ListLabel 95"/>
    <w:qFormat/>
    <w:rPr>
      <w:rFonts w:cs="Courier New"/>
    </w:rPr>
  </w:style>
  <w:style w:type="character" w:styleId="ListLabel96" w:customStyle="1">
    <w:name w:val="ListLabel 96"/>
    <w:qFormat/>
    <w:rPr>
      <w:rFonts w:cs="Courier New"/>
    </w:rPr>
  </w:style>
  <w:style w:type="character" w:styleId="ListLabel97" w:customStyle="1">
    <w:name w:val="ListLabel 97"/>
    <w:qFormat/>
    <w:rPr>
      <w:rFonts w:cs="Courier New"/>
    </w:rPr>
  </w:style>
  <w:style w:type="character" w:styleId="ListLabel98" w:customStyle="1">
    <w:name w:val="ListLabel 98"/>
    <w:qFormat/>
    <w:rPr>
      <w:rFonts w:cs="Courier New"/>
    </w:rPr>
  </w:style>
  <w:style w:type="character" w:styleId="ListLabel99" w:customStyle="1">
    <w:name w:val="ListLabel 99"/>
    <w:qFormat/>
    <w:rPr>
      <w:rFonts w:cs="Courier New"/>
    </w:rPr>
  </w:style>
  <w:style w:type="character" w:styleId="ListLabel100" w:customStyle="1">
    <w:name w:val="ListLabel 100"/>
    <w:qFormat/>
    <w:rPr>
      <w:rFonts w:cs="Courier New"/>
    </w:rPr>
  </w:style>
  <w:style w:type="character" w:styleId="ListLabel101" w:customStyle="1">
    <w:name w:val="ListLabel 101"/>
    <w:qFormat/>
    <w:rPr>
      <w:rFonts w:cs="Courier New"/>
    </w:rPr>
  </w:style>
  <w:style w:type="character" w:styleId="ListLabel102" w:customStyle="1">
    <w:name w:val="ListLabel 102"/>
    <w:qFormat/>
    <w:rPr>
      <w:rFonts w:cs="Courier New"/>
    </w:rPr>
  </w:style>
  <w:style w:type="character" w:styleId="ListLabel103" w:customStyle="1">
    <w:name w:val="ListLabel 103"/>
    <w:qFormat/>
    <w:rPr>
      <w:rFonts w:cs="Courier New"/>
    </w:rPr>
  </w:style>
  <w:style w:type="character" w:styleId="ListLabel104" w:customStyle="1">
    <w:name w:val="ListLabel 104"/>
    <w:qFormat/>
    <w:rPr>
      <w:rFonts w:cs="Courier New"/>
    </w:rPr>
  </w:style>
  <w:style w:type="character" w:styleId="ListLabel105" w:customStyle="1">
    <w:name w:val="ListLabel 105"/>
    <w:qFormat/>
    <w:rPr>
      <w:rFonts w:cs="Courier New"/>
    </w:rPr>
  </w:style>
  <w:style w:type="character" w:styleId="ListLabel106" w:customStyle="1">
    <w:name w:val="ListLabel 106"/>
    <w:qFormat/>
    <w:rPr>
      <w:rFonts w:cs="Courier New"/>
    </w:rPr>
  </w:style>
  <w:style w:type="character" w:styleId="ListLabel107" w:customStyle="1">
    <w:name w:val="ListLabel 107"/>
    <w:qFormat/>
    <w:rPr>
      <w:rFonts w:cs="Courier New"/>
    </w:rPr>
  </w:style>
  <w:style w:type="character" w:styleId="ListLabel108" w:customStyle="1">
    <w:name w:val="ListLabel 108"/>
    <w:qFormat/>
    <w:rPr>
      <w:rFonts w:cs="Courier New"/>
    </w:rPr>
  </w:style>
  <w:style w:type="character" w:styleId="ListLabel109" w:customStyle="1">
    <w:name w:val="ListLabel 109"/>
    <w:qFormat/>
    <w:rPr>
      <w:rFonts w:cs="Courier New"/>
    </w:rPr>
  </w:style>
  <w:style w:type="character" w:styleId="ListLabel110" w:customStyle="1">
    <w:name w:val="ListLabel 110"/>
    <w:qFormat/>
    <w:rPr>
      <w:rFonts w:cs="Courier New"/>
    </w:rPr>
  </w:style>
  <w:style w:type="character" w:styleId="ListLabel111" w:customStyle="1">
    <w:name w:val="ListLabel 111"/>
    <w:qFormat/>
    <w:rPr>
      <w:rFonts w:cs="Courier New"/>
    </w:rPr>
  </w:style>
  <w:style w:type="character" w:styleId="ListLabel112" w:customStyle="1">
    <w:name w:val="ListLabel 112"/>
    <w:qFormat/>
    <w:rPr>
      <w:rFonts w:cs="Courier New"/>
    </w:rPr>
  </w:style>
  <w:style w:type="character" w:styleId="ListLabel113" w:customStyle="1">
    <w:name w:val="ListLabel 113"/>
    <w:qFormat/>
    <w:rPr>
      <w:rFonts w:cs="Courier New"/>
    </w:rPr>
  </w:style>
  <w:style w:type="character" w:styleId="ListLabel114" w:customStyle="1">
    <w:name w:val="ListLabel 114"/>
    <w:qFormat/>
    <w:rPr>
      <w:rFonts w:cs="Courier New"/>
    </w:rPr>
  </w:style>
  <w:style w:type="character" w:styleId="ListLabel115" w:customStyle="1">
    <w:name w:val="ListLabel 115"/>
    <w:qFormat/>
    <w:rPr>
      <w:rFonts w:cs="Courier New"/>
    </w:rPr>
  </w:style>
  <w:style w:type="character" w:styleId="ListLabel116" w:customStyle="1">
    <w:name w:val="ListLabel 116"/>
    <w:qFormat/>
    <w:rPr>
      <w:rFonts w:cs="Courier New"/>
    </w:rPr>
  </w:style>
  <w:style w:type="character" w:styleId="ListLabel117" w:customStyle="1">
    <w:name w:val="ListLabel 117"/>
    <w:qFormat/>
    <w:rPr>
      <w:rFonts w:cs="Courier New"/>
    </w:rPr>
  </w:style>
  <w:style w:type="character" w:styleId="ListLabel118" w:customStyle="1">
    <w:name w:val="ListLabel 118"/>
    <w:qFormat/>
    <w:rPr>
      <w:rFonts w:cs="Courier New"/>
    </w:rPr>
  </w:style>
  <w:style w:type="character" w:styleId="ListLabel119" w:customStyle="1">
    <w:name w:val="ListLabel 119"/>
    <w:qFormat/>
    <w:rPr>
      <w:rFonts w:cs="Courier New"/>
    </w:rPr>
  </w:style>
  <w:style w:type="character" w:styleId="ListLabel120" w:customStyle="1">
    <w:name w:val="ListLabel 120"/>
    <w:qFormat/>
    <w:rPr>
      <w:rFonts w:cs="Courier New"/>
    </w:rPr>
  </w:style>
  <w:style w:type="character" w:styleId="ListLabel121" w:customStyle="1">
    <w:name w:val="ListLabel 121"/>
    <w:qFormat/>
    <w:rPr>
      <w:rFonts w:cs="Courier New"/>
    </w:rPr>
  </w:style>
  <w:style w:type="character" w:styleId="ListLabel122" w:customStyle="1">
    <w:name w:val="ListLabel 122"/>
    <w:qFormat/>
    <w:rPr>
      <w:rFonts w:cs="Courier New"/>
    </w:rPr>
  </w:style>
  <w:style w:type="character" w:styleId="ListLabel123" w:customStyle="1">
    <w:name w:val="ListLabel 123"/>
    <w:qFormat/>
    <w:rPr>
      <w:rFonts w:cs="Courier New"/>
    </w:rPr>
  </w:style>
  <w:style w:type="character" w:styleId="ListLabel124" w:customStyle="1">
    <w:name w:val="ListLabel 124"/>
    <w:qFormat/>
    <w:rPr>
      <w:rFonts w:cs="Courier New"/>
    </w:rPr>
  </w:style>
  <w:style w:type="character" w:styleId="ListLabel125" w:customStyle="1">
    <w:name w:val="ListLabel 125"/>
    <w:qFormat/>
    <w:rPr>
      <w:i w:val="false"/>
    </w:rPr>
  </w:style>
  <w:style w:type="character" w:styleId="ListLabel126" w:customStyle="1">
    <w:name w:val="ListLabel 126"/>
    <w:qFormat/>
    <w:rPr>
      <w:i w:val="false"/>
    </w:rPr>
  </w:style>
  <w:style w:type="character" w:styleId="ListLabel127" w:customStyle="1">
    <w:name w:val="ListLabel 127"/>
    <w:qFormat/>
    <w:rPr>
      <w:i w:val="false"/>
    </w:rPr>
  </w:style>
  <w:style w:type="character" w:styleId="ListLabel128" w:customStyle="1">
    <w:name w:val="ListLabel 128"/>
    <w:qFormat/>
    <w:rPr>
      <w:i w:val="false"/>
    </w:rPr>
  </w:style>
  <w:style w:type="character" w:styleId="ListLabel129" w:customStyle="1">
    <w:name w:val="ListLabel 129"/>
    <w:qFormat/>
    <w:rPr>
      <w:lang w:val="es-ES"/>
    </w:rPr>
  </w:style>
  <w:style w:type="character" w:styleId="ListLabel130" w:customStyle="1">
    <w:name w:val="ListLabel 130"/>
    <w:qFormat/>
    <w:rPr>
      <w:i w:val="false"/>
    </w:rPr>
  </w:style>
  <w:style w:type="character" w:styleId="ListLabel131" w:customStyle="1">
    <w:name w:val="ListLabel 131"/>
    <w:qFormat/>
    <w:rPr>
      <w:i w:val="false"/>
    </w:rPr>
  </w:style>
  <w:style w:type="character" w:styleId="ListLabel132" w:customStyle="1">
    <w:name w:val="ListLabel 132"/>
    <w:qFormat/>
    <w:rPr>
      <w:i w:val="false"/>
    </w:rPr>
  </w:style>
  <w:style w:type="character" w:styleId="ListLabel133" w:customStyle="1">
    <w:name w:val="ListLabel 133"/>
    <w:qFormat/>
    <w:rPr>
      <w:lang w:val="es-ES"/>
    </w:rPr>
  </w:style>
  <w:style w:type="character" w:styleId="ListLabel134" w:customStyle="1">
    <w:name w:val="ListLabel 134"/>
    <w:qFormat/>
    <w:rPr>
      <w:sz w:val="22"/>
    </w:rPr>
  </w:style>
  <w:style w:type="character" w:styleId="ListLabel135" w:customStyle="1">
    <w:name w:val="ListLabel 135"/>
    <w:qFormat/>
    <w:rPr>
      <w:rFonts w:cs="Courier New"/>
    </w:rPr>
  </w:style>
  <w:style w:type="character" w:styleId="ListLabel136" w:customStyle="1">
    <w:name w:val="ListLabel 136"/>
    <w:qFormat/>
    <w:rPr>
      <w:rFonts w:cs="Courier New"/>
    </w:rPr>
  </w:style>
  <w:style w:type="character" w:styleId="ListLabel137" w:customStyle="1">
    <w:name w:val="ListLabel 137"/>
    <w:qFormat/>
    <w:rPr>
      <w:rFonts w:cs="Courier New"/>
    </w:rPr>
  </w:style>
  <w:style w:type="character" w:styleId="ListLabel138" w:customStyle="1">
    <w:name w:val="ListLabel 138"/>
    <w:qFormat/>
    <w:rPr>
      <w:rFonts w:cs="Courier New"/>
    </w:rPr>
  </w:style>
  <w:style w:type="character" w:styleId="ListLabel139" w:customStyle="1">
    <w:name w:val="ListLabel 139"/>
    <w:qFormat/>
    <w:rPr>
      <w:rFonts w:cs="Courier New"/>
    </w:rPr>
  </w:style>
  <w:style w:type="character" w:styleId="ListLabel140" w:customStyle="1">
    <w:name w:val="ListLabel 140"/>
    <w:qFormat/>
    <w:rPr>
      <w:rFonts w:cs="Courier New"/>
    </w:rPr>
  </w:style>
  <w:style w:type="character" w:styleId="ListLabel141" w:customStyle="1">
    <w:name w:val="ListLabel 141"/>
    <w:qFormat/>
    <w:rPr>
      <w:rFonts w:cs="Courier New"/>
    </w:rPr>
  </w:style>
  <w:style w:type="character" w:styleId="ListLabel142" w:customStyle="1">
    <w:name w:val="ListLabel 142"/>
    <w:qFormat/>
    <w:rPr>
      <w:rFonts w:cs="Courier New"/>
    </w:rPr>
  </w:style>
  <w:style w:type="character" w:styleId="ListLabel143" w:customStyle="1">
    <w:name w:val="ListLabel 143"/>
    <w:qFormat/>
    <w:rPr>
      <w:rFonts w:cs="Courier New"/>
    </w:rPr>
  </w:style>
  <w:style w:type="character" w:styleId="ListLabel144" w:customStyle="1">
    <w:name w:val="ListLabel 144"/>
    <w:qFormat/>
    <w:rPr>
      <w:rFonts w:cs="Courier New"/>
    </w:rPr>
  </w:style>
  <w:style w:type="character" w:styleId="ListLabel145" w:customStyle="1">
    <w:name w:val="ListLabel 145"/>
    <w:qFormat/>
    <w:rPr>
      <w:rFonts w:cs="Courier New"/>
    </w:rPr>
  </w:style>
  <w:style w:type="character" w:styleId="ListLabel146" w:customStyle="1">
    <w:name w:val="ListLabel 146"/>
    <w:qFormat/>
    <w:rPr>
      <w:rFonts w:cs="Courier New"/>
    </w:rPr>
  </w:style>
  <w:style w:type="character" w:styleId="ListLabel147" w:customStyle="1">
    <w:name w:val="ListLabel 147"/>
    <w:qFormat/>
    <w:rPr>
      <w:rFonts w:cs="Courier New"/>
    </w:rPr>
  </w:style>
  <w:style w:type="character" w:styleId="ListLabel148" w:customStyle="1">
    <w:name w:val="ListLabel 148"/>
    <w:qFormat/>
    <w:rPr>
      <w:rFonts w:cs="Courier New"/>
    </w:rPr>
  </w:style>
  <w:style w:type="character" w:styleId="ListLabel149" w:customStyle="1">
    <w:name w:val="ListLabel 149"/>
    <w:qFormat/>
    <w:rPr>
      <w:rFonts w:cs="Courier New"/>
    </w:rPr>
  </w:style>
  <w:style w:type="character" w:styleId="ListLabel150" w:customStyle="1">
    <w:name w:val="ListLabel 150"/>
    <w:qFormat/>
    <w:rPr>
      <w:rFonts w:cs="Courier New"/>
    </w:rPr>
  </w:style>
  <w:style w:type="character" w:styleId="ListLabel151" w:customStyle="1">
    <w:name w:val="ListLabel 151"/>
    <w:qFormat/>
    <w:rPr>
      <w:rFonts w:cs="Courier New"/>
    </w:rPr>
  </w:style>
  <w:style w:type="character" w:styleId="ListLabel152" w:customStyle="1">
    <w:name w:val="ListLabel 152"/>
    <w:qFormat/>
    <w:rPr>
      <w:rFonts w:cs="Courier New"/>
    </w:rPr>
  </w:style>
  <w:style w:type="character" w:styleId="ListLabel153" w:customStyle="1">
    <w:name w:val="ListLabel 153"/>
    <w:qFormat/>
    <w:rPr>
      <w:rFonts w:cs="Courier New"/>
    </w:rPr>
  </w:style>
  <w:style w:type="character" w:styleId="ListLabel154" w:customStyle="1">
    <w:name w:val="ListLabel 154"/>
    <w:qFormat/>
    <w:rPr>
      <w:rFonts w:cs="Courier New"/>
    </w:rPr>
  </w:style>
  <w:style w:type="character" w:styleId="ListLabel155" w:customStyle="1">
    <w:name w:val="ListLabel 155"/>
    <w:qFormat/>
    <w:rPr>
      <w:i w:val="false"/>
    </w:rPr>
  </w:style>
  <w:style w:type="character" w:styleId="ListLabel156" w:customStyle="1">
    <w:name w:val="ListLabel 156"/>
    <w:qFormat/>
    <w:rPr>
      <w:rFonts w:cs="Courier New"/>
    </w:rPr>
  </w:style>
  <w:style w:type="character" w:styleId="ListLabel157" w:customStyle="1">
    <w:name w:val="ListLabel 157"/>
    <w:qFormat/>
    <w:rPr>
      <w:rFonts w:cs="Courier New"/>
    </w:rPr>
  </w:style>
  <w:style w:type="character" w:styleId="ListLabel158" w:customStyle="1">
    <w:name w:val="ListLabel 158"/>
    <w:qFormat/>
    <w:rPr>
      <w:rFonts w:cs="Courier New"/>
    </w:rPr>
  </w:style>
  <w:style w:type="character" w:styleId="ListLabel159" w:customStyle="1">
    <w:name w:val="ListLabel 159"/>
    <w:qFormat/>
    <w:rPr>
      <w:rFonts w:cs="Courier New"/>
    </w:rPr>
  </w:style>
  <w:style w:type="character" w:styleId="ListLabel160" w:customStyle="1">
    <w:name w:val="ListLabel 160"/>
    <w:qFormat/>
    <w:rPr>
      <w:rFonts w:cs="Courier New"/>
    </w:rPr>
  </w:style>
  <w:style w:type="character" w:styleId="ListLabel161" w:customStyle="1">
    <w:name w:val="ListLabel 161"/>
    <w:qFormat/>
    <w:rPr>
      <w:rFonts w:cs="Courier New"/>
    </w:rPr>
  </w:style>
  <w:style w:type="character" w:styleId="ListLabel162" w:customStyle="1">
    <w:name w:val="ListLabel 162"/>
    <w:qFormat/>
    <w:rPr>
      <w:rFonts w:cs="Courier New"/>
    </w:rPr>
  </w:style>
  <w:style w:type="character" w:styleId="ListLabel163" w:customStyle="1">
    <w:name w:val="ListLabel 163"/>
    <w:qFormat/>
    <w:rPr>
      <w:rFonts w:cs="Courier New"/>
    </w:rPr>
  </w:style>
  <w:style w:type="character" w:styleId="ListLabel164" w:customStyle="1">
    <w:name w:val="ListLabel 164"/>
    <w:qFormat/>
    <w:rPr>
      <w:rFonts w:cs="Courier New"/>
    </w:rPr>
  </w:style>
  <w:style w:type="character" w:styleId="ListLabel165" w:customStyle="1">
    <w:name w:val="ListLabel 165"/>
    <w:qFormat/>
    <w:rPr>
      <w:rFonts w:cs="Courier New"/>
    </w:rPr>
  </w:style>
  <w:style w:type="character" w:styleId="ListLabel166" w:customStyle="1">
    <w:name w:val="ListLabel 166"/>
    <w:qFormat/>
    <w:rPr>
      <w:rFonts w:cs="Courier New"/>
    </w:rPr>
  </w:style>
  <w:style w:type="character" w:styleId="ListLabel167" w:customStyle="1">
    <w:name w:val="ListLabel 167"/>
    <w:qFormat/>
    <w:rPr>
      <w:rFonts w:cs="Courier New"/>
    </w:rPr>
  </w:style>
  <w:style w:type="character" w:styleId="ListLabel168" w:customStyle="1">
    <w:name w:val="ListLabel 168"/>
    <w:qFormat/>
    <w:rPr>
      <w:rFonts w:cs="Courier New"/>
    </w:rPr>
  </w:style>
  <w:style w:type="character" w:styleId="ListLabel169" w:customStyle="1">
    <w:name w:val="ListLabel 169"/>
    <w:qFormat/>
    <w:rPr>
      <w:rFonts w:cs="Courier New"/>
    </w:rPr>
  </w:style>
  <w:style w:type="character" w:styleId="ListLabel170" w:customStyle="1">
    <w:name w:val="ListLabel 170"/>
    <w:qFormat/>
    <w:rPr>
      <w:rFonts w:cs="Courier New"/>
    </w:rPr>
  </w:style>
  <w:style w:type="character" w:styleId="ListLabel171" w:customStyle="1">
    <w:name w:val="ListLabel 171"/>
    <w:qFormat/>
    <w:rPr>
      <w:rFonts w:cs="Courier New"/>
    </w:rPr>
  </w:style>
  <w:style w:type="character" w:styleId="ListLabel172" w:customStyle="1">
    <w:name w:val="ListLabel 172"/>
    <w:qFormat/>
    <w:rPr>
      <w:rFonts w:cs="Courier New"/>
    </w:rPr>
  </w:style>
  <w:style w:type="character" w:styleId="ListLabel173" w:customStyle="1">
    <w:name w:val="ListLabel 173"/>
    <w:qFormat/>
    <w:rPr>
      <w:rFonts w:cs="Courier New"/>
    </w:rPr>
  </w:style>
  <w:style w:type="character" w:styleId="ListLabel174" w:customStyle="1">
    <w:name w:val="ListLabel 174"/>
    <w:qFormat/>
    <w:rPr>
      <w:rFonts w:cs="Courier New"/>
    </w:rPr>
  </w:style>
  <w:style w:type="character" w:styleId="ListLabel175" w:customStyle="1">
    <w:name w:val="ListLabel 175"/>
    <w:qFormat/>
    <w:rPr>
      <w:rFonts w:cs="Courier New"/>
    </w:rPr>
  </w:style>
  <w:style w:type="character" w:styleId="ListLabel176" w:customStyle="1">
    <w:name w:val="ListLabel 176"/>
    <w:qFormat/>
    <w:rPr>
      <w:rFonts w:cs="Courier New"/>
    </w:rPr>
  </w:style>
  <w:style w:type="character" w:styleId="ListLabel177" w:customStyle="1">
    <w:name w:val="ListLabel 177"/>
    <w:qFormat/>
    <w:rPr>
      <w:rFonts w:cs="Courier New"/>
    </w:rPr>
  </w:style>
  <w:style w:type="character" w:styleId="ListLabel178" w:customStyle="1">
    <w:name w:val="ListLabel 178"/>
    <w:qFormat/>
    <w:rPr>
      <w:rFonts w:cs="Courier New"/>
    </w:rPr>
  </w:style>
  <w:style w:type="character" w:styleId="ListLabel179" w:customStyle="1">
    <w:name w:val="ListLabel 179"/>
    <w:qFormat/>
    <w:rPr>
      <w:rFonts w:cs="Courier New"/>
    </w:rPr>
  </w:style>
  <w:style w:type="character" w:styleId="ListLabel180" w:customStyle="1">
    <w:name w:val="ListLabel 180"/>
    <w:qFormat/>
    <w:rPr>
      <w:rFonts w:cs="Courier New"/>
    </w:rPr>
  </w:style>
  <w:style w:type="character" w:styleId="ListLabel181" w:customStyle="1">
    <w:name w:val="ListLabel 181"/>
    <w:qFormat/>
    <w:rPr>
      <w:rFonts w:cs="Courier New"/>
    </w:rPr>
  </w:style>
  <w:style w:type="character" w:styleId="ListLabel182" w:customStyle="1">
    <w:name w:val="ListLabel 182"/>
    <w:qFormat/>
    <w:rPr>
      <w:rFonts w:cs="Courier New"/>
    </w:rPr>
  </w:style>
  <w:style w:type="character" w:styleId="ListLabel183" w:customStyle="1">
    <w:name w:val="ListLabel 183"/>
    <w:qFormat/>
    <w:rPr>
      <w:rFonts w:cs="Courier New"/>
    </w:rPr>
  </w:style>
  <w:style w:type="character" w:styleId="ListLabel184" w:customStyle="1">
    <w:name w:val="ListLabel 184"/>
    <w:qFormat/>
    <w:rPr>
      <w:rFonts w:cs="Courier New"/>
    </w:rPr>
  </w:style>
  <w:style w:type="character" w:styleId="ListLabel185" w:customStyle="1">
    <w:name w:val="ListLabel 185"/>
    <w:qFormat/>
    <w:rPr>
      <w:rFonts w:cs="Courier New"/>
    </w:rPr>
  </w:style>
  <w:style w:type="character" w:styleId="ListLabel186" w:customStyle="1">
    <w:name w:val="ListLabel 186"/>
    <w:qFormat/>
    <w:rPr>
      <w:rFonts w:cs="Courier New"/>
    </w:rPr>
  </w:style>
  <w:style w:type="character" w:styleId="ListLabel187" w:customStyle="1">
    <w:name w:val="ListLabel 187"/>
    <w:qFormat/>
    <w:rPr>
      <w:rFonts w:cs="Courier New"/>
    </w:rPr>
  </w:style>
  <w:style w:type="character" w:styleId="ListLabel188" w:customStyle="1">
    <w:name w:val="ListLabel 188"/>
    <w:qFormat/>
    <w:rPr>
      <w:i w:val="false"/>
    </w:rPr>
  </w:style>
  <w:style w:type="character" w:styleId="ListLabel189" w:customStyle="1">
    <w:name w:val="ListLabel 189"/>
    <w:qFormat/>
    <w:rPr>
      <w:rFonts w:cs="Courier New"/>
    </w:rPr>
  </w:style>
  <w:style w:type="character" w:styleId="ListLabel190" w:customStyle="1">
    <w:name w:val="ListLabel 190"/>
    <w:qFormat/>
    <w:rPr>
      <w:rFonts w:cs="Courier New"/>
    </w:rPr>
  </w:style>
  <w:style w:type="character" w:styleId="ListLabel191" w:customStyle="1">
    <w:name w:val="ListLabel 191"/>
    <w:qFormat/>
    <w:rPr>
      <w:rFonts w:cs="Courier New"/>
    </w:rPr>
  </w:style>
  <w:style w:type="character" w:styleId="ListLabel192" w:customStyle="1">
    <w:name w:val="ListLabel 192"/>
    <w:qFormat/>
    <w:rPr>
      <w:rFonts w:cs="Courier New"/>
    </w:rPr>
  </w:style>
  <w:style w:type="character" w:styleId="ListLabel193" w:customStyle="1">
    <w:name w:val="ListLabel 193"/>
    <w:qFormat/>
    <w:rPr>
      <w:rFonts w:cs="Courier New"/>
    </w:rPr>
  </w:style>
  <w:style w:type="character" w:styleId="ListLabel194" w:customStyle="1">
    <w:name w:val="ListLabel 194"/>
    <w:qFormat/>
    <w:rPr>
      <w:rFonts w:cs="Courier New"/>
    </w:rPr>
  </w:style>
  <w:style w:type="character" w:styleId="ListLabel195" w:customStyle="1">
    <w:name w:val="ListLabel 195"/>
    <w:qFormat/>
    <w:rPr>
      <w:i w:val="false"/>
    </w:rPr>
  </w:style>
  <w:style w:type="character" w:styleId="ListLabel196" w:customStyle="1">
    <w:name w:val="ListLabel 196"/>
    <w:qFormat/>
    <w:rPr>
      <w:rFonts w:cs="Courier New"/>
    </w:rPr>
  </w:style>
  <w:style w:type="character" w:styleId="ListLabel197" w:customStyle="1">
    <w:name w:val="ListLabel 197"/>
    <w:qFormat/>
    <w:rPr>
      <w:rFonts w:cs="Courier New"/>
    </w:rPr>
  </w:style>
  <w:style w:type="character" w:styleId="ListLabel198" w:customStyle="1">
    <w:name w:val="ListLabel 198"/>
    <w:qFormat/>
    <w:rPr>
      <w:rFonts w:cs="Courier New"/>
    </w:rPr>
  </w:style>
  <w:style w:type="character" w:styleId="ListLabel199" w:customStyle="1">
    <w:name w:val="ListLabel 199"/>
    <w:qFormat/>
    <w:rPr>
      <w:i w:val="false"/>
    </w:rPr>
  </w:style>
  <w:style w:type="character" w:styleId="ListLabel200" w:customStyle="1">
    <w:name w:val="ListLabel 200"/>
    <w:qFormat/>
    <w:rPr>
      <w:rFonts w:cs="Courier New"/>
    </w:rPr>
  </w:style>
  <w:style w:type="character" w:styleId="ListLabel201" w:customStyle="1">
    <w:name w:val="ListLabel 201"/>
    <w:qFormat/>
    <w:rPr>
      <w:rFonts w:cs="Courier New"/>
    </w:rPr>
  </w:style>
  <w:style w:type="character" w:styleId="ListLabel202" w:customStyle="1">
    <w:name w:val="ListLabel 202"/>
    <w:qFormat/>
    <w:rPr>
      <w:rFonts w:cs="Courier New"/>
    </w:rPr>
  </w:style>
  <w:style w:type="character" w:styleId="ListLabel203" w:customStyle="1">
    <w:name w:val="ListLabel 203"/>
    <w:qFormat/>
    <w:rPr>
      <w:color w:val="FFFFFF"/>
    </w:rPr>
  </w:style>
  <w:style w:type="character" w:styleId="ListLabel204" w:customStyle="1">
    <w:name w:val="ListLabel 204"/>
    <w:qFormat/>
    <w:rPr>
      <w:rFonts w:cs="Courier New"/>
    </w:rPr>
  </w:style>
  <w:style w:type="character" w:styleId="ListLabel205" w:customStyle="1">
    <w:name w:val="ListLabel 205"/>
    <w:qFormat/>
    <w:rPr>
      <w:rFonts w:cs="Courier New"/>
    </w:rPr>
  </w:style>
  <w:style w:type="character" w:styleId="ListLabel206" w:customStyle="1">
    <w:name w:val="ListLabel 206"/>
    <w:qFormat/>
    <w:rPr>
      <w:rFonts w:cs="Courier New"/>
    </w:rPr>
  </w:style>
  <w:style w:type="character" w:styleId="ListLabel207" w:customStyle="1">
    <w:name w:val="ListLabel 207"/>
    <w:qFormat/>
    <w:rPr>
      <w:rFonts w:cs="Courier New"/>
    </w:rPr>
  </w:style>
  <w:style w:type="character" w:styleId="ListLabel208" w:customStyle="1">
    <w:name w:val="ListLabel 208"/>
    <w:qFormat/>
    <w:rPr>
      <w:rFonts w:cs="Courier New"/>
    </w:rPr>
  </w:style>
  <w:style w:type="character" w:styleId="ListLabel209" w:customStyle="1">
    <w:name w:val="ListLabel 209"/>
    <w:qFormat/>
    <w:rPr>
      <w:rFonts w:cs="Courier New"/>
    </w:rPr>
  </w:style>
  <w:style w:type="character" w:styleId="ListLabel210" w:customStyle="1">
    <w:name w:val="ListLabel 210"/>
    <w:qFormat/>
    <w:rPr>
      <w:rFonts w:cs="Courier New"/>
    </w:rPr>
  </w:style>
  <w:style w:type="character" w:styleId="ListLabel211" w:customStyle="1">
    <w:name w:val="ListLabel 211"/>
    <w:qFormat/>
    <w:rPr>
      <w:rFonts w:cs="Courier New"/>
    </w:rPr>
  </w:style>
  <w:style w:type="character" w:styleId="ListLabel212" w:customStyle="1">
    <w:name w:val="ListLabel 212"/>
    <w:qFormat/>
    <w:rPr>
      <w:rFonts w:cs="Courier New"/>
    </w:rPr>
  </w:style>
  <w:style w:type="character" w:styleId="ListLabel213" w:customStyle="1">
    <w:name w:val="ListLabel 213"/>
    <w:qFormat/>
    <w:rPr>
      <w:rFonts w:cs="Courier New"/>
    </w:rPr>
  </w:style>
  <w:style w:type="character" w:styleId="ListLabel214" w:customStyle="1">
    <w:name w:val="ListLabel 214"/>
    <w:qFormat/>
    <w:rPr>
      <w:rFonts w:cs="Courier New"/>
    </w:rPr>
  </w:style>
  <w:style w:type="character" w:styleId="ListLabel215" w:customStyle="1">
    <w:name w:val="ListLabel 215"/>
    <w:qFormat/>
    <w:rPr>
      <w:rFonts w:cs="Courier New"/>
    </w:rPr>
  </w:style>
  <w:style w:type="character" w:styleId="ListLabel216" w:customStyle="1">
    <w:name w:val="ListLabel 216"/>
    <w:qFormat/>
    <w:rPr>
      <w:rFonts w:cs="Courier New"/>
    </w:rPr>
  </w:style>
  <w:style w:type="character" w:styleId="ListLabel217" w:customStyle="1">
    <w:name w:val="ListLabel 217"/>
    <w:qFormat/>
    <w:rPr>
      <w:rFonts w:cs="Courier New"/>
    </w:rPr>
  </w:style>
  <w:style w:type="character" w:styleId="ListLabel218" w:customStyle="1">
    <w:name w:val="ListLabel 218"/>
    <w:qFormat/>
    <w:rPr>
      <w:rFonts w:cs="Courier New"/>
    </w:rPr>
  </w:style>
  <w:style w:type="character" w:styleId="ListLabel219" w:customStyle="1">
    <w:name w:val="ListLabel 219"/>
    <w:qFormat/>
    <w:rPr>
      <w:rFonts w:cs="Courier New"/>
    </w:rPr>
  </w:style>
  <w:style w:type="character" w:styleId="ListLabel220" w:customStyle="1">
    <w:name w:val="ListLabel 220"/>
    <w:qFormat/>
    <w:rPr>
      <w:rFonts w:cs="Courier New"/>
    </w:rPr>
  </w:style>
  <w:style w:type="character" w:styleId="ListLabel221" w:customStyle="1">
    <w:name w:val="ListLabel 221"/>
    <w:qFormat/>
    <w:rPr>
      <w:rFonts w:cs="Courier New"/>
    </w:rPr>
  </w:style>
  <w:style w:type="character" w:styleId="ListLabel222" w:customStyle="1">
    <w:name w:val="ListLabel 222"/>
    <w:qFormat/>
    <w:rPr>
      <w:rFonts w:cs="Courier New"/>
    </w:rPr>
  </w:style>
  <w:style w:type="character" w:styleId="ListLabel223" w:customStyle="1">
    <w:name w:val="ListLabel 223"/>
    <w:qFormat/>
    <w:rPr>
      <w:rFonts w:cs="Courier New"/>
    </w:rPr>
  </w:style>
  <w:style w:type="character" w:styleId="ListLabel224" w:customStyle="1">
    <w:name w:val="ListLabel 224"/>
    <w:qFormat/>
    <w:rPr>
      <w:rFonts w:cs="Courier New"/>
    </w:rPr>
  </w:style>
  <w:style w:type="character" w:styleId="ListLabel225" w:customStyle="1">
    <w:name w:val="ListLabel 225"/>
    <w:qFormat/>
    <w:rPr>
      <w:rFonts w:cs="Courier New"/>
    </w:rPr>
  </w:style>
  <w:style w:type="character" w:styleId="ListLabel226" w:customStyle="1">
    <w:name w:val="ListLabel 226"/>
    <w:qFormat/>
    <w:rPr>
      <w:rFonts w:cs="Courier New"/>
    </w:rPr>
  </w:style>
  <w:style w:type="character" w:styleId="ListLabel227" w:customStyle="1">
    <w:name w:val="ListLabel 227"/>
    <w:qFormat/>
    <w:rPr>
      <w:rFonts w:cs="Courier New"/>
    </w:rPr>
  </w:style>
  <w:style w:type="character" w:styleId="ListLabel228" w:customStyle="1">
    <w:name w:val="ListLabel 228"/>
    <w:qFormat/>
    <w:rPr>
      <w:rFonts w:cs="Courier New"/>
    </w:rPr>
  </w:style>
  <w:style w:type="character" w:styleId="ListLabel229" w:customStyle="1">
    <w:name w:val="ListLabel 229"/>
    <w:qFormat/>
    <w:rPr>
      <w:color w:val="FFFFFF"/>
    </w:rPr>
  </w:style>
  <w:style w:type="character" w:styleId="ListLabel230" w:customStyle="1">
    <w:name w:val="ListLabel 230"/>
    <w:qFormat/>
    <w:rPr>
      <w:color w:val="FFFFFF"/>
    </w:rPr>
  </w:style>
  <w:style w:type="character" w:styleId="ListLabel231" w:customStyle="1">
    <w:name w:val="ListLabel 231"/>
    <w:qFormat/>
    <w:rPr>
      <w:rFonts w:cs="OpenSymbol"/>
      <w:color w:val="000000"/>
      <w:sz w:val="22"/>
      <w:szCs w:val="22"/>
      <w:highlight w:val="white"/>
      <w:lang w:val="es-ES" w:eastAsia="zh-CN" w:bidi="ar-SA"/>
    </w:rPr>
  </w:style>
  <w:style w:type="character" w:styleId="ListLabel232" w:customStyle="1">
    <w:name w:val="ListLabel 232"/>
    <w:qFormat/>
    <w:rPr>
      <w:rFonts w:eastAsia="Arial" w:cs="Arial"/>
      <w:i w:val="false"/>
      <w:iCs/>
      <w:sz w:val="32"/>
      <w:szCs w:val="32"/>
    </w:rPr>
  </w:style>
  <w:style w:type="character" w:styleId="FootnoteAnchor" w:customStyle="1">
    <w:name w:val="Footnote Anchor"/>
    <w:rPr>
      <w:vertAlign w:val="superscript"/>
    </w:rPr>
  </w:style>
  <w:style w:type="character" w:styleId="EndnoteAnchor" w:customStyle="1">
    <w:name w:val="Endnote Anchor"/>
    <w:rPr>
      <w:vertAlign w:val="superscript"/>
    </w:rPr>
  </w:style>
  <w:style w:type="character" w:styleId="ListLabel233" w:customStyle="1">
    <w:name w:val="ListLabel 233"/>
    <w:qFormat/>
    <w:rPr>
      <w:b/>
      <w:color w:val="FFFFFF"/>
    </w:rPr>
  </w:style>
  <w:style w:type="character" w:styleId="ListLabel234" w:customStyle="1">
    <w:name w:val="ListLabel 234"/>
    <w:qFormat/>
    <w:rPr>
      <w:rFonts w:cs="OpenSymbol"/>
      <w:color w:val="000000"/>
      <w:sz w:val="22"/>
      <w:szCs w:val="22"/>
      <w:highlight w:val="white"/>
      <w:lang w:val="es-ES" w:eastAsia="zh-CN" w:bidi="ar-SA"/>
    </w:rPr>
  </w:style>
  <w:style w:type="character" w:styleId="ListLabel235" w:customStyle="1">
    <w:name w:val="ListLabel 235"/>
    <w:qFormat/>
    <w:rPr>
      <w:rFonts w:ascii="Courier New" w:hAnsi="Courier New" w:cs="Arial"/>
      <w:b w:val="false"/>
      <w:i w:val="false"/>
      <w:iCs/>
      <w:sz w:val="22"/>
      <w:szCs w:val="32"/>
    </w:rPr>
  </w:style>
  <w:style w:type="character" w:styleId="ListLabel236" w:customStyle="1">
    <w:name w:val="ListLabel 236"/>
    <w:qFormat/>
    <w:rPr>
      <w:rFonts w:cs="Symbol"/>
    </w:rPr>
  </w:style>
  <w:style w:type="character" w:styleId="ListLabel237" w:customStyle="1">
    <w:name w:val="ListLabel 237"/>
    <w:qFormat/>
    <w:rPr>
      <w:rFonts w:cs="Courier New"/>
    </w:rPr>
  </w:style>
  <w:style w:type="character" w:styleId="ListLabel238" w:customStyle="1">
    <w:name w:val="ListLabel 238"/>
    <w:qFormat/>
    <w:rPr>
      <w:rFonts w:cs="Wingdings"/>
    </w:rPr>
  </w:style>
  <w:style w:type="character" w:styleId="ListLabel239" w:customStyle="1">
    <w:name w:val="ListLabel 239"/>
    <w:qFormat/>
    <w:rPr>
      <w:rFonts w:cs="Symbol"/>
    </w:rPr>
  </w:style>
  <w:style w:type="character" w:styleId="ListLabel240" w:customStyle="1">
    <w:name w:val="ListLabel 240"/>
    <w:qFormat/>
    <w:rPr>
      <w:rFonts w:cs="Courier New"/>
    </w:rPr>
  </w:style>
  <w:style w:type="character" w:styleId="ListLabel241" w:customStyle="1">
    <w:name w:val="ListLabel 241"/>
    <w:qFormat/>
    <w:rPr>
      <w:rFonts w:cs="Wingdings"/>
    </w:rPr>
  </w:style>
  <w:style w:type="character" w:styleId="ListLabel242" w:customStyle="1">
    <w:name w:val="ListLabel 242"/>
    <w:qFormat/>
    <w:rPr>
      <w:rFonts w:cs="Symbol"/>
    </w:rPr>
  </w:style>
  <w:style w:type="character" w:styleId="ListLabel243" w:customStyle="1">
    <w:name w:val="ListLabel 243"/>
    <w:qFormat/>
    <w:rPr>
      <w:rFonts w:cs="Courier New"/>
    </w:rPr>
  </w:style>
  <w:style w:type="character" w:styleId="ListLabel244" w:customStyle="1">
    <w:name w:val="ListLabel 244"/>
    <w:qFormat/>
    <w:rPr>
      <w:rFonts w:cs="Wingdings"/>
    </w:rPr>
  </w:style>
  <w:style w:type="character" w:styleId="ListLabel245" w:customStyle="1">
    <w:name w:val="ListLabel 245"/>
    <w:qFormat/>
    <w:rPr>
      <w:i w:val="false"/>
    </w:rPr>
  </w:style>
  <w:style w:type="character" w:styleId="ListLabel246" w:customStyle="1">
    <w:name w:val="ListLabel 246"/>
    <w:qFormat/>
    <w:rPr>
      <w:i w:val="false"/>
    </w:rPr>
  </w:style>
  <w:style w:type="character" w:styleId="ListLabel247" w:customStyle="1">
    <w:name w:val="ListLabel 247"/>
    <w:qFormat/>
    <w:rPr>
      <w:rFonts w:cs="OpenSymbol"/>
      <w:color w:val="000000"/>
      <w:sz w:val="22"/>
      <w:szCs w:val="22"/>
      <w:highlight w:val="white"/>
      <w:lang w:val="es-ES" w:eastAsia="zh-CN" w:bidi="ar-SA"/>
    </w:rPr>
  </w:style>
  <w:style w:type="character" w:styleId="ListLabel248" w:customStyle="1">
    <w:name w:val="ListLabel 248"/>
    <w:qFormat/>
    <w:rPr>
      <w:rFonts w:eastAsia="Arial" w:cs="Arial"/>
      <w:i w:val="false"/>
      <w:iCs/>
      <w:sz w:val="32"/>
      <w:szCs w:val="32"/>
    </w:rPr>
  </w:style>
  <w:style w:type="character" w:styleId="ListLabel249" w:customStyle="1">
    <w:name w:val="ListLabel 249"/>
    <w:qFormat/>
    <w:rPr>
      <w:rFonts w:cs="Symbol"/>
    </w:rPr>
  </w:style>
  <w:style w:type="character" w:styleId="ListLabel250" w:customStyle="1">
    <w:name w:val="ListLabel 250"/>
    <w:qFormat/>
    <w:rPr>
      <w:rFonts w:cs="Courier New"/>
    </w:rPr>
  </w:style>
  <w:style w:type="character" w:styleId="ListLabel251" w:customStyle="1">
    <w:name w:val="ListLabel 251"/>
    <w:qFormat/>
    <w:rPr>
      <w:rFonts w:cs="Wingdings"/>
    </w:rPr>
  </w:style>
  <w:style w:type="character" w:styleId="ListLabel252" w:customStyle="1">
    <w:name w:val="ListLabel 252"/>
    <w:qFormat/>
    <w:rPr>
      <w:rFonts w:cs="Symbol"/>
    </w:rPr>
  </w:style>
  <w:style w:type="character" w:styleId="ListLabel253" w:customStyle="1">
    <w:name w:val="ListLabel 253"/>
    <w:qFormat/>
    <w:rPr>
      <w:rFonts w:cs="Courier New"/>
    </w:rPr>
  </w:style>
  <w:style w:type="character" w:styleId="ListLabel254" w:customStyle="1">
    <w:name w:val="ListLabel 254"/>
    <w:qFormat/>
    <w:rPr>
      <w:rFonts w:cs="Wingdings"/>
    </w:rPr>
  </w:style>
  <w:style w:type="character" w:styleId="ListLabel255" w:customStyle="1">
    <w:name w:val="ListLabel 255"/>
    <w:qFormat/>
    <w:rPr>
      <w:rFonts w:cs="Symbol"/>
    </w:rPr>
  </w:style>
  <w:style w:type="character" w:styleId="ListLabel256" w:customStyle="1">
    <w:name w:val="ListLabel 256"/>
    <w:qFormat/>
    <w:rPr>
      <w:rFonts w:cs="Courier New"/>
    </w:rPr>
  </w:style>
  <w:style w:type="character" w:styleId="ListLabel257" w:customStyle="1">
    <w:name w:val="ListLabel 257"/>
    <w:qFormat/>
    <w:rPr>
      <w:rFonts w:cs="Wingdings"/>
    </w:rPr>
  </w:style>
  <w:style w:type="character" w:styleId="ListLabel258" w:customStyle="1">
    <w:name w:val="ListLabel 258"/>
    <w:qFormat/>
    <w:rPr>
      <w:rFonts w:cs="Symbol"/>
    </w:rPr>
  </w:style>
  <w:style w:type="character" w:styleId="ListLabel259" w:customStyle="1">
    <w:name w:val="ListLabel 259"/>
    <w:qFormat/>
    <w:rPr>
      <w:rFonts w:cs="Courier New"/>
    </w:rPr>
  </w:style>
  <w:style w:type="character" w:styleId="ListLabel260" w:customStyle="1">
    <w:name w:val="ListLabel 260"/>
    <w:qFormat/>
    <w:rPr>
      <w:rFonts w:cs="Wingdings"/>
    </w:rPr>
  </w:style>
  <w:style w:type="character" w:styleId="ListLabel261" w:customStyle="1">
    <w:name w:val="ListLabel 261"/>
    <w:qFormat/>
    <w:rPr>
      <w:rFonts w:cs="Symbol"/>
    </w:rPr>
  </w:style>
  <w:style w:type="character" w:styleId="ListLabel262" w:customStyle="1">
    <w:name w:val="ListLabel 262"/>
    <w:qFormat/>
    <w:rPr>
      <w:rFonts w:cs="Courier New"/>
    </w:rPr>
  </w:style>
  <w:style w:type="character" w:styleId="ListLabel263" w:customStyle="1">
    <w:name w:val="ListLabel 263"/>
    <w:qFormat/>
    <w:rPr>
      <w:rFonts w:cs="Wingdings"/>
    </w:rPr>
  </w:style>
  <w:style w:type="character" w:styleId="ListLabel264" w:customStyle="1">
    <w:name w:val="ListLabel 264"/>
    <w:qFormat/>
    <w:rPr>
      <w:rFonts w:cs="Symbol"/>
    </w:rPr>
  </w:style>
  <w:style w:type="character" w:styleId="ListLabel265" w:customStyle="1">
    <w:name w:val="ListLabel 265"/>
    <w:qFormat/>
    <w:rPr>
      <w:rFonts w:cs="Courier New"/>
    </w:rPr>
  </w:style>
  <w:style w:type="character" w:styleId="ListLabel266" w:customStyle="1">
    <w:name w:val="ListLabel 266"/>
    <w:qFormat/>
    <w:rPr>
      <w:rFonts w:cs="Wingdings"/>
    </w:rPr>
  </w:style>
  <w:style w:type="character" w:styleId="ListLabel267" w:customStyle="1">
    <w:name w:val="ListLabel 267"/>
    <w:qFormat/>
    <w:rPr>
      <w:rFonts w:ascii="Arial" w:hAnsi="Arial" w:cs="Symbol"/>
      <w:sz w:val="22"/>
    </w:rPr>
  </w:style>
  <w:style w:type="character" w:styleId="ListLabel268" w:customStyle="1">
    <w:name w:val="ListLabel 268"/>
    <w:qFormat/>
    <w:rPr>
      <w:rFonts w:cs="Courier New"/>
    </w:rPr>
  </w:style>
  <w:style w:type="character" w:styleId="ListLabel269" w:customStyle="1">
    <w:name w:val="ListLabel 269"/>
    <w:qFormat/>
    <w:rPr>
      <w:rFonts w:cs="Wingdings"/>
    </w:rPr>
  </w:style>
  <w:style w:type="character" w:styleId="ListLabel270" w:customStyle="1">
    <w:name w:val="ListLabel 270"/>
    <w:qFormat/>
    <w:rPr>
      <w:rFonts w:cs="Symbol"/>
    </w:rPr>
  </w:style>
  <w:style w:type="character" w:styleId="ListLabel271" w:customStyle="1">
    <w:name w:val="ListLabel 271"/>
    <w:qFormat/>
    <w:rPr>
      <w:rFonts w:cs="Courier New"/>
    </w:rPr>
  </w:style>
  <w:style w:type="character" w:styleId="ListLabel272" w:customStyle="1">
    <w:name w:val="ListLabel 272"/>
    <w:qFormat/>
    <w:rPr>
      <w:rFonts w:cs="Wingdings"/>
    </w:rPr>
  </w:style>
  <w:style w:type="character" w:styleId="ListLabel273" w:customStyle="1">
    <w:name w:val="ListLabel 273"/>
    <w:qFormat/>
    <w:rPr>
      <w:rFonts w:cs="Symbol"/>
    </w:rPr>
  </w:style>
  <w:style w:type="character" w:styleId="ListLabel274" w:customStyle="1">
    <w:name w:val="ListLabel 274"/>
    <w:qFormat/>
    <w:rPr>
      <w:rFonts w:cs="Courier New"/>
    </w:rPr>
  </w:style>
  <w:style w:type="character" w:styleId="ListLabel275" w:customStyle="1">
    <w:name w:val="ListLabel 275"/>
    <w:qFormat/>
    <w:rPr>
      <w:rFonts w:cs="Wingdings"/>
    </w:rPr>
  </w:style>
  <w:style w:type="character" w:styleId="ListLabel276" w:customStyle="1">
    <w:name w:val="ListLabel 276"/>
    <w:qFormat/>
    <w:rPr>
      <w:rFonts w:cs="Symbol"/>
    </w:rPr>
  </w:style>
  <w:style w:type="character" w:styleId="ListLabel277" w:customStyle="1">
    <w:name w:val="ListLabel 277"/>
    <w:qFormat/>
    <w:rPr>
      <w:rFonts w:cs="Courier New"/>
    </w:rPr>
  </w:style>
  <w:style w:type="character" w:styleId="ListLabel278" w:customStyle="1">
    <w:name w:val="ListLabel 278"/>
    <w:qFormat/>
    <w:rPr>
      <w:rFonts w:cs="Wingdings"/>
    </w:rPr>
  </w:style>
  <w:style w:type="character" w:styleId="ListLabel279" w:customStyle="1">
    <w:name w:val="ListLabel 279"/>
    <w:qFormat/>
    <w:rPr>
      <w:rFonts w:cs="Symbol"/>
    </w:rPr>
  </w:style>
  <w:style w:type="character" w:styleId="ListLabel280" w:customStyle="1">
    <w:name w:val="ListLabel 280"/>
    <w:qFormat/>
    <w:rPr>
      <w:rFonts w:cs="Courier New"/>
    </w:rPr>
  </w:style>
  <w:style w:type="character" w:styleId="ListLabel281" w:customStyle="1">
    <w:name w:val="ListLabel 281"/>
    <w:qFormat/>
    <w:rPr>
      <w:rFonts w:cs="Wingdings"/>
    </w:rPr>
  </w:style>
  <w:style w:type="character" w:styleId="ListLabel282" w:customStyle="1">
    <w:name w:val="ListLabel 282"/>
    <w:qFormat/>
    <w:rPr>
      <w:rFonts w:cs="Symbol"/>
    </w:rPr>
  </w:style>
  <w:style w:type="character" w:styleId="ListLabel283" w:customStyle="1">
    <w:name w:val="ListLabel 283"/>
    <w:qFormat/>
    <w:rPr>
      <w:rFonts w:cs="Courier New"/>
    </w:rPr>
  </w:style>
  <w:style w:type="character" w:styleId="ListLabel284" w:customStyle="1">
    <w:name w:val="ListLabel 284"/>
    <w:qFormat/>
    <w:rPr>
      <w:rFonts w:cs="Wingdings"/>
    </w:rPr>
  </w:style>
  <w:style w:type="character" w:styleId="ListLabel285" w:customStyle="1">
    <w:name w:val="ListLabel 285"/>
    <w:qFormat/>
    <w:rPr>
      <w:rFonts w:cs="Symbol"/>
    </w:rPr>
  </w:style>
  <w:style w:type="character" w:styleId="ListLabel286" w:customStyle="1">
    <w:name w:val="ListLabel 286"/>
    <w:qFormat/>
    <w:rPr>
      <w:rFonts w:cs="Courier New"/>
    </w:rPr>
  </w:style>
  <w:style w:type="character" w:styleId="ListLabel287" w:customStyle="1">
    <w:name w:val="ListLabel 287"/>
    <w:qFormat/>
    <w:rPr>
      <w:rFonts w:cs="Wingdings"/>
    </w:rPr>
  </w:style>
  <w:style w:type="character" w:styleId="ListLabel288" w:customStyle="1">
    <w:name w:val="ListLabel 288"/>
    <w:qFormat/>
    <w:rPr>
      <w:rFonts w:cs="Symbol"/>
    </w:rPr>
  </w:style>
  <w:style w:type="character" w:styleId="ListLabel289" w:customStyle="1">
    <w:name w:val="ListLabel 289"/>
    <w:qFormat/>
    <w:rPr>
      <w:rFonts w:cs="Courier New"/>
    </w:rPr>
  </w:style>
  <w:style w:type="character" w:styleId="ListLabel290" w:customStyle="1">
    <w:name w:val="ListLabel 290"/>
    <w:qFormat/>
    <w:rPr>
      <w:rFonts w:cs="Wingdings"/>
    </w:rPr>
  </w:style>
  <w:style w:type="character" w:styleId="ListLabel291" w:customStyle="1">
    <w:name w:val="ListLabel 291"/>
    <w:qFormat/>
    <w:rPr>
      <w:rFonts w:cs="Symbol"/>
    </w:rPr>
  </w:style>
  <w:style w:type="character" w:styleId="ListLabel292" w:customStyle="1">
    <w:name w:val="ListLabel 292"/>
    <w:qFormat/>
    <w:rPr>
      <w:rFonts w:cs="Courier New"/>
    </w:rPr>
  </w:style>
  <w:style w:type="character" w:styleId="ListLabel293" w:customStyle="1">
    <w:name w:val="ListLabel 293"/>
    <w:qFormat/>
    <w:rPr>
      <w:rFonts w:cs="Wingdings"/>
    </w:rPr>
  </w:style>
  <w:style w:type="character" w:styleId="ListLabel294" w:customStyle="1">
    <w:name w:val="ListLabel 294"/>
    <w:qFormat/>
    <w:rPr>
      <w:sz w:val="22"/>
    </w:rPr>
  </w:style>
  <w:style w:type="character" w:styleId="ListLabel295" w:customStyle="1">
    <w:name w:val="ListLabel 295"/>
    <w:qFormat/>
    <w:rPr>
      <w:rFonts w:cs="Symbol"/>
    </w:rPr>
  </w:style>
  <w:style w:type="character" w:styleId="ListLabel296" w:customStyle="1">
    <w:name w:val="ListLabel 296"/>
    <w:qFormat/>
    <w:rPr>
      <w:rFonts w:cs="Courier New"/>
    </w:rPr>
  </w:style>
  <w:style w:type="character" w:styleId="ListLabel297" w:customStyle="1">
    <w:name w:val="ListLabel 297"/>
    <w:qFormat/>
    <w:rPr>
      <w:rFonts w:cs="Wingdings"/>
    </w:rPr>
  </w:style>
  <w:style w:type="character" w:styleId="ListLabel298" w:customStyle="1">
    <w:name w:val="ListLabel 298"/>
    <w:qFormat/>
    <w:rPr>
      <w:rFonts w:cs="Symbol"/>
    </w:rPr>
  </w:style>
  <w:style w:type="character" w:styleId="ListLabel299" w:customStyle="1">
    <w:name w:val="ListLabel 299"/>
    <w:qFormat/>
    <w:rPr>
      <w:rFonts w:cs="Courier New"/>
    </w:rPr>
  </w:style>
  <w:style w:type="character" w:styleId="ListLabel300" w:customStyle="1">
    <w:name w:val="ListLabel 300"/>
    <w:qFormat/>
    <w:rPr>
      <w:rFonts w:cs="Wingdings"/>
    </w:rPr>
  </w:style>
  <w:style w:type="character" w:styleId="ListLabel301" w:customStyle="1">
    <w:name w:val="ListLabel 301"/>
    <w:qFormat/>
    <w:rPr>
      <w:rFonts w:cs="Symbol"/>
    </w:rPr>
  </w:style>
  <w:style w:type="character" w:styleId="ListLabel302" w:customStyle="1">
    <w:name w:val="ListLabel 302"/>
    <w:qFormat/>
    <w:rPr>
      <w:rFonts w:cs="Courier New"/>
    </w:rPr>
  </w:style>
  <w:style w:type="character" w:styleId="ListLabel303" w:customStyle="1">
    <w:name w:val="ListLabel 303"/>
    <w:qFormat/>
    <w:rPr>
      <w:rFonts w:cs="Wingdings"/>
    </w:rPr>
  </w:style>
  <w:style w:type="character" w:styleId="ListLabel304" w:customStyle="1">
    <w:name w:val="ListLabel 304"/>
    <w:qFormat/>
    <w:rPr>
      <w:rFonts w:cs="Symbol"/>
    </w:rPr>
  </w:style>
  <w:style w:type="character" w:styleId="ListLabel305" w:customStyle="1">
    <w:name w:val="ListLabel 305"/>
    <w:qFormat/>
    <w:rPr>
      <w:rFonts w:cs="Courier New"/>
    </w:rPr>
  </w:style>
  <w:style w:type="character" w:styleId="ListLabel306" w:customStyle="1">
    <w:name w:val="ListLabel 306"/>
    <w:qFormat/>
    <w:rPr>
      <w:rFonts w:cs="Wingdings"/>
    </w:rPr>
  </w:style>
  <w:style w:type="character" w:styleId="ListLabel307" w:customStyle="1">
    <w:name w:val="ListLabel 307"/>
    <w:qFormat/>
    <w:rPr>
      <w:rFonts w:cs="Symbol"/>
    </w:rPr>
  </w:style>
  <w:style w:type="character" w:styleId="ListLabel308" w:customStyle="1">
    <w:name w:val="ListLabel 308"/>
    <w:qFormat/>
    <w:rPr>
      <w:rFonts w:cs="Courier New"/>
    </w:rPr>
  </w:style>
  <w:style w:type="character" w:styleId="ListLabel309" w:customStyle="1">
    <w:name w:val="ListLabel 309"/>
    <w:qFormat/>
    <w:rPr>
      <w:rFonts w:cs="Wingdings"/>
    </w:rPr>
  </w:style>
  <w:style w:type="character" w:styleId="ListLabel310" w:customStyle="1">
    <w:name w:val="ListLabel 310"/>
    <w:qFormat/>
    <w:rPr>
      <w:rFonts w:cs="Symbol"/>
    </w:rPr>
  </w:style>
  <w:style w:type="character" w:styleId="ListLabel311" w:customStyle="1">
    <w:name w:val="ListLabel 311"/>
    <w:qFormat/>
    <w:rPr>
      <w:rFonts w:cs="Courier New"/>
    </w:rPr>
  </w:style>
  <w:style w:type="character" w:styleId="ListLabel312" w:customStyle="1">
    <w:name w:val="ListLabel 312"/>
    <w:qFormat/>
    <w:rPr>
      <w:rFonts w:cs="Wingdings"/>
    </w:rPr>
  </w:style>
  <w:style w:type="character" w:styleId="ListLabel313" w:customStyle="1">
    <w:name w:val="ListLabel 313"/>
    <w:qFormat/>
    <w:rPr>
      <w:rFonts w:cs="Symbol"/>
    </w:rPr>
  </w:style>
  <w:style w:type="character" w:styleId="ListLabel314" w:customStyle="1">
    <w:name w:val="ListLabel 314"/>
    <w:qFormat/>
    <w:rPr>
      <w:rFonts w:cs="Courier New"/>
    </w:rPr>
  </w:style>
  <w:style w:type="character" w:styleId="ListLabel315" w:customStyle="1">
    <w:name w:val="ListLabel 315"/>
    <w:qFormat/>
    <w:rPr>
      <w:rFonts w:cs="Wingdings"/>
    </w:rPr>
  </w:style>
  <w:style w:type="character" w:styleId="ListLabel316" w:customStyle="1">
    <w:name w:val="ListLabel 316"/>
    <w:qFormat/>
    <w:rPr>
      <w:rFonts w:cs="Symbol"/>
    </w:rPr>
  </w:style>
  <w:style w:type="character" w:styleId="ListLabel317" w:customStyle="1">
    <w:name w:val="ListLabel 317"/>
    <w:qFormat/>
    <w:rPr>
      <w:rFonts w:cs="Courier New"/>
    </w:rPr>
  </w:style>
  <w:style w:type="character" w:styleId="ListLabel318" w:customStyle="1">
    <w:name w:val="ListLabel 318"/>
    <w:qFormat/>
    <w:rPr>
      <w:rFonts w:cs="Wingdings"/>
    </w:rPr>
  </w:style>
  <w:style w:type="character" w:styleId="ListLabel319" w:customStyle="1">
    <w:name w:val="ListLabel 319"/>
    <w:qFormat/>
    <w:rPr>
      <w:rFonts w:cs="Symbol"/>
    </w:rPr>
  </w:style>
  <w:style w:type="character" w:styleId="ListLabel320" w:customStyle="1">
    <w:name w:val="ListLabel 320"/>
    <w:qFormat/>
    <w:rPr>
      <w:rFonts w:cs="Courier New"/>
    </w:rPr>
  </w:style>
  <w:style w:type="character" w:styleId="ListLabel321" w:customStyle="1">
    <w:name w:val="ListLabel 321"/>
    <w:qFormat/>
    <w:rPr>
      <w:rFonts w:cs="Wingdings"/>
    </w:rPr>
  </w:style>
  <w:style w:type="character" w:styleId="ListLabel322" w:customStyle="1">
    <w:name w:val="ListLabel 322"/>
    <w:qFormat/>
    <w:rPr>
      <w:rFonts w:cs="Symbol"/>
    </w:rPr>
  </w:style>
  <w:style w:type="character" w:styleId="ListLabel323" w:customStyle="1">
    <w:name w:val="ListLabel 323"/>
    <w:qFormat/>
    <w:rPr>
      <w:rFonts w:cs="Symbol"/>
    </w:rPr>
  </w:style>
  <w:style w:type="character" w:styleId="ListLabel324" w:customStyle="1">
    <w:name w:val="ListLabel 324"/>
    <w:qFormat/>
    <w:rPr>
      <w:rFonts w:cs="Wingdings"/>
    </w:rPr>
  </w:style>
  <w:style w:type="character" w:styleId="ListLabel325" w:customStyle="1">
    <w:name w:val="ListLabel 325"/>
    <w:qFormat/>
    <w:rPr>
      <w:rFonts w:cs="Symbol"/>
    </w:rPr>
  </w:style>
  <w:style w:type="character" w:styleId="ListLabel326" w:customStyle="1">
    <w:name w:val="ListLabel 326"/>
    <w:qFormat/>
    <w:rPr>
      <w:rFonts w:cs="Courier New"/>
    </w:rPr>
  </w:style>
  <w:style w:type="character" w:styleId="ListLabel327" w:customStyle="1">
    <w:name w:val="ListLabel 327"/>
    <w:qFormat/>
    <w:rPr>
      <w:rFonts w:cs="Wingdings"/>
    </w:rPr>
  </w:style>
  <w:style w:type="character" w:styleId="ListLabel328" w:customStyle="1">
    <w:name w:val="ListLabel 328"/>
    <w:qFormat/>
    <w:rPr>
      <w:rFonts w:cs="Symbol"/>
    </w:rPr>
  </w:style>
  <w:style w:type="character" w:styleId="ListLabel329" w:customStyle="1">
    <w:name w:val="ListLabel 329"/>
    <w:qFormat/>
    <w:rPr>
      <w:rFonts w:cs="Courier New"/>
    </w:rPr>
  </w:style>
  <w:style w:type="character" w:styleId="ListLabel330" w:customStyle="1">
    <w:name w:val="ListLabel 330"/>
    <w:qFormat/>
    <w:rPr>
      <w:rFonts w:cs="Wingdings"/>
    </w:rPr>
  </w:style>
  <w:style w:type="character" w:styleId="ListLabel331" w:customStyle="1">
    <w:name w:val="ListLabel 331"/>
    <w:qFormat/>
    <w:rPr>
      <w:rFonts w:cs="Symbol"/>
    </w:rPr>
  </w:style>
  <w:style w:type="character" w:styleId="ListLabel332" w:customStyle="1">
    <w:name w:val="ListLabel 332"/>
    <w:qFormat/>
    <w:rPr>
      <w:rFonts w:cs="Courier New"/>
    </w:rPr>
  </w:style>
  <w:style w:type="character" w:styleId="ListLabel333" w:customStyle="1">
    <w:name w:val="ListLabel 333"/>
    <w:qFormat/>
    <w:rPr>
      <w:rFonts w:cs="Wingdings"/>
    </w:rPr>
  </w:style>
  <w:style w:type="character" w:styleId="ListLabel334" w:customStyle="1">
    <w:name w:val="ListLabel 334"/>
    <w:qFormat/>
    <w:rPr>
      <w:rFonts w:cs="Symbol"/>
    </w:rPr>
  </w:style>
  <w:style w:type="character" w:styleId="ListLabel335" w:customStyle="1">
    <w:name w:val="ListLabel 335"/>
    <w:qFormat/>
    <w:rPr>
      <w:rFonts w:cs="Courier New"/>
    </w:rPr>
  </w:style>
  <w:style w:type="character" w:styleId="ListLabel336" w:customStyle="1">
    <w:name w:val="ListLabel 336"/>
    <w:qFormat/>
    <w:rPr>
      <w:rFonts w:cs="Wingdings"/>
    </w:rPr>
  </w:style>
  <w:style w:type="character" w:styleId="ListLabel337" w:customStyle="1">
    <w:name w:val="ListLabel 337"/>
    <w:qFormat/>
    <w:rPr>
      <w:rFonts w:cs="Symbol"/>
    </w:rPr>
  </w:style>
  <w:style w:type="character" w:styleId="ListLabel338" w:customStyle="1">
    <w:name w:val="ListLabel 338"/>
    <w:qFormat/>
    <w:rPr>
      <w:rFonts w:cs="Courier New"/>
    </w:rPr>
  </w:style>
  <w:style w:type="character" w:styleId="ListLabel339" w:customStyle="1">
    <w:name w:val="ListLabel 339"/>
    <w:qFormat/>
    <w:rPr>
      <w:rFonts w:cs="Wingdings"/>
    </w:rPr>
  </w:style>
  <w:style w:type="character" w:styleId="ListLabel340" w:customStyle="1">
    <w:name w:val="ListLabel 340"/>
    <w:qFormat/>
    <w:rPr>
      <w:sz w:val="22"/>
    </w:rPr>
  </w:style>
  <w:style w:type="character" w:styleId="ListLabel341" w:customStyle="1">
    <w:name w:val="ListLabel 341"/>
    <w:qFormat/>
    <w:rPr>
      <w:rFonts w:cs="Symbol"/>
    </w:rPr>
  </w:style>
  <w:style w:type="character" w:styleId="ListLabel342" w:customStyle="1">
    <w:name w:val="ListLabel 342"/>
    <w:qFormat/>
    <w:rPr>
      <w:rFonts w:cs="Courier New"/>
    </w:rPr>
  </w:style>
  <w:style w:type="character" w:styleId="ListLabel343" w:customStyle="1">
    <w:name w:val="ListLabel 343"/>
    <w:qFormat/>
    <w:rPr>
      <w:rFonts w:cs="Wingdings"/>
    </w:rPr>
  </w:style>
  <w:style w:type="character" w:styleId="ListLabel344" w:customStyle="1">
    <w:name w:val="ListLabel 344"/>
    <w:qFormat/>
    <w:rPr>
      <w:rFonts w:cs="Symbol"/>
    </w:rPr>
  </w:style>
  <w:style w:type="character" w:styleId="ListLabel345" w:customStyle="1">
    <w:name w:val="ListLabel 345"/>
    <w:qFormat/>
    <w:rPr>
      <w:rFonts w:cs="Courier New"/>
    </w:rPr>
  </w:style>
  <w:style w:type="character" w:styleId="ListLabel346" w:customStyle="1">
    <w:name w:val="ListLabel 346"/>
    <w:qFormat/>
    <w:rPr>
      <w:rFonts w:cs="Wingdings"/>
    </w:rPr>
  </w:style>
  <w:style w:type="character" w:styleId="ListLabel347" w:customStyle="1">
    <w:name w:val="ListLabel 347"/>
    <w:qFormat/>
    <w:rPr>
      <w:rFonts w:cs="Symbol"/>
    </w:rPr>
  </w:style>
  <w:style w:type="character" w:styleId="ListLabel348" w:customStyle="1">
    <w:name w:val="ListLabel 348"/>
    <w:qFormat/>
    <w:rPr>
      <w:rFonts w:cs="Courier New"/>
    </w:rPr>
  </w:style>
  <w:style w:type="character" w:styleId="ListLabel349" w:customStyle="1">
    <w:name w:val="ListLabel 349"/>
    <w:qFormat/>
    <w:rPr>
      <w:rFonts w:cs="Wingdings"/>
    </w:rPr>
  </w:style>
  <w:style w:type="character" w:styleId="ListLabel350" w:customStyle="1">
    <w:name w:val="ListLabel 350"/>
    <w:qFormat/>
    <w:rPr>
      <w:rFonts w:cs="Symbol"/>
    </w:rPr>
  </w:style>
  <w:style w:type="character" w:styleId="ListLabel351" w:customStyle="1">
    <w:name w:val="ListLabel 351"/>
    <w:qFormat/>
    <w:rPr>
      <w:rFonts w:cs="Courier New"/>
    </w:rPr>
  </w:style>
  <w:style w:type="character" w:styleId="ListLabel352" w:customStyle="1">
    <w:name w:val="ListLabel 352"/>
    <w:qFormat/>
    <w:rPr>
      <w:rFonts w:cs="Wingdings"/>
    </w:rPr>
  </w:style>
  <w:style w:type="character" w:styleId="ListLabel353" w:customStyle="1">
    <w:name w:val="ListLabel 353"/>
    <w:qFormat/>
    <w:rPr>
      <w:rFonts w:cs="Symbol"/>
    </w:rPr>
  </w:style>
  <w:style w:type="character" w:styleId="ListLabel354" w:customStyle="1">
    <w:name w:val="ListLabel 354"/>
    <w:qFormat/>
    <w:rPr>
      <w:rFonts w:cs="Courier New"/>
    </w:rPr>
  </w:style>
  <w:style w:type="character" w:styleId="ListLabel355" w:customStyle="1">
    <w:name w:val="ListLabel 355"/>
    <w:qFormat/>
    <w:rPr>
      <w:rFonts w:cs="Wingdings"/>
    </w:rPr>
  </w:style>
  <w:style w:type="character" w:styleId="ListLabel356" w:customStyle="1">
    <w:name w:val="ListLabel 356"/>
    <w:qFormat/>
    <w:rPr>
      <w:rFonts w:cs="Symbol"/>
    </w:rPr>
  </w:style>
  <w:style w:type="character" w:styleId="ListLabel357" w:customStyle="1">
    <w:name w:val="ListLabel 357"/>
    <w:qFormat/>
    <w:rPr>
      <w:rFonts w:cs="Courier New"/>
    </w:rPr>
  </w:style>
  <w:style w:type="character" w:styleId="ListLabel358" w:customStyle="1">
    <w:name w:val="ListLabel 358"/>
    <w:qFormat/>
    <w:rPr>
      <w:rFonts w:cs="Wingdings"/>
    </w:rPr>
  </w:style>
  <w:style w:type="character" w:styleId="ListLabel359" w:customStyle="1">
    <w:name w:val="ListLabel 359"/>
    <w:qFormat/>
    <w:rPr>
      <w:rFonts w:cs="Symbol"/>
    </w:rPr>
  </w:style>
  <w:style w:type="character" w:styleId="ListLabel360" w:customStyle="1">
    <w:name w:val="ListLabel 360"/>
    <w:qFormat/>
    <w:rPr>
      <w:rFonts w:cs="Courier New"/>
    </w:rPr>
  </w:style>
  <w:style w:type="character" w:styleId="ListLabel361" w:customStyle="1">
    <w:name w:val="ListLabel 361"/>
    <w:qFormat/>
    <w:rPr>
      <w:rFonts w:cs="Wingdings"/>
    </w:rPr>
  </w:style>
  <w:style w:type="character" w:styleId="ListLabel362" w:customStyle="1">
    <w:name w:val="ListLabel 362"/>
    <w:qFormat/>
    <w:rPr>
      <w:rFonts w:cs="Symbol"/>
    </w:rPr>
  </w:style>
  <w:style w:type="character" w:styleId="ListLabel363" w:customStyle="1">
    <w:name w:val="ListLabel 363"/>
    <w:qFormat/>
    <w:rPr>
      <w:rFonts w:cs="Courier New"/>
    </w:rPr>
  </w:style>
  <w:style w:type="character" w:styleId="ListLabel364" w:customStyle="1">
    <w:name w:val="ListLabel 364"/>
    <w:qFormat/>
    <w:rPr>
      <w:rFonts w:cs="Wingdings"/>
    </w:rPr>
  </w:style>
  <w:style w:type="character" w:styleId="ListLabel365" w:customStyle="1">
    <w:name w:val="ListLabel 365"/>
    <w:qFormat/>
    <w:rPr>
      <w:rFonts w:cs="Symbol"/>
    </w:rPr>
  </w:style>
  <w:style w:type="character" w:styleId="ListLabel366" w:customStyle="1">
    <w:name w:val="ListLabel 366"/>
    <w:qFormat/>
    <w:rPr>
      <w:rFonts w:cs="Courier New"/>
    </w:rPr>
  </w:style>
  <w:style w:type="character" w:styleId="ListLabel367" w:customStyle="1">
    <w:name w:val="ListLabel 367"/>
    <w:qFormat/>
    <w:rPr>
      <w:rFonts w:cs="Wingdings"/>
    </w:rPr>
  </w:style>
  <w:style w:type="character" w:styleId="ListLabel368" w:customStyle="1">
    <w:name w:val="ListLabel 368"/>
    <w:qFormat/>
    <w:rPr>
      <w:rFonts w:cs="Symbol"/>
    </w:rPr>
  </w:style>
  <w:style w:type="character" w:styleId="ListLabel369" w:customStyle="1">
    <w:name w:val="ListLabel 369"/>
    <w:qFormat/>
    <w:rPr>
      <w:rFonts w:cs="Wingdings"/>
    </w:rPr>
  </w:style>
  <w:style w:type="character" w:styleId="ListLabel370" w:customStyle="1">
    <w:name w:val="ListLabel 370"/>
    <w:qFormat/>
    <w:rPr>
      <w:rFonts w:cs="Symbol"/>
    </w:rPr>
  </w:style>
  <w:style w:type="character" w:styleId="ListLabel371" w:customStyle="1">
    <w:name w:val="ListLabel 371"/>
    <w:qFormat/>
    <w:rPr>
      <w:rFonts w:cs="Courier New"/>
    </w:rPr>
  </w:style>
  <w:style w:type="character" w:styleId="ListLabel372" w:customStyle="1">
    <w:name w:val="ListLabel 372"/>
    <w:qFormat/>
    <w:rPr>
      <w:rFonts w:cs="Wingdings"/>
    </w:rPr>
  </w:style>
  <w:style w:type="character" w:styleId="ListLabel373" w:customStyle="1">
    <w:name w:val="ListLabel 373"/>
    <w:qFormat/>
    <w:rPr>
      <w:rFonts w:cs="Symbol"/>
    </w:rPr>
  </w:style>
  <w:style w:type="character" w:styleId="ListLabel374" w:customStyle="1">
    <w:name w:val="ListLabel 374"/>
    <w:qFormat/>
    <w:rPr>
      <w:rFonts w:cs="Courier New"/>
    </w:rPr>
  </w:style>
  <w:style w:type="character" w:styleId="ListLabel375" w:customStyle="1">
    <w:name w:val="ListLabel 375"/>
    <w:qFormat/>
    <w:rPr>
      <w:rFonts w:cs="Wingdings"/>
    </w:rPr>
  </w:style>
  <w:style w:type="character" w:styleId="ListLabel376" w:customStyle="1">
    <w:name w:val="ListLabel 376"/>
    <w:qFormat/>
    <w:rPr>
      <w:rFonts w:cs="Symbol"/>
    </w:rPr>
  </w:style>
  <w:style w:type="character" w:styleId="ListLabel377" w:customStyle="1">
    <w:name w:val="ListLabel 377"/>
    <w:qFormat/>
    <w:rPr>
      <w:rFonts w:cs="Courier New"/>
    </w:rPr>
  </w:style>
  <w:style w:type="character" w:styleId="ListLabel378" w:customStyle="1">
    <w:name w:val="ListLabel 378"/>
    <w:qFormat/>
    <w:rPr>
      <w:rFonts w:cs="Wingdings"/>
    </w:rPr>
  </w:style>
  <w:style w:type="character" w:styleId="ListLabel379" w:customStyle="1">
    <w:name w:val="ListLabel 379"/>
    <w:qFormat/>
    <w:rPr>
      <w:rFonts w:cs="Symbol"/>
    </w:rPr>
  </w:style>
  <w:style w:type="character" w:styleId="ListLabel380" w:customStyle="1">
    <w:name w:val="ListLabel 380"/>
    <w:qFormat/>
    <w:rPr>
      <w:rFonts w:cs="Courier New"/>
    </w:rPr>
  </w:style>
  <w:style w:type="character" w:styleId="ListLabel381" w:customStyle="1">
    <w:name w:val="ListLabel 381"/>
    <w:qFormat/>
    <w:rPr>
      <w:rFonts w:cs="Wingdings"/>
    </w:rPr>
  </w:style>
  <w:style w:type="character" w:styleId="ListLabel382" w:customStyle="1">
    <w:name w:val="ListLabel 382"/>
    <w:qFormat/>
    <w:rPr>
      <w:rFonts w:cs="Symbol"/>
    </w:rPr>
  </w:style>
  <w:style w:type="character" w:styleId="ListLabel383" w:customStyle="1">
    <w:name w:val="ListLabel 383"/>
    <w:qFormat/>
    <w:rPr>
      <w:rFonts w:cs="Courier New"/>
    </w:rPr>
  </w:style>
  <w:style w:type="character" w:styleId="ListLabel384" w:customStyle="1">
    <w:name w:val="ListLabel 384"/>
    <w:qFormat/>
    <w:rPr>
      <w:rFonts w:cs="Wingdings"/>
    </w:rPr>
  </w:style>
  <w:style w:type="character" w:styleId="ListLabel385" w:customStyle="1">
    <w:name w:val="ListLabel 385"/>
    <w:qFormat/>
    <w:rPr>
      <w:rFonts w:cs="Symbol"/>
    </w:rPr>
  </w:style>
  <w:style w:type="character" w:styleId="ListLabel386" w:customStyle="1">
    <w:name w:val="ListLabel 386"/>
    <w:qFormat/>
    <w:rPr>
      <w:rFonts w:cs="Courier New"/>
    </w:rPr>
  </w:style>
  <w:style w:type="character" w:styleId="ListLabel387" w:customStyle="1">
    <w:name w:val="ListLabel 387"/>
    <w:qFormat/>
    <w:rPr>
      <w:rFonts w:cs="Wingdings"/>
    </w:rPr>
  </w:style>
  <w:style w:type="character" w:styleId="ListLabel388" w:customStyle="1">
    <w:name w:val="ListLabel 388"/>
    <w:qFormat/>
    <w:rPr>
      <w:rFonts w:cs="Symbol"/>
    </w:rPr>
  </w:style>
  <w:style w:type="character" w:styleId="ListLabel389" w:customStyle="1">
    <w:name w:val="ListLabel 389"/>
    <w:qFormat/>
    <w:rPr>
      <w:rFonts w:cs="Courier New"/>
    </w:rPr>
  </w:style>
  <w:style w:type="character" w:styleId="ListLabel390" w:customStyle="1">
    <w:name w:val="ListLabel 390"/>
    <w:qFormat/>
    <w:rPr>
      <w:rFonts w:cs="Wingdings"/>
    </w:rPr>
  </w:style>
  <w:style w:type="character" w:styleId="ListLabel391" w:customStyle="1">
    <w:name w:val="ListLabel 391"/>
    <w:qFormat/>
    <w:rPr>
      <w:rFonts w:cs="Symbol"/>
    </w:rPr>
  </w:style>
  <w:style w:type="character" w:styleId="ListLabel392" w:customStyle="1">
    <w:name w:val="ListLabel 392"/>
    <w:qFormat/>
    <w:rPr>
      <w:rFonts w:cs="Courier New"/>
    </w:rPr>
  </w:style>
  <w:style w:type="character" w:styleId="ListLabel393" w:customStyle="1">
    <w:name w:val="ListLabel 393"/>
    <w:qFormat/>
    <w:rPr>
      <w:rFonts w:cs="Wingdings"/>
    </w:rPr>
  </w:style>
  <w:style w:type="character" w:styleId="ListLabel394" w:customStyle="1">
    <w:name w:val="ListLabel 394"/>
    <w:qFormat/>
    <w:rPr>
      <w:rFonts w:cs="Symbol"/>
    </w:rPr>
  </w:style>
  <w:style w:type="character" w:styleId="ListLabel395" w:customStyle="1">
    <w:name w:val="ListLabel 395"/>
    <w:qFormat/>
    <w:rPr>
      <w:rFonts w:cs="Courier New"/>
    </w:rPr>
  </w:style>
  <w:style w:type="character" w:styleId="ListLabel396" w:customStyle="1">
    <w:name w:val="ListLabel 396"/>
    <w:qFormat/>
    <w:rPr>
      <w:rFonts w:cs="Wingdings"/>
    </w:rPr>
  </w:style>
  <w:style w:type="character" w:styleId="ListLabel397" w:customStyle="1">
    <w:name w:val="ListLabel 397"/>
    <w:qFormat/>
    <w:rPr>
      <w:rFonts w:cs="Symbol"/>
    </w:rPr>
  </w:style>
  <w:style w:type="character" w:styleId="ListLabel398" w:customStyle="1">
    <w:name w:val="ListLabel 398"/>
    <w:qFormat/>
    <w:rPr>
      <w:rFonts w:cs="Courier New"/>
    </w:rPr>
  </w:style>
  <w:style w:type="character" w:styleId="ListLabel399" w:customStyle="1">
    <w:name w:val="ListLabel 399"/>
    <w:qFormat/>
    <w:rPr>
      <w:rFonts w:cs="Wingdings"/>
    </w:rPr>
  </w:style>
  <w:style w:type="character" w:styleId="ListLabel400" w:customStyle="1">
    <w:name w:val="ListLabel 400"/>
    <w:qFormat/>
    <w:rPr>
      <w:rFonts w:cs="Symbol"/>
    </w:rPr>
  </w:style>
  <w:style w:type="character" w:styleId="ListLabel401" w:customStyle="1">
    <w:name w:val="ListLabel 401"/>
    <w:qFormat/>
    <w:rPr>
      <w:rFonts w:cs="Courier New"/>
    </w:rPr>
  </w:style>
  <w:style w:type="character" w:styleId="ListLabel402" w:customStyle="1">
    <w:name w:val="ListLabel 402"/>
    <w:qFormat/>
    <w:rPr>
      <w:rFonts w:cs="Wingdings"/>
    </w:rPr>
  </w:style>
  <w:style w:type="character" w:styleId="ListLabel403" w:customStyle="1">
    <w:name w:val="ListLabel 403"/>
    <w:qFormat/>
    <w:rPr>
      <w:rFonts w:cs="Symbol"/>
    </w:rPr>
  </w:style>
  <w:style w:type="character" w:styleId="ListLabel404" w:customStyle="1">
    <w:name w:val="ListLabel 404"/>
    <w:qFormat/>
    <w:rPr>
      <w:rFonts w:cs="Courier New"/>
    </w:rPr>
  </w:style>
  <w:style w:type="character" w:styleId="ListLabel405" w:customStyle="1">
    <w:name w:val="ListLabel 405"/>
    <w:qFormat/>
    <w:rPr>
      <w:rFonts w:cs="Wingdings"/>
    </w:rPr>
  </w:style>
  <w:style w:type="character" w:styleId="ListLabel406" w:customStyle="1">
    <w:name w:val="ListLabel 406"/>
    <w:qFormat/>
    <w:rPr>
      <w:rFonts w:cs="Symbol"/>
    </w:rPr>
  </w:style>
  <w:style w:type="character" w:styleId="ListLabel407" w:customStyle="1">
    <w:name w:val="ListLabel 407"/>
    <w:qFormat/>
    <w:rPr>
      <w:rFonts w:cs="Courier New"/>
    </w:rPr>
  </w:style>
  <w:style w:type="character" w:styleId="ListLabel408" w:customStyle="1">
    <w:name w:val="ListLabel 408"/>
    <w:qFormat/>
    <w:rPr>
      <w:rFonts w:cs="Wingdings"/>
    </w:rPr>
  </w:style>
  <w:style w:type="character" w:styleId="ListLabel409" w:customStyle="1">
    <w:name w:val="ListLabel 409"/>
    <w:qFormat/>
    <w:rPr>
      <w:rFonts w:cs="Symbol"/>
    </w:rPr>
  </w:style>
  <w:style w:type="character" w:styleId="ListLabel410" w:customStyle="1">
    <w:name w:val="ListLabel 410"/>
    <w:qFormat/>
    <w:rPr>
      <w:rFonts w:cs="Courier New"/>
    </w:rPr>
  </w:style>
  <w:style w:type="character" w:styleId="ListLabel411" w:customStyle="1">
    <w:name w:val="ListLabel 411"/>
    <w:qFormat/>
    <w:rPr>
      <w:rFonts w:cs="Wingdings"/>
    </w:rPr>
  </w:style>
  <w:style w:type="character" w:styleId="ListLabel412" w:customStyle="1">
    <w:name w:val="ListLabel 412"/>
    <w:qFormat/>
    <w:rPr>
      <w:rFonts w:cs="Symbol"/>
    </w:rPr>
  </w:style>
  <w:style w:type="character" w:styleId="ListLabel413" w:customStyle="1">
    <w:name w:val="ListLabel 413"/>
    <w:qFormat/>
    <w:rPr>
      <w:rFonts w:cs="Courier New"/>
    </w:rPr>
  </w:style>
  <w:style w:type="character" w:styleId="ListLabel414" w:customStyle="1">
    <w:name w:val="ListLabel 414"/>
    <w:qFormat/>
    <w:rPr>
      <w:rFonts w:cs="Wingdings"/>
    </w:rPr>
  </w:style>
  <w:style w:type="character" w:styleId="ListLabel415" w:customStyle="1">
    <w:name w:val="ListLabel 415"/>
    <w:qFormat/>
    <w:rPr>
      <w:rFonts w:cs="Symbol"/>
    </w:rPr>
  </w:style>
  <w:style w:type="character" w:styleId="ListLabel416" w:customStyle="1">
    <w:name w:val="ListLabel 416"/>
    <w:qFormat/>
    <w:rPr>
      <w:rFonts w:cs="Courier New"/>
    </w:rPr>
  </w:style>
  <w:style w:type="character" w:styleId="ListLabel417" w:customStyle="1">
    <w:name w:val="ListLabel 417"/>
    <w:qFormat/>
    <w:rPr>
      <w:rFonts w:cs="Wingdings"/>
    </w:rPr>
  </w:style>
  <w:style w:type="character" w:styleId="ListLabel418" w:customStyle="1">
    <w:name w:val="ListLabel 418"/>
    <w:qFormat/>
    <w:rPr>
      <w:rFonts w:cs="Symbol"/>
    </w:rPr>
  </w:style>
  <w:style w:type="character" w:styleId="ListLabel419" w:customStyle="1">
    <w:name w:val="ListLabel 419"/>
    <w:qFormat/>
    <w:rPr>
      <w:rFonts w:cs="Courier New"/>
    </w:rPr>
  </w:style>
  <w:style w:type="character" w:styleId="ListLabel420" w:customStyle="1">
    <w:name w:val="ListLabel 420"/>
    <w:qFormat/>
    <w:rPr>
      <w:rFonts w:cs="Wingdings"/>
    </w:rPr>
  </w:style>
  <w:style w:type="character" w:styleId="ListLabel421" w:customStyle="1">
    <w:name w:val="ListLabel 421"/>
    <w:qFormat/>
    <w:rPr>
      <w:rFonts w:cs="Symbol"/>
    </w:rPr>
  </w:style>
  <w:style w:type="character" w:styleId="ListLabel422" w:customStyle="1">
    <w:name w:val="ListLabel 422"/>
    <w:qFormat/>
    <w:rPr>
      <w:rFonts w:cs="Courier New"/>
    </w:rPr>
  </w:style>
  <w:style w:type="character" w:styleId="ListLabel423" w:customStyle="1">
    <w:name w:val="ListLabel 423"/>
    <w:qFormat/>
    <w:rPr>
      <w:rFonts w:cs="Wingdings"/>
    </w:rPr>
  </w:style>
  <w:style w:type="character" w:styleId="ListLabel424" w:customStyle="1">
    <w:name w:val="ListLabel 424"/>
    <w:qFormat/>
    <w:rPr>
      <w:rFonts w:cs="Symbol"/>
    </w:rPr>
  </w:style>
  <w:style w:type="character" w:styleId="ListLabel425" w:customStyle="1">
    <w:name w:val="ListLabel 425"/>
    <w:qFormat/>
    <w:rPr>
      <w:rFonts w:cs="Courier New"/>
    </w:rPr>
  </w:style>
  <w:style w:type="character" w:styleId="ListLabel426" w:customStyle="1">
    <w:name w:val="ListLabel 426"/>
    <w:qFormat/>
    <w:rPr>
      <w:rFonts w:cs="Wingdings"/>
    </w:rPr>
  </w:style>
  <w:style w:type="character" w:styleId="ListLabel427" w:customStyle="1">
    <w:name w:val="ListLabel 427"/>
    <w:qFormat/>
    <w:rPr>
      <w:rFonts w:cs="Symbol"/>
    </w:rPr>
  </w:style>
  <w:style w:type="character" w:styleId="ListLabel428" w:customStyle="1">
    <w:name w:val="ListLabel 428"/>
    <w:qFormat/>
    <w:rPr>
      <w:rFonts w:cs="Courier New"/>
    </w:rPr>
  </w:style>
  <w:style w:type="character" w:styleId="ListLabel429" w:customStyle="1">
    <w:name w:val="ListLabel 429"/>
    <w:qFormat/>
    <w:rPr>
      <w:rFonts w:cs="Wingdings"/>
    </w:rPr>
  </w:style>
  <w:style w:type="character" w:styleId="ListLabel430" w:customStyle="1">
    <w:name w:val="ListLabel 430"/>
    <w:qFormat/>
    <w:rPr>
      <w:rFonts w:cs="Symbol"/>
    </w:rPr>
  </w:style>
  <w:style w:type="character" w:styleId="ListLabel431" w:customStyle="1">
    <w:name w:val="ListLabel 431"/>
    <w:qFormat/>
    <w:rPr>
      <w:rFonts w:cs="Courier New"/>
    </w:rPr>
  </w:style>
  <w:style w:type="character" w:styleId="ListLabel432" w:customStyle="1">
    <w:name w:val="ListLabel 432"/>
    <w:qFormat/>
    <w:rPr>
      <w:rFonts w:cs="Wingdings"/>
    </w:rPr>
  </w:style>
  <w:style w:type="character" w:styleId="ListLabel433" w:customStyle="1">
    <w:name w:val="ListLabel 433"/>
    <w:qFormat/>
    <w:rPr>
      <w:rFonts w:cs="Symbol"/>
    </w:rPr>
  </w:style>
  <w:style w:type="character" w:styleId="ListLabel434" w:customStyle="1">
    <w:name w:val="ListLabel 434"/>
    <w:qFormat/>
    <w:rPr>
      <w:rFonts w:cs="Courier New"/>
    </w:rPr>
  </w:style>
  <w:style w:type="character" w:styleId="ListLabel435" w:customStyle="1">
    <w:name w:val="ListLabel 435"/>
    <w:qFormat/>
    <w:rPr>
      <w:rFonts w:cs="Wingdings"/>
    </w:rPr>
  </w:style>
  <w:style w:type="character" w:styleId="ListLabel436" w:customStyle="1">
    <w:name w:val="ListLabel 436"/>
    <w:qFormat/>
    <w:rPr>
      <w:rFonts w:cs="Symbol"/>
    </w:rPr>
  </w:style>
  <w:style w:type="character" w:styleId="ListLabel437" w:customStyle="1">
    <w:name w:val="ListLabel 437"/>
    <w:qFormat/>
    <w:rPr>
      <w:rFonts w:cs="Courier New"/>
    </w:rPr>
  </w:style>
  <w:style w:type="character" w:styleId="ListLabel438" w:customStyle="1">
    <w:name w:val="ListLabel 438"/>
    <w:qFormat/>
    <w:rPr>
      <w:rFonts w:cs="Wingdings"/>
    </w:rPr>
  </w:style>
  <w:style w:type="character" w:styleId="ListLabel439" w:customStyle="1">
    <w:name w:val="ListLabel 439"/>
    <w:qFormat/>
    <w:rPr>
      <w:rFonts w:cs="Symbol"/>
    </w:rPr>
  </w:style>
  <w:style w:type="character" w:styleId="ListLabel440" w:customStyle="1">
    <w:name w:val="ListLabel 440"/>
    <w:qFormat/>
    <w:rPr>
      <w:rFonts w:cs="Courier New"/>
    </w:rPr>
  </w:style>
  <w:style w:type="character" w:styleId="ListLabel441" w:customStyle="1">
    <w:name w:val="ListLabel 441"/>
    <w:qFormat/>
    <w:rPr>
      <w:rFonts w:cs="Wingdings"/>
    </w:rPr>
  </w:style>
  <w:style w:type="character" w:styleId="ListLabel442" w:customStyle="1">
    <w:name w:val="ListLabel 442"/>
    <w:qFormat/>
    <w:rPr>
      <w:rFonts w:cs="Symbol"/>
    </w:rPr>
  </w:style>
  <w:style w:type="character" w:styleId="ListLabel443" w:customStyle="1">
    <w:name w:val="ListLabel 443"/>
    <w:qFormat/>
    <w:rPr>
      <w:rFonts w:cs="Courier New"/>
    </w:rPr>
  </w:style>
  <w:style w:type="character" w:styleId="ListLabel444" w:customStyle="1">
    <w:name w:val="ListLabel 444"/>
    <w:qFormat/>
    <w:rPr>
      <w:rFonts w:cs="Wingdings"/>
    </w:rPr>
  </w:style>
  <w:style w:type="character" w:styleId="ListLabel445" w:customStyle="1">
    <w:name w:val="ListLabel 445"/>
    <w:qFormat/>
    <w:rPr>
      <w:rFonts w:cs="Symbol"/>
    </w:rPr>
  </w:style>
  <w:style w:type="character" w:styleId="ListLabel446" w:customStyle="1">
    <w:name w:val="ListLabel 446"/>
    <w:qFormat/>
    <w:rPr>
      <w:rFonts w:cs="Courier New"/>
    </w:rPr>
  </w:style>
  <w:style w:type="character" w:styleId="ListLabel447" w:customStyle="1">
    <w:name w:val="ListLabel 447"/>
    <w:qFormat/>
    <w:rPr>
      <w:rFonts w:cs="Wingdings"/>
    </w:rPr>
  </w:style>
  <w:style w:type="character" w:styleId="ListLabel448" w:customStyle="1">
    <w:name w:val="ListLabel 448"/>
    <w:qFormat/>
    <w:rPr>
      <w:rFonts w:cs="Symbol"/>
    </w:rPr>
  </w:style>
  <w:style w:type="character" w:styleId="ListLabel449" w:customStyle="1">
    <w:name w:val="ListLabel 449"/>
    <w:qFormat/>
    <w:rPr>
      <w:rFonts w:cs="Courier New"/>
    </w:rPr>
  </w:style>
  <w:style w:type="character" w:styleId="ListLabel450" w:customStyle="1">
    <w:name w:val="ListLabel 450"/>
    <w:qFormat/>
    <w:rPr>
      <w:rFonts w:cs="Wingdings"/>
    </w:rPr>
  </w:style>
  <w:style w:type="character" w:styleId="ListLabel451" w:customStyle="1">
    <w:name w:val="ListLabel 451"/>
    <w:qFormat/>
    <w:rPr>
      <w:rFonts w:cs="Symbol"/>
    </w:rPr>
  </w:style>
  <w:style w:type="character" w:styleId="ListLabel452" w:customStyle="1">
    <w:name w:val="ListLabel 452"/>
    <w:qFormat/>
    <w:rPr>
      <w:rFonts w:cs="Courier New"/>
    </w:rPr>
  </w:style>
  <w:style w:type="character" w:styleId="ListLabel453" w:customStyle="1">
    <w:name w:val="ListLabel 453"/>
    <w:qFormat/>
    <w:rPr>
      <w:rFonts w:cs="Wingdings"/>
    </w:rPr>
  </w:style>
  <w:style w:type="character" w:styleId="ListLabel454" w:customStyle="1">
    <w:name w:val="ListLabel 454"/>
    <w:qFormat/>
    <w:rPr>
      <w:rFonts w:cs="Symbol"/>
    </w:rPr>
  </w:style>
  <w:style w:type="character" w:styleId="ListLabel455" w:customStyle="1">
    <w:name w:val="ListLabel 455"/>
    <w:qFormat/>
    <w:rPr>
      <w:rFonts w:cs="Courier New"/>
    </w:rPr>
  </w:style>
  <w:style w:type="character" w:styleId="ListLabel456" w:customStyle="1">
    <w:name w:val="ListLabel 456"/>
    <w:qFormat/>
    <w:rPr>
      <w:rFonts w:cs="Wingdings"/>
    </w:rPr>
  </w:style>
  <w:style w:type="character" w:styleId="ListLabel457" w:customStyle="1">
    <w:name w:val="ListLabel 457"/>
    <w:qFormat/>
    <w:rPr>
      <w:rFonts w:cs="Symbol"/>
    </w:rPr>
  </w:style>
  <w:style w:type="character" w:styleId="ListLabel458" w:customStyle="1">
    <w:name w:val="ListLabel 458"/>
    <w:qFormat/>
    <w:rPr>
      <w:rFonts w:cs="Courier New"/>
    </w:rPr>
  </w:style>
  <w:style w:type="character" w:styleId="ListLabel459" w:customStyle="1">
    <w:name w:val="ListLabel 459"/>
    <w:qFormat/>
    <w:rPr>
      <w:rFonts w:cs="Wingdings"/>
    </w:rPr>
  </w:style>
  <w:style w:type="character" w:styleId="ListLabel460" w:customStyle="1">
    <w:name w:val="ListLabel 460"/>
    <w:qFormat/>
    <w:rPr>
      <w:rFonts w:cs="Symbol"/>
    </w:rPr>
  </w:style>
  <w:style w:type="character" w:styleId="ListLabel461" w:customStyle="1">
    <w:name w:val="ListLabel 461"/>
    <w:qFormat/>
    <w:rPr>
      <w:rFonts w:cs="Courier New"/>
    </w:rPr>
  </w:style>
  <w:style w:type="character" w:styleId="ListLabel462" w:customStyle="1">
    <w:name w:val="ListLabel 462"/>
    <w:qFormat/>
    <w:rPr>
      <w:rFonts w:cs="Wingdings"/>
    </w:rPr>
  </w:style>
  <w:style w:type="character" w:styleId="ListLabel463" w:customStyle="1">
    <w:name w:val="ListLabel 463"/>
    <w:qFormat/>
    <w:rPr>
      <w:rFonts w:cs="Symbol"/>
    </w:rPr>
  </w:style>
  <w:style w:type="character" w:styleId="ListLabel464" w:customStyle="1">
    <w:name w:val="ListLabel 464"/>
    <w:qFormat/>
    <w:rPr>
      <w:rFonts w:cs="Courier New"/>
    </w:rPr>
  </w:style>
  <w:style w:type="character" w:styleId="ListLabel465" w:customStyle="1">
    <w:name w:val="ListLabel 465"/>
    <w:qFormat/>
    <w:rPr>
      <w:rFonts w:cs="Wingdings"/>
    </w:rPr>
  </w:style>
  <w:style w:type="character" w:styleId="ListLabel466" w:customStyle="1">
    <w:name w:val="ListLabel 466"/>
    <w:qFormat/>
    <w:rPr>
      <w:rFonts w:cs="Symbol"/>
    </w:rPr>
  </w:style>
  <w:style w:type="character" w:styleId="ListLabel467" w:customStyle="1">
    <w:name w:val="ListLabel 467"/>
    <w:qFormat/>
    <w:rPr>
      <w:rFonts w:cs="Courier New"/>
    </w:rPr>
  </w:style>
  <w:style w:type="character" w:styleId="ListLabel468" w:customStyle="1">
    <w:name w:val="ListLabel 468"/>
    <w:qFormat/>
    <w:rPr>
      <w:rFonts w:cs="Wingdings"/>
    </w:rPr>
  </w:style>
  <w:style w:type="character" w:styleId="ListLabel469" w:customStyle="1">
    <w:name w:val="ListLabel 469"/>
    <w:qFormat/>
    <w:rPr>
      <w:rFonts w:cs="Symbol"/>
    </w:rPr>
  </w:style>
  <w:style w:type="character" w:styleId="ListLabel470" w:customStyle="1">
    <w:name w:val="ListLabel 470"/>
    <w:qFormat/>
    <w:rPr>
      <w:rFonts w:cs="Courier New"/>
    </w:rPr>
  </w:style>
  <w:style w:type="character" w:styleId="ListLabel471" w:customStyle="1">
    <w:name w:val="ListLabel 471"/>
    <w:qFormat/>
    <w:rPr>
      <w:rFonts w:cs="Wingdings"/>
    </w:rPr>
  </w:style>
  <w:style w:type="character" w:styleId="ListLabel472" w:customStyle="1">
    <w:name w:val="ListLabel 472"/>
    <w:qFormat/>
    <w:rPr>
      <w:rFonts w:cs="Symbol"/>
    </w:rPr>
  </w:style>
  <w:style w:type="character" w:styleId="ListLabel473" w:customStyle="1">
    <w:name w:val="ListLabel 473"/>
    <w:qFormat/>
    <w:rPr>
      <w:rFonts w:cs="Courier New"/>
    </w:rPr>
  </w:style>
  <w:style w:type="character" w:styleId="ListLabel474" w:customStyle="1">
    <w:name w:val="ListLabel 474"/>
    <w:qFormat/>
    <w:rPr>
      <w:rFonts w:cs="Wingdings"/>
    </w:rPr>
  </w:style>
  <w:style w:type="character" w:styleId="ListLabel475" w:customStyle="1">
    <w:name w:val="ListLabel 475"/>
    <w:qFormat/>
    <w:rPr>
      <w:rFonts w:cs="Courier New"/>
    </w:rPr>
  </w:style>
  <w:style w:type="character" w:styleId="ListLabel476" w:customStyle="1">
    <w:name w:val="ListLabel 476"/>
    <w:qFormat/>
    <w:rPr>
      <w:rFonts w:cs="Wingdings"/>
    </w:rPr>
  </w:style>
  <w:style w:type="character" w:styleId="ListLabel477" w:customStyle="1">
    <w:name w:val="ListLabel 477"/>
    <w:qFormat/>
    <w:rPr>
      <w:rFonts w:cs="Symbol"/>
    </w:rPr>
  </w:style>
  <w:style w:type="character" w:styleId="ListLabel478" w:customStyle="1">
    <w:name w:val="ListLabel 478"/>
    <w:qFormat/>
    <w:rPr>
      <w:rFonts w:cs="Courier New"/>
    </w:rPr>
  </w:style>
  <w:style w:type="character" w:styleId="ListLabel479" w:customStyle="1">
    <w:name w:val="ListLabel 479"/>
    <w:qFormat/>
    <w:rPr>
      <w:rFonts w:cs="Wingdings"/>
    </w:rPr>
  </w:style>
  <w:style w:type="character" w:styleId="ListLabel480" w:customStyle="1">
    <w:name w:val="ListLabel 480"/>
    <w:qFormat/>
    <w:rPr>
      <w:rFonts w:cs="Symbol"/>
    </w:rPr>
  </w:style>
  <w:style w:type="character" w:styleId="ListLabel481" w:customStyle="1">
    <w:name w:val="ListLabel 481"/>
    <w:qFormat/>
    <w:rPr>
      <w:rFonts w:cs="Courier New"/>
    </w:rPr>
  </w:style>
  <w:style w:type="character" w:styleId="ListLabel482" w:customStyle="1">
    <w:name w:val="ListLabel 482"/>
    <w:qFormat/>
    <w:rPr>
      <w:rFonts w:cs="Wingdings"/>
    </w:rPr>
  </w:style>
  <w:style w:type="character" w:styleId="ListLabel483" w:customStyle="1">
    <w:name w:val="ListLabel 483"/>
    <w:qFormat/>
    <w:rPr>
      <w:rFonts w:cs="Symbol"/>
    </w:rPr>
  </w:style>
  <w:style w:type="character" w:styleId="ListLabel484" w:customStyle="1">
    <w:name w:val="ListLabel 484"/>
    <w:qFormat/>
    <w:rPr>
      <w:rFonts w:cs="Courier New"/>
    </w:rPr>
  </w:style>
  <w:style w:type="character" w:styleId="ListLabel485" w:customStyle="1">
    <w:name w:val="ListLabel 485"/>
    <w:qFormat/>
    <w:rPr>
      <w:rFonts w:cs="Wingdings"/>
    </w:rPr>
  </w:style>
  <w:style w:type="character" w:styleId="ListLabel486" w:customStyle="1">
    <w:name w:val="ListLabel 486"/>
    <w:qFormat/>
    <w:rPr>
      <w:rFonts w:cs="Symbol"/>
    </w:rPr>
  </w:style>
  <w:style w:type="character" w:styleId="ListLabel487" w:customStyle="1">
    <w:name w:val="ListLabel 487"/>
    <w:qFormat/>
    <w:rPr>
      <w:rFonts w:cs="Courier New"/>
    </w:rPr>
  </w:style>
  <w:style w:type="character" w:styleId="ListLabel488" w:customStyle="1">
    <w:name w:val="ListLabel 488"/>
    <w:qFormat/>
    <w:rPr>
      <w:rFonts w:cs="Wingdings"/>
    </w:rPr>
  </w:style>
  <w:style w:type="character" w:styleId="ListLabel489" w:customStyle="1">
    <w:name w:val="ListLabel 489"/>
    <w:qFormat/>
    <w:rPr>
      <w:rFonts w:cs="Symbol"/>
    </w:rPr>
  </w:style>
  <w:style w:type="character" w:styleId="ListLabel490" w:customStyle="1">
    <w:name w:val="ListLabel 490"/>
    <w:qFormat/>
    <w:rPr>
      <w:rFonts w:cs="Courier New"/>
    </w:rPr>
  </w:style>
  <w:style w:type="character" w:styleId="ListLabel491" w:customStyle="1">
    <w:name w:val="ListLabel 491"/>
    <w:qFormat/>
    <w:rPr>
      <w:rFonts w:cs="Wingdings"/>
    </w:rPr>
  </w:style>
  <w:style w:type="character" w:styleId="ListLabel492" w:customStyle="1">
    <w:name w:val="ListLabel 492"/>
    <w:qFormat/>
    <w:rPr>
      <w:i w:val="false"/>
    </w:rPr>
  </w:style>
  <w:style w:type="character" w:styleId="ListLabel493" w:customStyle="1">
    <w:name w:val="ListLabel 493"/>
    <w:qFormat/>
    <w:rPr>
      <w:i w:val="false"/>
    </w:rPr>
  </w:style>
  <w:style w:type="character" w:styleId="ListLabel494" w:customStyle="1">
    <w:name w:val="ListLabel 494"/>
    <w:qFormat/>
    <w:rPr>
      <w:i w:val="false"/>
    </w:rPr>
  </w:style>
  <w:style w:type="character" w:styleId="ListLabel495" w:customStyle="1">
    <w:name w:val="ListLabel 495"/>
    <w:qFormat/>
    <w:rPr>
      <w:i w:val="false"/>
    </w:rPr>
  </w:style>
  <w:style w:type="character" w:styleId="ListLabel496" w:customStyle="1">
    <w:name w:val="ListLabel 496"/>
    <w:qFormat/>
    <w:rPr>
      <w:lang w:val="es-ES"/>
    </w:rPr>
  </w:style>
  <w:style w:type="character" w:styleId="ListLabel497" w:customStyle="1">
    <w:name w:val="ListLabel 497"/>
    <w:qFormat/>
    <w:rPr>
      <w:i w:val="false"/>
    </w:rPr>
  </w:style>
  <w:style w:type="character" w:styleId="ListLabel498" w:customStyle="1">
    <w:name w:val="ListLabel 498"/>
    <w:qFormat/>
    <w:rPr>
      <w:i w:val="false"/>
    </w:rPr>
  </w:style>
  <w:style w:type="character" w:styleId="ListLabel499" w:customStyle="1">
    <w:name w:val="ListLabel 499"/>
    <w:qFormat/>
    <w:rPr>
      <w:i w:val="false"/>
    </w:rPr>
  </w:style>
  <w:style w:type="character" w:styleId="ListLabel500" w:customStyle="1">
    <w:name w:val="ListLabel 500"/>
    <w:qFormat/>
    <w:rPr>
      <w:lang w:val="es-ES"/>
    </w:rPr>
  </w:style>
  <w:style w:type="character" w:styleId="ListLabel501" w:customStyle="1">
    <w:name w:val="ListLabel 501"/>
    <w:qFormat/>
    <w:rPr>
      <w:sz w:val="22"/>
    </w:rPr>
  </w:style>
  <w:style w:type="character" w:styleId="ListLabel502" w:customStyle="1">
    <w:name w:val="ListLabel 502"/>
    <w:qFormat/>
    <w:rPr>
      <w:rFonts w:cs="Symbol"/>
    </w:rPr>
  </w:style>
  <w:style w:type="character" w:styleId="ListLabel503" w:customStyle="1">
    <w:name w:val="ListLabel 503"/>
    <w:qFormat/>
    <w:rPr>
      <w:rFonts w:cs="Symbol"/>
    </w:rPr>
  </w:style>
  <w:style w:type="character" w:styleId="ListLabel504" w:customStyle="1">
    <w:name w:val="ListLabel 504"/>
    <w:qFormat/>
    <w:rPr>
      <w:rFonts w:cs="Courier New"/>
    </w:rPr>
  </w:style>
  <w:style w:type="character" w:styleId="ListLabel505" w:customStyle="1">
    <w:name w:val="ListLabel 505"/>
    <w:qFormat/>
    <w:rPr>
      <w:rFonts w:cs="Wingdings"/>
    </w:rPr>
  </w:style>
  <w:style w:type="character" w:styleId="ListLabel506" w:customStyle="1">
    <w:name w:val="ListLabel 506"/>
    <w:qFormat/>
    <w:rPr>
      <w:rFonts w:cs="Symbol"/>
    </w:rPr>
  </w:style>
  <w:style w:type="character" w:styleId="ListLabel507" w:customStyle="1">
    <w:name w:val="ListLabel 507"/>
    <w:qFormat/>
    <w:rPr>
      <w:rFonts w:cs="Courier New"/>
    </w:rPr>
  </w:style>
  <w:style w:type="character" w:styleId="ListLabel508" w:customStyle="1">
    <w:name w:val="ListLabel 508"/>
    <w:qFormat/>
    <w:rPr>
      <w:rFonts w:cs="Wingdings"/>
    </w:rPr>
  </w:style>
  <w:style w:type="character" w:styleId="ListLabel509" w:customStyle="1">
    <w:name w:val="ListLabel 509"/>
    <w:qFormat/>
    <w:rPr>
      <w:rFonts w:cs="Symbol"/>
    </w:rPr>
  </w:style>
  <w:style w:type="character" w:styleId="ListLabel510" w:customStyle="1">
    <w:name w:val="ListLabel 510"/>
    <w:qFormat/>
    <w:rPr>
      <w:rFonts w:cs="Courier New"/>
    </w:rPr>
  </w:style>
  <w:style w:type="character" w:styleId="ListLabel511" w:customStyle="1">
    <w:name w:val="ListLabel 511"/>
    <w:qFormat/>
    <w:rPr>
      <w:rFonts w:cs="Wingdings"/>
    </w:rPr>
  </w:style>
  <w:style w:type="character" w:styleId="ListLabel512" w:customStyle="1">
    <w:name w:val="ListLabel 512"/>
    <w:qFormat/>
    <w:rPr>
      <w:rFonts w:cs="Symbol"/>
    </w:rPr>
  </w:style>
  <w:style w:type="character" w:styleId="ListLabel513" w:customStyle="1">
    <w:name w:val="ListLabel 513"/>
    <w:qFormat/>
    <w:rPr>
      <w:rFonts w:cs="Courier New"/>
    </w:rPr>
  </w:style>
  <w:style w:type="character" w:styleId="ListLabel514" w:customStyle="1">
    <w:name w:val="ListLabel 514"/>
    <w:qFormat/>
    <w:rPr>
      <w:rFonts w:cs="Wingdings"/>
    </w:rPr>
  </w:style>
  <w:style w:type="character" w:styleId="ListLabel515" w:customStyle="1">
    <w:name w:val="ListLabel 515"/>
    <w:qFormat/>
    <w:rPr>
      <w:rFonts w:cs="Symbol"/>
    </w:rPr>
  </w:style>
  <w:style w:type="character" w:styleId="ListLabel516" w:customStyle="1">
    <w:name w:val="ListLabel 516"/>
    <w:qFormat/>
    <w:rPr>
      <w:rFonts w:cs="Courier New"/>
    </w:rPr>
  </w:style>
  <w:style w:type="character" w:styleId="ListLabel517" w:customStyle="1">
    <w:name w:val="ListLabel 517"/>
    <w:qFormat/>
    <w:rPr>
      <w:rFonts w:cs="Wingdings"/>
    </w:rPr>
  </w:style>
  <w:style w:type="character" w:styleId="ListLabel518" w:customStyle="1">
    <w:name w:val="ListLabel 518"/>
    <w:qFormat/>
    <w:rPr>
      <w:rFonts w:cs="Symbol"/>
    </w:rPr>
  </w:style>
  <w:style w:type="character" w:styleId="ListLabel519" w:customStyle="1">
    <w:name w:val="ListLabel 519"/>
    <w:qFormat/>
    <w:rPr>
      <w:rFonts w:cs="Courier New"/>
    </w:rPr>
  </w:style>
  <w:style w:type="character" w:styleId="ListLabel520" w:customStyle="1">
    <w:name w:val="ListLabel 520"/>
    <w:qFormat/>
    <w:rPr>
      <w:rFonts w:cs="Wingdings"/>
    </w:rPr>
  </w:style>
  <w:style w:type="character" w:styleId="ListLabel521" w:customStyle="1">
    <w:name w:val="ListLabel 521"/>
    <w:qFormat/>
    <w:rPr>
      <w:rFonts w:cs="Symbol"/>
    </w:rPr>
  </w:style>
  <w:style w:type="character" w:styleId="ListLabel522" w:customStyle="1">
    <w:name w:val="ListLabel 522"/>
    <w:qFormat/>
    <w:rPr>
      <w:rFonts w:cs="Courier New"/>
    </w:rPr>
  </w:style>
  <w:style w:type="character" w:styleId="ListLabel523" w:customStyle="1">
    <w:name w:val="ListLabel 523"/>
    <w:qFormat/>
    <w:rPr>
      <w:rFonts w:cs="Wingdings"/>
    </w:rPr>
  </w:style>
  <w:style w:type="character" w:styleId="ListLabel524" w:customStyle="1">
    <w:name w:val="ListLabel 524"/>
    <w:qFormat/>
    <w:rPr>
      <w:rFonts w:cs="Symbol"/>
    </w:rPr>
  </w:style>
  <w:style w:type="character" w:styleId="ListLabel525" w:customStyle="1">
    <w:name w:val="ListLabel 525"/>
    <w:qFormat/>
    <w:rPr>
      <w:rFonts w:cs="Courier New"/>
    </w:rPr>
  </w:style>
  <w:style w:type="character" w:styleId="ListLabel526" w:customStyle="1">
    <w:name w:val="ListLabel 526"/>
    <w:qFormat/>
    <w:rPr>
      <w:rFonts w:cs="Wingdings"/>
    </w:rPr>
  </w:style>
  <w:style w:type="character" w:styleId="ListLabel527" w:customStyle="1">
    <w:name w:val="ListLabel 527"/>
    <w:qFormat/>
    <w:rPr>
      <w:rFonts w:cs="Symbol"/>
    </w:rPr>
  </w:style>
  <w:style w:type="character" w:styleId="ListLabel528" w:customStyle="1">
    <w:name w:val="ListLabel 528"/>
    <w:qFormat/>
    <w:rPr>
      <w:rFonts w:cs="Courier New"/>
    </w:rPr>
  </w:style>
  <w:style w:type="character" w:styleId="ListLabel529" w:customStyle="1">
    <w:name w:val="ListLabel 529"/>
    <w:qFormat/>
    <w:rPr>
      <w:rFonts w:cs="Wingdings"/>
    </w:rPr>
  </w:style>
  <w:style w:type="character" w:styleId="ListLabel530" w:customStyle="1">
    <w:name w:val="ListLabel 530"/>
    <w:qFormat/>
    <w:rPr>
      <w:rFonts w:cs="Symbol"/>
    </w:rPr>
  </w:style>
  <w:style w:type="character" w:styleId="ListLabel531" w:customStyle="1">
    <w:name w:val="ListLabel 531"/>
    <w:qFormat/>
    <w:rPr>
      <w:rFonts w:cs="Courier New"/>
    </w:rPr>
  </w:style>
  <w:style w:type="character" w:styleId="ListLabel532" w:customStyle="1">
    <w:name w:val="ListLabel 532"/>
    <w:qFormat/>
    <w:rPr>
      <w:rFonts w:cs="Wingdings"/>
    </w:rPr>
  </w:style>
  <w:style w:type="character" w:styleId="ListLabel533" w:customStyle="1">
    <w:name w:val="ListLabel 533"/>
    <w:qFormat/>
    <w:rPr>
      <w:rFonts w:cs="Symbol"/>
    </w:rPr>
  </w:style>
  <w:style w:type="character" w:styleId="ListLabel534" w:customStyle="1">
    <w:name w:val="ListLabel 534"/>
    <w:qFormat/>
    <w:rPr>
      <w:rFonts w:cs="Courier New"/>
    </w:rPr>
  </w:style>
  <w:style w:type="character" w:styleId="ListLabel535" w:customStyle="1">
    <w:name w:val="ListLabel 535"/>
    <w:qFormat/>
    <w:rPr>
      <w:rFonts w:cs="Wingdings"/>
    </w:rPr>
  </w:style>
  <w:style w:type="character" w:styleId="ListLabel536" w:customStyle="1">
    <w:name w:val="ListLabel 536"/>
    <w:qFormat/>
    <w:rPr>
      <w:rFonts w:cs="Symbol"/>
    </w:rPr>
  </w:style>
  <w:style w:type="character" w:styleId="ListLabel537" w:customStyle="1">
    <w:name w:val="ListLabel 537"/>
    <w:qFormat/>
    <w:rPr>
      <w:rFonts w:cs="Courier New"/>
    </w:rPr>
  </w:style>
  <w:style w:type="character" w:styleId="ListLabel538" w:customStyle="1">
    <w:name w:val="ListLabel 538"/>
    <w:qFormat/>
    <w:rPr>
      <w:rFonts w:cs="Wingdings"/>
    </w:rPr>
  </w:style>
  <w:style w:type="character" w:styleId="ListLabel539" w:customStyle="1">
    <w:name w:val="ListLabel 539"/>
    <w:qFormat/>
    <w:rPr>
      <w:rFonts w:cs="Symbol"/>
      <w:sz w:val="21"/>
    </w:rPr>
  </w:style>
  <w:style w:type="character" w:styleId="ListLabel540" w:customStyle="1">
    <w:name w:val="ListLabel 540"/>
    <w:qFormat/>
    <w:rPr>
      <w:rFonts w:cs="Courier New"/>
    </w:rPr>
  </w:style>
  <w:style w:type="character" w:styleId="ListLabel541" w:customStyle="1">
    <w:name w:val="ListLabel 541"/>
    <w:qFormat/>
    <w:rPr>
      <w:rFonts w:cs="Wingdings"/>
    </w:rPr>
  </w:style>
  <w:style w:type="character" w:styleId="ListLabel542" w:customStyle="1">
    <w:name w:val="ListLabel 542"/>
    <w:qFormat/>
    <w:rPr>
      <w:rFonts w:cs="Symbol"/>
    </w:rPr>
  </w:style>
  <w:style w:type="character" w:styleId="ListLabel543" w:customStyle="1">
    <w:name w:val="ListLabel 543"/>
    <w:qFormat/>
    <w:rPr>
      <w:rFonts w:cs="Courier New"/>
    </w:rPr>
  </w:style>
  <w:style w:type="character" w:styleId="ListLabel544" w:customStyle="1">
    <w:name w:val="ListLabel 544"/>
    <w:qFormat/>
    <w:rPr>
      <w:rFonts w:cs="Wingdings"/>
    </w:rPr>
  </w:style>
  <w:style w:type="character" w:styleId="ListLabel545" w:customStyle="1">
    <w:name w:val="ListLabel 545"/>
    <w:qFormat/>
    <w:rPr>
      <w:rFonts w:cs="Symbol"/>
    </w:rPr>
  </w:style>
  <w:style w:type="character" w:styleId="ListLabel546" w:customStyle="1">
    <w:name w:val="ListLabel 546"/>
    <w:qFormat/>
    <w:rPr>
      <w:rFonts w:cs="Courier New"/>
    </w:rPr>
  </w:style>
  <w:style w:type="character" w:styleId="ListLabel547" w:customStyle="1">
    <w:name w:val="ListLabel 547"/>
    <w:qFormat/>
    <w:rPr>
      <w:rFonts w:cs="Wingdings"/>
    </w:rPr>
  </w:style>
  <w:style w:type="character" w:styleId="ListLabel548" w:customStyle="1">
    <w:name w:val="ListLabel 548"/>
    <w:qFormat/>
    <w:rPr>
      <w:rFonts w:cs="Symbol"/>
      <w:sz w:val="21"/>
    </w:rPr>
  </w:style>
  <w:style w:type="character" w:styleId="ListLabel549" w:customStyle="1">
    <w:name w:val="ListLabel 549"/>
    <w:qFormat/>
    <w:rPr>
      <w:rFonts w:cs="Courier New"/>
    </w:rPr>
  </w:style>
  <w:style w:type="character" w:styleId="ListLabel550" w:customStyle="1">
    <w:name w:val="ListLabel 550"/>
    <w:qFormat/>
    <w:rPr>
      <w:rFonts w:cs="Wingdings"/>
    </w:rPr>
  </w:style>
  <w:style w:type="character" w:styleId="ListLabel551" w:customStyle="1">
    <w:name w:val="ListLabel 551"/>
    <w:qFormat/>
    <w:rPr>
      <w:rFonts w:cs="Symbol"/>
    </w:rPr>
  </w:style>
  <w:style w:type="character" w:styleId="ListLabel552" w:customStyle="1">
    <w:name w:val="ListLabel 552"/>
    <w:qFormat/>
    <w:rPr>
      <w:rFonts w:cs="Courier New"/>
    </w:rPr>
  </w:style>
  <w:style w:type="character" w:styleId="ListLabel553" w:customStyle="1">
    <w:name w:val="ListLabel 553"/>
    <w:qFormat/>
    <w:rPr>
      <w:rFonts w:cs="Wingdings"/>
    </w:rPr>
  </w:style>
  <w:style w:type="character" w:styleId="ListLabel554" w:customStyle="1">
    <w:name w:val="ListLabel 554"/>
    <w:qFormat/>
    <w:rPr>
      <w:rFonts w:cs="Symbol"/>
    </w:rPr>
  </w:style>
  <w:style w:type="character" w:styleId="ListLabel555" w:customStyle="1">
    <w:name w:val="ListLabel 555"/>
    <w:qFormat/>
    <w:rPr>
      <w:rFonts w:cs="Courier New"/>
    </w:rPr>
  </w:style>
  <w:style w:type="character" w:styleId="ListLabel556" w:customStyle="1">
    <w:name w:val="ListLabel 556"/>
    <w:qFormat/>
    <w:rPr>
      <w:rFonts w:cs="Wingdings"/>
    </w:rPr>
  </w:style>
  <w:style w:type="character" w:styleId="ListLabel557" w:customStyle="1">
    <w:name w:val="ListLabel 557"/>
    <w:qFormat/>
    <w:rPr>
      <w:i w:val="false"/>
    </w:rPr>
  </w:style>
  <w:style w:type="character" w:styleId="ListLabel558" w:customStyle="1">
    <w:name w:val="ListLabel 558"/>
    <w:qFormat/>
    <w:rPr>
      <w:rFonts w:cs="Symbol"/>
    </w:rPr>
  </w:style>
  <w:style w:type="character" w:styleId="ListLabel559" w:customStyle="1">
    <w:name w:val="ListLabel 559"/>
    <w:qFormat/>
    <w:rPr>
      <w:rFonts w:cs="Courier New"/>
    </w:rPr>
  </w:style>
  <w:style w:type="character" w:styleId="ListLabel560" w:customStyle="1">
    <w:name w:val="ListLabel 560"/>
    <w:qFormat/>
    <w:rPr>
      <w:rFonts w:cs="Wingdings"/>
    </w:rPr>
  </w:style>
  <w:style w:type="character" w:styleId="ListLabel561" w:customStyle="1">
    <w:name w:val="ListLabel 561"/>
    <w:qFormat/>
    <w:rPr>
      <w:rFonts w:cs="Symbol"/>
    </w:rPr>
  </w:style>
  <w:style w:type="character" w:styleId="ListLabel562" w:customStyle="1">
    <w:name w:val="ListLabel 562"/>
    <w:qFormat/>
    <w:rPr>
      <w:rFonts w:cs="Courier New"/>
    </w:rPr>
  </w:style>
  <w:style w:type="character" w:styleId="ListLabel563" w:customStyle="1">
    <w:name w:val="ListLabel 563"/>
    <w:qFormat/>
    <w:rPr>
      <w:rFonts w:cs="Wingdings"/>
    </w:rPr>
  </w:style>
  <w:style w:type="character" w:styleId="ListLabel564" w:customStyle="1">
    <w:name w:val="ListLabel 564"/>
    <w:qFormat/>
    <w:rPr>
      <w:rFonts w:cs="Symbol"/>
    </w:rPr>
  </w:style>
  <w:style w:type="character" w:styleId="ListLabel565" w:customStyle="1">
    <w:name w:val="ListLabel 565"/>
    <w:qFormat/>
    <w:rPr>
      <w:rFonts w:cs="Courier New"/>
    </w:rPr>
  </w:style>
  <w:style w:type="character" w:styleId="ListLabel566" w:customStyle="1">
    <w:name w:val="ListLabel 566"/>
    <w:qFormat/>
    <w:rPr>
      <w:rFonts w:cs="Wingdings"/>
    </w:rPr>
  </w:style>
  <w:style w:type="character" w:styleId="ListLabel567" w:customStyle="1">
    <w:name w:val="ListLabel 567"/>
    <w:qFormat/>
    <w:rPr>
      <w:rFonts w:cs="Symbol"/>
    </w:rPr>
  </w:style>
  <w:style w:type="character" w:styleId="ListLabel568" w:customStyle="1">
    <w:name w:val="ListLabel 568"/>
    <w:qFormat/>
    <w:rPr>
      <w:rFonts w:cs="Courier New"/>
    </w:rPr>
  </w:style>
  <w:style w:type="character" w:styleId="ListLabel569" w:customStyle="1">
    <w:name w:val="ListLabel 569"/>
    <w:qFormat/>
    <w:rPr>
      <w:rFonts w:cs="Wingdings"/>
    </w:rPr>
  </w:style>
  <w:style w:type="character" w:styleId="ListLabel570" w:customStyle="1">
    <w:name w:val="ListLabel 570"/>
    <w:qFormat/>
    <w:rPr>
      <w:rFonts w:cs="Symbol"/>
    </w:rPr>
  </w:style>
  <w:style w:type="character" w:styleId="ListLabel571" w:customStyle="1">
    <w:name w:val="ListLabel 571"/>
    <w:qFormat/>
    <w:rPr>
      <w:rFonts w:cs="Courier New"/>
    </w:rPr>
  </w:style>
  <w:style w:type="character" w:styleId="ListLabel572" w:customStyle="1">
    <w:name w:val="ListLabel 572"/>
    <w:qFormat/>
    <w:rPr>
      <w:rFonts w:cs="Wingdings"/>
    </w:rPr>
  </w:style>
  <w:style w:type="character" w:styleId="ListLabel573" w:customStyle="1">
    <w:name w:val="ListLabel 573"/>
    <w:qFormat/>
    <w:rPr>
      <w:rFonts w:cs="Symbol"/>
    </w:rPr>
  </w:style>
  <w:style w:type="character" w:styleId="ListLabel574" w:customStyle="1">
    <w:name w:val="ListLabel 574"/>
    <w:qFormat/>
    <w:rPr>
      <w:rFonts w:cs="Courier New"/>
    </w:rPr>
  </w:style>
  <w:style w:type="character" w:styleId="ListLabel575" w:customStyle="1">
    <w:name w:val="ListLabel 575"/>
    <w:qFormat/>
    <w:rPr>
      <w:rFonts w:cs="Wingdings"/>
    </w:rPr>
  </w:style>
  <w:style w:type="character" w:styleId="ListLabel576" w:customStyle="1">
    <w:name w:val="ListLabel 576"/>
    <w:qFormat/>
    <w:rPr>
      <w:rFonts w:cs="Symbol"/>
    </w:rPr>
  </w:style>
  <w:style w:type="character" w:styleId="ListLabel577" w:customStyle="1">
    <w:name w:val="ListLabel 577"/>
    <w:qFormat/>
    <w:rPr>
      <w:rFonts w:cs="Courier New"/>
    </w:rPr>
  </w:style>
  <w:style w:type="character" w:styleId="ListLabel578" w:customStyle="1">
    <w:name w:val="ListLabel 578"/>
    <w:qFormat/>
    <w:rPr>
      <w:rFonts w:cs="Wingdings"/>
    </w:rPr>
  </w:style>
  <w:style w:type="character" w:styleId="ListLabel579" w:customStyle="1">
    <w:name w:val="ListLabel 579"/>
    <w:qFormat/>
    <w:rPr>
      <w:rFonts w:cs="Symbol"/>
    </w:rPr>
  </w:style>
  <w:style w:type="character" w:styleId="ListLabel580" w:customStyle="1">
    <w:name w:val="ListLabel 580"/>
    <w:qFormat/>
    <w:rPr>
      <w:rFonts w:cs="Courier New"/>
    </w:rPr>
  </w:style>
  <w:style w:type="character" w:styleId="ListLabel581" w:customStyle="1">
    <w:name w:val="ListLabel 581"/>
    <w:qFormat/>
    <w:rPr>
      <w:rFonts w:cs="Wingdings"/>
    </w:rPr>
  </w:style>
  <w:style w:type="character" w:styleId="ListLabel582" w:customStyle="1">
    <w:name w:val="ListLabel 582"/>
    <w:qFormat/>
    <w:rPr>
      <w:rFonts w:cs="Symbol"/>
    </w:rPr>
  </w:style>
  <w:style w:type="character" w:styleId="ListLabel583" w:customStyle="1">
    <w:name w:val="ListLabel 583"/>
    <w:qFormat/>
    <w:rPr>
      <w:rFonts w:cs="Courier New"/>
    </w:rPr>
  </w:style>
  <w:style w:type="character" w:styleId="ListLabel584" w:customStyle="1">
    <w:name w:val="ListLabel 584"/>
    <w:qFormat/>
    <w:rPr>
      <w:rFonts w:cs="Wingdings"/>
    </w:rPr>
  </w:style>
  <w:style w:type="character" w:styleId="ListLabel585" w:customStyle="1">
    <w:name w:val="ListLabel 585"/>
    <w:qFormat/>
    <w:rPr>
      <w:rFonts w:cs="Courier New"/>
    </w:rPr>
  </w:style>
  <w:style w:type="character" w:styleId="ListLabel586" w:customStyle="1">
    <w:name w:val="ListLabel 586"/>
    <w:qFormat/>
    <w:rPr>
      <w:rFonts w:cs="Courier New"/>
    </w:rPr>
  </w:style>
  <w:style w:type="character" w:styleId="ListLabel587" w:customStyle="1">
    <w:name w:val="ListLabel 587"/>
    <w:qFormat/>
    <w:rPr>
      <w:rFonts w:cs="Wingdings"/>
    </w:rPr>
  </w:style>
  <w:style w:type="character" w:styleId="ListLabel588" w:customStyle="1">
    <w:name w:val="ListLabel 588"/>
    <w:qFormat/>
    <w:rPr>
      <w:rFonts w:cs="Symbol"/>
    </w:rPr>
  </w:style>
  <w:style w:type="character" w:styleId="ListLabel589" w:customStyle="1">
    <w:name w:val="ListLabel 589"/>
    <w:qFormat/>
    <w:rPr>
      <w:rFonts w:cs="Courier New"/>
    </w:rPr>
  </w:style>
  <w:style w:type="character" w:styleId="ListLabel590" w:customStyle="1">
    <w:name w:val="ListLabel 590"/>
    <w:qFormat/>
    <w:rPr>
      <w:rFonts w:cs="Wingdings"/>
    </w:rPr>
  </w:style>
  <w:style w:type="character" w:styleId="ListLabel591" w:customStyle="1">
    <w:name w:val="ListLabel 591"/>
    <w:qFormat/>
    <w:rPr>
      <w:rFonts w:cs="Symbol"/>
    </w:rPr>
  </w:style>
  <w:style w:type="character" w:styleId="ListLabel592" w:customStyle="1">
    <w:name w:val="ListLabel 592"/>
    <w:qFormat/>
    <w:rPr>
      <w:rFonts w:cs="Courier New"/>
    </w:rPr>
  </w:style>
  <w:style w:type="character" w:styleId="ListLabel593" w:customStyle="1">
    <w:name w:val="ListLabel 593"/>
    <w:qFormat/>
    <w:rPr>
      <w:rFonts w:cs="Wingdings"/>
    </w:rPr>
  </w:style>
  <w:style w:type="character" w:styleId="ListLabel594" w:customStyle="1">
    <w:name w:val="ListLabel 594"/>
    <w:qFormat/>
    <w:rPr>
      <w:rFonts w:cs="Courier New"/>
    </w:rPr>
  </w:style>
  <w:style w:type="character" w:styleId="ListLabel595" w:customStyle="1">
    <w:name w:val="ListLabel 595"/>
    <w:qFormat/>
    <w:rPr>
      <w:rFonts w:cs="Courier New"/>
    </w:rPr>
  </w:style>
  <w:style w:type="character" w:styleId="ListLabel596" w:customStyle="1">
    <w:name w:val="ListLabel 596"/>
    <w:qFormat/>
    <w:rPr>
      <w:rFonts w:cs="Wingdings"/>
    </w:rPr>
  </w:style>
  <w:style w:type="character" w:styleId="ListLabel597" w:customStyle="1">
    <w:name w:val="ListLabel 597"/>
    <w:qFormat/>
    <w:rPr>
      <w:rFonts w:cs="Symbol"/>
    </w:rPr>
  </w:style>
  <w:style w:type="character" w:styleId="ListLabel598" w:customStyle="1">
    <w:name w:val="ListLabel 598"/>
    <w:qFormat/>
    <w:rPr>
      <w:rFonts w:cs="Courier New"/>
    </w:rPr>
  </w:style>
  <w:style w:type="character" w:styleId="ListLabel599" w:customStyle="1">
    <w:name w:val="ListLabel 599"/>
    <w:qFormat/>
    <w:rPr>
      <w:rFonts w:cs="Wingdings"/>
    </w:rPr>
  </w:style>
  <w:style w:type="character" w:styleId="ListLabel600" w:customStyle="1">
    <w:name w:val="ListLabel 600"/>
    <w:qFormat/>
    <w:rPr>
      <w:rFonts w:cs="Symbol"/>
    </w:rPr>
  </w:style>
  <w:style w:type="character" w:styleId="ListLabel601" w:customStyle="1">
    <w:name w:val="ListLabel 601"/>
    <w:qFormat/>
    <w:rPr>
      <w:rFonts w:cs="Courier New"/>
    </w:rPr>
  </w:style>
  <w:style w:type="character" w:styleId="ListLabel602" w:customStyle="1">
    <w:name w:val="ListLabel 602"/>
    <w:qFormat/>
    <w:rPr>
      <w:rFonts w:cs="Wingdings"/>
    </w:rPr>
  </w:style>
  <w:style w:type="character" w:styleId="ListLabel603" w:customStyle="1">
    <w:name w:val="ListLabel 603"/>
    <w:qFormat/>
    <w:rPr>
      <w:rFonts w:cs="Courier New"/>
    </w:rPr>
  </w:style>
  <w:style w:type="character" w:styleId="ListLabel604" w:customStyle="1">
    <w:name w:val="ListLabel 604"/>
    <w:qFormat/>
    <w:rPr>
      <w:rFonts w:cs="Courier New"/>
    </w:rPr>
  </w:style>
  <w:style w:type="character" w:styleId="ListLabel605" w:customStyle="1">
    <w:name w:val="ListLabel 605"/>
    <w:qFormat/>
    <w:rPr>
      <w:rFonts w:cs="Wingdings"/>
    </w:rPr>
  </w:style>
  <w:style w:type="character" w:styleId="ListLabel606" w:customStyle="1">
    <w:name w:val="ListLabel 606"/>
    <w:qFormat/>
    <w:rPr>
      <w:rFonts w:cs="Symbol"/>
    </w:rPr>
  </w:style>
  <w:style w:type="character" w:styleId="ListLabel607" w:customStyle="1">
    <w:name w:val="ListLabel 607"/>
    <w:qFormat/>
    <w:rPr>
      <w:rFonts w:cs="Courier New"/>
    </w:rPr>
  </w:style>
  <w:style w:type="character" w:styleId="ListLabel608" w:customStyle="1">
    <w:name w:val="ListLabel 608"/>
    <w:qFormat/>
    <w:rPr>
      <w:rFonts w:cs="Wingdings"/>
    </w:rPr>
  </w:style>
  <w:style w:type="character" w:styleId="ListLabel609" w:customStyle="1">
    <w:name w:val="ListLabel 609"/>
    <w:qFormat/>
    <w:rPr>
      <w:rFonts w:cs="Symbol"/>
    </w:rPr>
  </w:style>
  <w:style w:type="character" w:styleId="ListLabel610" w:customStyle="1">
    <w:name w:val="ListLabel 610"/>
    <w:qFormat/>
    <w:rPr>
      <w:rFonts w:cs="Courier New"/>
    </w:rPr>
  </w:style>
  <w:style w:type="character" w:styleId="ListLabel611" w:customStyle="1">
    <w:name w:val="ListLabel 611"/>
    <w:qFormat/>
    <w:rPr>
      <w:rFonts w:cs="Wingdings"/>
    </w:rPr>
  </w:style>
  <w:style w:type="character" w:styleId="ListLabel612" w:customStyle="1">
    <w:name w:val="ListLabel 612"/>
    <w:qFormat/>
    <w:rPr>
      <w:rFonts w:cs="Courier New"/>
    </w:rPr>
  </w:style>
  <w:style w:type="character" w:styleId="ListLabel613" w:customStyle="1">
    <w:name w:val="ListLabel 613"/>
    <w:qFormat/>
    <w:rPr>
      <w:rFonts w:cs="Courier New"/>
    </w:rPr>
  </w:style>
  <w:style w:type="character" w:styleId="ListLabel614" w:customStyle="1">
    <w:name w:val="ListLabel 614"/>
    <w:qFormat/>
    <w:rPr>
      <w:rFonts w:cs="Wingdings"/>
    </w:rPr>
  </w:style>
  <w:style w:type="character" w:styleId="ListLabel615" w:customStyle="1">
    <w:name w:val="ListLabel 615"/>
    <w:qFormat/>
    <w:rPr>
      <w:rFonts w:cs="Symbol"/>
    </w:rPr>
  </w:style>
  <w:style w:type="character" w:styleId="ListLabel616" w:customStyle="1">
    <w:name w:val="ListLabel 616"/>
    <w:qFormat/>
    <w:rPr>
      <w:rFonts w:cs="Courier New"/>
    </w:rPr>
  </w:style>
  <w:style w:type="character" w:styleId="ListLabel617" w:customStyle="1">
    <w:name w:val="ListLabel 617"/>
    <w:qFormat/>
    <w:rPr>
      <w:rFonts w:cs="Wingdings"/>
    </w:rPr>
  </w:style>
  <w:style w:type="character" w:styleId="ListLabel618" w:customStyle="1">
    <w:name w:val="ListLabel 618"/>
    <w:qFormat/>
    <w:rPr>
      <w:rFonts w:cs="Symbol"/>
    </w:rPr>
  </w:style>
  <w:style w:type="character" w:styleId="ListLabel619" w:customStyle="1">
    <w:name w:val="ListLabel 619"/>
    <w:qFormat/>
    <w:rPr>
      <w:rFonts w:cs="Courier New"/>
    </w:rPr>
  </w:style>
  <w:style w:type="character" w:styleId="ListLabel620" w:customStyle="1">
    <w:name w:val="ListLabel 620"/>
    <w:qFormat/>
    <w:rPr>
      <w:rFonts w:cs="Wingdings"/>
    </w:rPr>
  </w:style>
  <w:style w:type="character" w:styleId="ListLabel621" w:customStyle="1">
    <w:name w:val="ListLabel 621"/>
    <w:qFormat/>
    <w:rPr>
      <w:rFonts w:cs="Courier New"/>
    </w:rPr>
  </w:style>
  <w:style w:type="character" w:styleId="ListLabel622" w:customStyle="1">
    <w:name w:val="ListLabel 622"/>
    <w:qFormat/>
    <w:rPr>
      <w:rFonts w:cs="Courier New"/>
    </w:rPr>
  </w:style>
  <w:style w:type="character" w:styleId="ListLabel623" w:customStyle="1">
    <w:name w:val="ListLabel 623"/>
    <w:qFormat/>
    <w:rPr>
      <w:rFonts w:cs="Wingdings"/>
    </w:rPr>
  </w:style>
  <w:style w:type="character" w:styleId="ListLabel624" w:customStyle="1">
    <w:name w:val="ListLabel 624"/>
    <w:qFormat/>
    <w:rPr>
      <w:rFonts w:cs="Symbol"/>
    </w:rPr>
  </w:style>
  <w:style w:type="character" w:styleId="ListLabel625" w:customStyle="1">
    <w:name w:val="ListLabel 625"/>
    <w:qFormat/>
    <w:rPr>
      <w:rFonts w:cs="Courier New"/>
    </w:rPr>
  </w:style>
  <w:style w:type="character" w:styleId="ListLabel626" w:customStyle="1">
    <w:name w:val="ListLabel 626"/>
    <w:qFormat/>
    <w:rPr>
      <w:rFonts w:cs="Wingdings"/>
    </w:rPr>
  </w:style>
  <w:style w:type="character" w:styleId="ListLabel627" w:customStyle="1">
    <w:name w:val="ListLabel 627"/>
    <w:qFormat/>
    <w:rPr>
      <w:rFonts w:cs="Symbol"/>
    </w:rPr>
  </w:style>
  <w:style w:type="character" w:styleId="ListLabel628" w:customStyle="1">
    <w:name w:val="ListLabel 628"/>
    <w:qFormat/>
    <w:rPr>
      <w:rFonts w:cs="Courier New"/>
    </w:rPr>
  </w:style>
  <w:style w:type="character" w:styleId="ListLabel629" w:customStyle="1">
    <w:name w:val="ListLabel 629"/>
    <w:qFormat/>
    <w:rPr>
      <w:rFonts w:cs="Wingdings"/>
    </w:rPr>
  </w:style>
  <w:style w:type="character" w:styleId="ListLabel630" w:customStyle="1">
    <w:name w:val="ListLabel 630"/>
    <w:qFormat/>
    <w:rPr>
      <w:rFonts w:cs="Symbol"/>
    </w:rPr>
  </w:style>
  <w:style w:type="character" w:styleId="ListLabel631" w:customStyle="1">
    <w:name w:val="ListLabel 631"/>
    <w:qFormat/>
    <w:rPr>
      <w:rFonts w:cs="Courier New"/>
    </w:rPr>
  </w:style>
  <w:style w:type="character" w:styleId="ListLabel632" w:customStyle="1">
    <w:name w:val="ListLabel 632"/>
    <w:qFormat/>
    <w:rPr>
      <w:rFonts w:cs="Wingdings"/>
    </w:rPr>
  </w:style>
  <w:style w:type="character" w:styleId="ListLabel633" w:customStyle="1">
    <w:name w:val="ListLabel 633"/>
    <w:qFormat/>
    <w:rPr>
      <w:rFonts w:cs="Symbol"/>
    </w:rPr>
  </w:style>
  <w:style w:type="character" w:styleId="ListLabel634" w:customStyle="1">
    <w:name w:val="ListLabel 634"/>
    <w:qFormat/>
    <w:rPr>
      <w:rFonts w:cs="Courier New"/>
    </w:rPr>
  </w:style>
  <w:style w:type="character" w:styleId="ListLabel635" w:customStyle="1">
    <w:name w:val="ListLabel 635"/>
    <w:qFormat/>
    <w:rPr>
      <w:rFonts w:cs="Wingdings"/>
    </w:rPr>
  </w:style>
  <w:style w:type="character" w:styleId="ListLabel636" w:customStyle="1">
    <w:name w:val="ListLabel 636"/>
    <w:qFormat/>
    <w:rPr>
      <w:rFonts w:cs="Symbol"/>
    </w:rPr>
  </w:style>
  <w:style w:type="character" w:styleId="ListLabel637" w:customStyle="1">
    <w:name w:val="ListLabel 637"/>
    <w:qFormat/>
    <w:rPr>
      <w:rFonts w:cs="Courier New"/>
    </w:rPr>
  </w:style>
  <w:style w:type="character" w:styleId="ListLabel638" w:customStyle="1">
    <w:name w:val="ListLabel 638"/>
    <w:qFormat/>
    <w:rPr>
      <w:rFonts w:cs="Wingdings"/>
    </w:rPr>
  </w:style>
  <w:style w:type="character" w:styleId="ListLabel639" w:customStyle="1">
    <w:name w:val="ListLabel 639"/>
    <w:qFormat/>
    <w:rPr>
      <w:i w:val="false"/>
    </w:rPr>
  </w:style>
  <w:style w:type="character" w:styleId="ListLabel640" w:customStyle="1">
    <w:name w:val="ListLabel 640"/>
    <w:qFormat/>
    <w:rPr>
      <w:rFonts w:cs="Symbol"/>
    </w:rPr>
  </w:style>
  <w:style w:type="character" w:styleId="ListLabel641" w:customStyle="1">
    <w:name w:val="ListLabel 641"/>
    <w:qFormat/>
    <w:rPr>
      <w:rFonts w:cs="Courier New"/>
    </w:rPr>
  </w:style>
  <w:style w:type="character" w:styleId="ListLabel642" w:customStyle="1">
    <w:name w:val="ListLabel 642"/>
    <w:qFormat/>
    <w:rPr>
      <w:rFonts w:cs="Wingdings"/>
    </w:rPr>
  </w:style>
  <w:style w:type="character" w:styleId="ListLabel643" w:customStyle="1">
    <w:name w:val="ListLabel 643"/>
    <w:qFormat/>
    <w:rPr>
      <w:rFonts w:cs="Symbol"/>
    </w:rPr>
  </w:style>
  <w:style w:type="character" w:styleId="ListLabel644" w:customStyle="1">
    <w:name w:val="ListLabel 644"/>
    <w:qFormat/>
    <w:rPr>
      <w:rFonts w:cs="Courier New"/>
    </w:rPr>
  </w:style>
  <w:style w:type="character" w:styleId="ListLabel645" w:customStyle="1">
    <w:name w:val="ListLabel 645"/>
    <w:qFormat/>
    <w:rPr>
      <w:rFonts w:cs="Wingdings"/>
    </w:rPr>
  </w:style>
  <w:style w:type="character" w:styleId="ListLabel646" w:customStyle="1">
    <w:name w:val="ListLabel 646"/>
    <w:qFormat/>
    <w:rPr>
      <w:rFonts w:cs="Symbol"/>
    </w:rPr>
  </w:style>
  <w:style w:type="character" w:styleId="ListLabel647" w:customStyle="1">
    <w:name w:val="ListLabel 647"/>
    <w:qFormat/>
    <w:rPr>
      <w:rFonts w:cs="Courier New"/>
    </w:rPr>
  </w:style>
  <w:style w:type="character" w:styleId="ListLabel648" w:customStyle="1">
    <w:name w:val="ListLabel 648"/>
    <w:qFormat/>
    <w:rPr>
      <w:rFonts w:cs="Wingdings"/>
    </w:rPr>
  </w:style>
  <w:style w:type="character" w:styleId="ListLabel649" w:customStyle="1">
    <w:name w:val="ListLabel 649"/>
    <w:qFormat/>
    <w:rPr>
      <w:rFonts w:cs="Courier New"/>
    </w:rPr>
  </w:style>
  <w:style w:type="character" w:styleId="ListLabel650" w:customStyle="1">
    <w:name w:val="ListLabel 650"/>
    <w:qFormat/>
    <w:rPr>
      <w:rFonts w:cs="Wingdings"/>
    </w:rPr>
  </w:style>
  <w:style w:type="character" w:styleId="ListLabel651" w:customStyle="1">
    <w:name w:val="ListLabel 651"/>
    <w:qFormat/>
    <w:rPr>
      <w:rFonts w:cs="Symbol"/>
    </w:rPr>
  </w:style>
  <w:style w:type="character" w:styleId="ListLabel652" w:customStyle="1">
    <w:name w:val="ListLabel 652"/>
    <w:qFormat/>
    <w:rPr>
      <w:rFonts w:cs="Courier New"/>
    </w:rPr>
  </w:style>
  <w:style w:type="character" w:styleId="ListLabel653" w:customStyle="1">
    <w:name w:val="ListLabel 653"/>
    <w:qFormat/>
    <w:rPr>
      <w:rFonts w:cs="Wingdings"/>
    </w:rPr>
  </w:style>
  <w:style w:type="character" w:styleId="ListLabel654" w:customStyle="1">
    <w:name w:val="ListLabel 654"/>
    <w:qFormat/>
    <w:rPr>
      <w:rFonts w:cs="Symbol"/>
    </w:rPr>
  </w:style>
  <w:style w:type="character" w:styleId="ListLabel655" w:customStyle="1">
    <w:name w:val="ListLabel 655"/>
    <w:qFormat/>
    <w:rPr>
      <w:rFonts w:cs="Courier New"/>
    </w:rPr>
  </w:style>
  <w:style w:type="character" w:styleId="ListLabel656" w:customStyle="1">
    <w:name w:val="ListLabel 656"/>
    <w:qFormat/>
    <w:rPr>
      <w:rFonts w:cs="Wingdings"/>
    </w:rPr>
  </w:style>
  <w:style w:type="character" w:styleId="ListLabel657" w:customStyle="1">
    <w:name w:val="ListLabel 657"/>
    <w:qFormat/>
    <w:rPr>
      <w:i w:val="false"/>
    </w:rPr>
  </w:style>
  <w:style w:type="character" w:styleId="ListLabel658" w:customStyle="1">
    <w:name w:val="ListLabel 658"/>
    <w:qFormat/>
    <w:rPr>
      <w:rFonts w:cs="Symbol"/>
    </w:rPr>
  </w:style>
  <w:style w:type="character" w:styleId="ListLabel659" w:customStyle="1">
    <w:name w:val="ListLabel 659"/>
    <w:qFormat/>
    <w:rPr>
      <w:rFonts w:cs="Courier New"/>
    </w:rPr>
  </w:style>
  <w:style w:type="character" w:styleId="ListLabel660" w:customStyle="1">
    <w:name w:val="ListLabel 660"/>
    <w:qFormat/>
    <w:rPr>
      <w:rFonts w:cs="Wingdings"/>
    </w:rPr>
  </w:style>
  <w:style w:type="character" w:styleId="ListLabel661" w:customStyle="1">
    <w:name w:val="ListLabel 661"/>
    <w:qFormat/>
    <w:rPr>
      <w:rFonts w:cs="Symbol"/>
    </w:rPr>
  </w:style>
  <w:style w:type="character" w:styleId="ListLabel662" w:customStyle="1">
    <w:name w:val="ListLabel 662"/>
    <w:qFormat/>
    <w:rPr>
      <w:rFonts w:cs="Courier New"/>
    </w:rPr>
  </w:style>
  <w:style w:type="character" w:styleId="ListLabel663" w:customStyle="1">
    <w:name w:val="ListLabel 663"/>
    <w:qFormat/>
    <w:rPr>
      <w:rFonts w:cs="Wingdings"/>
    </w:rPr>
  </w:style>
  <w:style w:type="character" w:styleId="ListLabel664" w:customStyle="1">
    <w:name w:val="ListLabel 664"/>
    <w:qFormat/>
    <w:rPr>
      <w:rFonts w:cs="Symbol"/>
    </w:rPr>
  </w:style>
  <w:style w:type="character" w:styleId="ListLabel665" w:customStyle="1">
    <w:name w:val="ListLabel 665"/>
    <w:qFormat/>
    <w:rPr>
      <w:rFonts w:cs="Courier New"/>
    </w:rPr>
  </w:style>
  <w:style w:type="character" w:styleId="ListLabel666" w:customStyle="1">
    <w:name w:val="ListLabel 666"/>
    <w:qFormat/>
    <w:rPr>
      <w:rFonts w:cs="Wingdings"/>
    </w:rPr>
  </w:style>
  <w:style w:type="character" w:styleId="ListLabel667" w:customStyle="1">
    <w:name w:val="ListLabel 667"/>
    <w:qFormat/>
    <w:rPr>
      <w:rFonts w:cs="Symbol"/>
      <w:i w:val="false"/>
    </w:rPr>
  </w:style>
  <w:style w:type="character" w:styleId="ListLabel668" w:customStyle="1">
    <w:name w:val="ListLabel 668"/>
    <w:qFormat/>
    <w:rPr>
      <w:rFonts w:cs="Symbol"/>
    </w:rPr>
  </w:style>
  <w:style w:type="character" w:styleId="ListLabel669" w:customStyle="1">
    <w:name w:val="ListLabel 669"/>
    <w:qFormat/>
    <w:rPr>
      <w:rFonts w:cs="Courier New"/>
    </w:rPr>
  </w:style>
  <w:style w:type="character" w:styleId="ListLabel670" w:customStyle="1">
    <w:name w:val="ListLabel 670"/>
    <w:qFormat/>
    <w:rPr>
      <w:rFonts w:cs="Wingdings"/>
    </w:rPr>
  </w:style>
  <w:style w:type="character" w:styleId="ListLabel671" w:customStyle="1">
    <w:name w:val="ListLabel 671"/>
    <w:qFormat/>
    <w:rPr>
      <w:rFonts w:cs="Symbol"/>
    </w:rPr>
  </w:style>
  <w:style w:type="character" w:styleId="ListLabel672" w:customStyle="1">
    <w:name w:val="ListLabel 672"/>
    <w:qFormat/>
    <w:rPr>
      <w:rFonts w:cs="Courier New"/>
    </w:rPr>
  </w:style>
  <w:style w:type="character" w:styleId="ListLabel673" w:customStyle="1">
    <w:name w:val="ListLabel 673"/>
    <w:qFormat/>
    <w:rPr>
      <w:rFonts w:cs="Wingdings"/>
    </w:rPr>
  </w:style>
  <w:style w:type="character" w:styleId="ListLabel674" w:customStyle="1">
    <w:name w:val="ListLabel 674"/>
    <w:qFormat/>
    <w:rPr>
      <w:rFonts w:cs="Symbol"/>
    </w:rPr>
  </w:style>
  <w:style w:type="character" w:styleId="ListLabel675" w:customStyle="1">
    <w:name w:val="ListLabel 675"/>
    <w:qFormat/>
    <w:rPr>
      <w:rFonts w:cs="Courier New"/>
    </w:rPr>
  </w:style>
  <w:style w:type="character" w:styleId="ListLabel676" w:customStyle="1">
    <w:name w:val="ListLabel 676"/>
    <w:qFormat/>
    <w:rPr>
      <w:rFonts w:cs="Wingdings"/>
    </w:rPr>
  </w:style>
  <w:style w:type="character" w:styleId="ListLabel677" w:customStyle="1">
    <w:name w:val="ListLabel 677"/>
    <w:qFormat/>
    <w:rPr>
      <w:color w:val="FFFFFF"/>
    </w:rPr>
  </w:style>
  <w:style w:type="character" w:styleId="ListLabel678" w:customStyle="1">
    <w:name w:val="ListLabel 678"/>
    <w:qFormat/>
    <w:rPr>
      <w:rFonts w:cs="Symbol"/>
    </w:rPr>
  </w:style>
  <w:style w:type="character" w:styleId="ListLabel679" w:customStyle="1">
    <w:name w:val="ListLabel 679"/>
    <w:qFormat/>
    <w:rPr>
      <w:rFonts w:cs="Courier New"/>
    </w:rPr>
  </w:style>
  <w:style w:type="character" w:styleId="ListLabel680" w:customStyle="1">
    <w:name w:val="ListLabel 680"/>
    <w:qFormat/>
    <w:rPr>
      <w:rFonts w:cs="Wingdings"/>
    </w:rPr>
  </w:style>
  <w:style w:type="character" w:styleId="ListLabel681" w:customStyle="1">
    <w:name w:val="ListLabel 681"/>
    <w:qFormat/>
    <w:rPr>
      <w:rFonts w:cs="Symbol"/>
    </w:rPr>
  </w:style>
  <w:style w:type="character" w:styleId="ListLabel682" w:customStyle="1">
    <w:name w:val="ListLabel 682"/>
    <w:qFormat/>
    <w:rPr>
      <w:rFonts w:cs="Courier New"/>
    </w:rPr>
  </w:style>
  <w:style w:type="character" w:styleId="ListLabel683" w:customStyle="1">
    <w:name w:val="ListLabel 683"/>
    <w:qFormat/>
    <w:rPr>
      <w:rFonts w:cs="Wingdings"/>
    </w:rPr>
  </w:style>
  <w:style w:type="character" w:styleId="ListLabel684" w:customStyle="1">
    <w:name w:val="ListLabel 684"/>
    <w:qFormat/>
    <w:rPr>
      <w:rFonts w:cs="Symbol"/>
    </w:rPr>
  </w:style>
  <w:style w:type="character" w:styleId="ListLabel685" w:customStyle="1">
    <w:name w:val="ListLabel 685"/>
    <w:qFormat/>
    <w:rPr>
      <w:rFonts w:cs="Courier New"/>
    </w:rPr>
  </w:style>
  <w:style w:type="character" w:styleId="ListLabel686" w:customStyle="1">
    <w:name w:val="ListLabel 686"/>
    <w:qFormat/>
    <w:rPr>
      <w:rFonts w:cs="Wingdings"/>
    </w:rPr>
  </w:style>
  <w:style w:type="character" w:styleId="ListLabel687" w:customStyle="1">
    <w:name w:val="ListLabel 687"/>
    <w:qFormat/>
    <w:rPr>
      <w:rFonts w:cs="Symbol"/>
    </w:rPr>
  </w:style>
  <w:style w:type="character" w:styleId="ListLabel688" w:customStyle="1">
    <w:name w:val="ListLabel 688"/>
    <w:qFormat/>
    <w:rPr>
      <w:rFonts w:cs="Courier New"/>
    </w:rPr>
  </w:style>
  <w:style w:type="character" w:styleId="ListLabel689" w:customStyle="1">
    <w:name w:val="ListLabel 689"/>
    <w:qFormat/>
    <w:rPr>
      <w:rFonts w:cs="Wingdings"/>
    </w:rPr>
  </w:style>
  <w:style w:type="character" w:styleId="ListLabel690" w:customStyle="1">
    <w:name w:val="ListLabel 690"/>
    <w:qFormat/>
    <w:rPr>
      <w:rFonts w:cs="Symbol"/>
    </w:rPr>
  </w:style>
  <w:style w:type="character" w:styleId="ListLabel691" w:customStyle="1">
    <w:name w:val="ListLabel 691"/>
    <w:qFormat/>
    <w:rPr>
      <w:rFonts w:cs="Courier New"/>
    </w:rPr>
  </w:style>
  <w:style w:type="character" w:styleId="ListLabel692" w:customStyle="1">
    <w:name w:val="ListLabel 692"/>
    <w:qFormat/>
    <w:rPr>
      <w:rFonts w:cs="Wingdings"/>
    </w:rPr>
  </w:style>
  <w:style w:type="character" w:styleId="ListLabel693" w:customStyle="1">
    <w:name w:val="ListLabel 693"/>
    <w:qFormat/>
    <w:rPr>
      <w:rFonts w:cs="Symbol"/>
    </w:rPr>
  </w:style>
  <w:style w:type="character" w:styleId="ListLabel694" w:customStyle="1">
    <w:name w:val="ListLabel 694"/>
    <w:qFormat/>
    <w:rPr>
      <w:rFonts w:cs="Courier New"/>
    </w:rPr>
  </w:style>
  <w:style w:type="character" w:styleId="ListLabel695" w:customStyle="1">
    <w:name w:val="ListLabel 695"/>
    <w:qFormat/>
    <w:rPr>
      <w:rFonts w:cs="Wingdings"/>
    </w:rPr>
  </w:style>
  <w:style w:type="character" w:styleId="ListLabel696" w:customStyle="1">
    <w:name w:val="ListLabel 696"/>
    <w:qFormat/>
    <w:rPr>
      <w:rFonts w:cs="Symbol"/>
      <w:sz w:val="21"/>
    </w:rPr>
  </w:style>
  <w:style w:type="character" w:styleId="ListLabel697" w:customStyle="1">
    <w:name w:val="ListLabel 697"/>
    <w:qFormat/>
    <w:rPr>
      <w:rFonts w:cs="Courier New"/>
    </w:rPr>
  </w:style>
  <w:style w:type="character" w:styleId="ListLabel698" w:customStyle="1">
    <w:name w:val="ListLabel 698"/>
    <w:qFormat/>
    <w:rPr>
      <w:rFonts w:cs="Wingdings"/>
    </w:rPr>
  </w:style>
  <w:style w:type="character" w:styleId="ListLabel699" w:customStyle="1">
    <w:name w:val="ListLabel 699"/>
    <w:qFormat/>
    <w:rPr>
      <w:rFonts w:cs="Symbol"/>
    </w:rPr>
  </w:style>
  <w:style w:type="character" w:styleId="ListLabel700" w:customStyle="1">
    <w:name w:val="ListLabel 700"/>
    <w:qFormat/>
    <w:rPr>
      <w:rFonts w:cs="Courier New"/>
    </w:rPr>
  </w:style>
  <w:style w:type="character" w:styleId="ListLabel701" w:customStyle="1">
    <w:name w:val="ListLabel 701"/>
    <w:qFormat/>
    <w:rPr>
      <w:rFonts w:cs="Wingdings"/>
    </w:rPr>
  </w:style>
  <w:style w:type="character" w:styleId="ListLabel702" w:customStyle="1">
    <w:name w:val="ListLabel 702"/>
    <w:qFormat/>
    <w:rPr>
      <w:rFonts w:cs="Symbol"/>
    </w:rPr>
  </w:style>
  <w:style w:type="character" w:styleId="ListLabel703" w:customStyle="1">
    <w:name w:val="ListLabel 703"/>
    <w:qFormat/>
    <w:rPr>
      <w:rFonts w:cs="Courier New"/>
    </w:rPr>
  </w:style>
  <w:style w:type="character" w:styleId="ListLabel704" w:customStyle="1">
    <w:name w:val="ListLabel 704"/>
    <w:qFormat/>
    <w:rPr>
      <w:rFonts w:cs="Wingdings"/>
    </w:rPr>
  </w:style>
  <w:style w:type="character" w:styleId="ListLabel705" w:customStyle="1">
    <w:name w:val="ListLabel 705"/>
    <w:qFormat/>
    <w:rPr>
      <w:rFonts w:cs="Courier New"/>
    </w:rPr>
  </w:style>
  <w:style w:type="character" w:styleId="ListLabel706" w:customStyle="1">
    <w:name w:val="ListLabel 706"/>
    <w:qFormat/>
    <w:rPr>
      <w:rFonts w:cs="Courier New"/>
    </w:rPr>
  </w:style>
  <w:style w:type="character" w:styleId="ListLabel707" w:customStyle="1">
    <w:name w:val="ListLabel 707"/>
    <w:qFormat/>
    <w:rPr>
      <w:rFonts w:cs="Wingdings"/>
    </w:rPr>
  </w:style>
  <w:style w:type="character" w:styleId="ListLabel708" w:customStyle="1">
    <w:name w:val="ListLabel 708"/>
    <w:qFormat/>
    <w:rPr>
      <w:rFonts w:cs="Symbol"/>
    </w:rPr>
  </w:style>
  <w:style w:type="character" w:styleId="ListLabel709" w:customStyle="1">
    <w:name w:val="ListLabel 709"/>
    <w:qFormat/>
    <w:rPr>
      <w:rFonts w:cs="Courier New"/>
    </w:rPr>
  </w:style>
  <w:style w:type="character" w:styleId="ListLabel710" w:customStyle="1">
    <w:name w:val="ListLabel 710"/>
    <w:qFormat/>
    <w:rPr>
      <w:rFonts w:cs="Wingdings"/>
    </w:rPr>
  </w:style>
  <w:style w:type="character" w:styleId="ListLabel711" w:customStyle="1">
    <w:name w:val="ListLabel 711"/>
    <w:qFormat/>
    <w:rPr>
      <w:rFonts w:cs="Symbol"/>
    </w:rPr>
  </w:style>
  <w:style w:type="character" w:styleId="ListLabel712" w:customStyle="1">
    <w:name w:val="ListLabel 712"/>
    <w:qFormat/>
    <w:rPr>
      <w:rFonts w:cs="Courier New"/>
    </w:rPr>
  </w:style>
  <w:style w:type="character" w:styleId="ListLabel713" w:customStyle="1">
    <w:name w:val="ListLabel 713"/>
    <w:qFormat/>
    <w:rPr>
      <w:rFonts w:cs="Wingdings"/>
    </w:rPr>
  </w:style>
  <w:style w:type="character" w:styleId="ListLabel714" w:customStyle="1">
    <w:name w:val="ListLabel 714"/>
    <w:qFormat/>
    <w:rPr>
      <w:rFonts w:cs="Symbol"/>
    </w:rPr>
  </w:style>
  <w:style w:type="character" w:styleId="ListLabel715" w:customStyle="1">
    <w:name w:val="ListLabel 715"/>
    <w:qFormat/>
    <w:rPr>
      <w:rFonts w:cs="Courier New"/>
    </w:rPr>
  </w:style>
  <w:style w:type="character" w:styleId="ListLabel716" w:customStyle="1">
    <w:name w:val="ListLabel 716"/>
    <w:qFormat/>
    <w:rPr>
      <w:rFonts w:cs="Wingdings"/>
    </w:rPr>
  </w:style>
  <w:style w:type="character" w:styleId="ListLabel717" w:customStyle="1">
    <w:name w:val="ListLabel 717"/>
    <w:qFormat/>
    <w:rPr>
      <w:rFonts w:cs="Symbol"/>
    </w:rPr>
  </w:style>
  <w:style w:type="character" w:styleId="ListLabel718" w:customStyle="1">
    <w:name w:val="ListLabel 718"/>
    <w:qFormat/>
    <w:rPr>
      <w:rFonts w:cs="Courier New"/>
    </w:rPr>
  </w:style>
  <w:style w:type="character" w:styleId="ListLabel719" w:customStyle="1">
    <w:name w:val="ListLabel 719"/>
    <w:qFormat/>
    <w:rPr>
      <w:rFonts w:cs="Wingdings"/>
    </w:rPr>
  </w:style>
  <w:style w:type="character" w:styleId="ListLabel720" w:customStyle="1">
    <w:name w:val="ListLabel 720"/>
    <w:qFormat/>
    <w:rPr>
      <w:rFonts w:cs="Symbol"/>
    </w:rPr>
  </w:style>
  <w:style w:type="character" w:styleId="ListLabel721" w:customStyle="1">
    <w:name w:val="ListLabel 721"/>
    <w:qFormat/>
    <w:rPr>
      <w:rFonts w:cs="Courier New"/>
    </w:rPr>
  </w:style>
  <w:style w:type="character" w:styleId="ListLabel722" w:customStyle="1">
    <w:name w:val="ListLabel 722"/>
    <w:qFormat/>
    <w:rPr>
      <w:rFonts w:cs="Wingdings"/>
    </w:rPr>
  </w:style>
  <w:style w:type="character" w:styleId="ListLabel723" w:customStyle="1">
    <w:name w:val="ListLabel 723"/>
    <w:qFormat/>
    <w:rPr>
      <w:rFonts w:cs="Symbol"/>
    </w:rPr>
  </w:style>
  <w:style w:type="character" w:styleId="ListLabel724" w:customStyle="1">
    <w:name w:val="ListLabel 724"/>
    <w:qFormat/>
    <w:rPr>
      <w:rFonts w:cs="Courier New"/>
    </w:rPr>
  </w:style>
  <w:style w:type="character" w:styleId="ListLabel725" w:customStyle="1">
    <w:name w:val="ListLabel 725"/>
    <w:qFormat/>
    <w:rPr>
      <w:rFonts w:cs="Wingdings"/>
    </w:rPr>
  </w:style>
  <w:style w:type="character" w:styleId="ListLabel726" w:customStyle="1">
    <w:name w:val="ListLabel 726"/>
    <w:qFormat/>
    <w:rPr>
      <w:rFonts w:cs="Symbol"/>
    </w:rPr>
  </w:style>
  <w:style w:type="character" w:styleId="ListLabel727" w:customStyle="1">
    <w:name w:val="ListLabel 727"/>
    <w:qFormat/>
    <w:rPr>
      <w:rFonts w:cs="Courier New"/>
    </w:rPr>
  </w:style>
  <w:style w:type="character" w:styleId="ListLabel728" w:customStyle="1">
    <w:name w:val="ListLabel 728"/>
    <w:qFormat/>
    <w:rPr>
      <w:rFonts w:cs="Wingdings"/>
    </w:rPr>
  </w:style>
  <w:style w:type="character" w:styleId="ListLabel729" w:customStyle="1">
    <w:name w:val="ListLabel 729"/>
    <w:qFormat/>
    <w:rPr>
      <w:rFonts w:cs="Symbol"/>
    </w:rPr>
  </w:style>
  <w:style w:type="character" w:styleId="ListLabel730" w:customStyle="1">
    <w:name w:val="ListLabel 730"/>
    <w:qFormat/>
    <w:rPr>
      <w:rFonts w:cs="Courier New"/>
    </w:rPr>
  </w:style>
  <w:style w:type="character" w:styleId="ListLabel731" w:customStyle="1">
    <w:name w:val="ListLabel 731"/>
    <w:qFormat/>
    <w:rPr>
      <w:rFonts w:cs="Wingdings"/>
    </w:rPr>
  </w:style>
  <w:style w:type="character" w:styleId="ListLabel732" w:customStyle="1">
    <w:name w:val="ListLabel 732"/>
    <w:qFormat/>
    <w:rPr>
      <w:rFonts w:cs="Symbol"/>
    </w:rPr>
  </w:style>
  <w:style w:type="character" w:styleId="ListLabel733" w:customStyle="1">
    <w:name w:val="ListLabel 733"/>
    <w:qFormat/>
    <w:rPr>
      <w:rFonts w:cs="Courier New"/>
    </w:rPr>
  </w:style>
  <w:style w:type="character" w:styleId="ListLabel734" w:customStyle="1">
    <w:name w:val="ListLabel 734"/>
    <w:qFormat/>
    <w:rPr>
      <w:rFonts w:cs="Wingdings"/>
    </w:rPr>
  </w:style>
  <w:style w:type="character" w:styleId="ListLabel735" w:customStyle="1">
    <w:name w:val="ListLabel 735"/>
    <w:qFormat/>
    <w:rPr>
      <w:rFonts w:cs="Symbol"/>
    </w:rPr>
  </w:style>
  <w:style w:type="character" w:styleId="ListLabel736" w:customStyle="1">
    <w:name w:val="ListLabel 736"/>
    <w:qFormat/>
    <w:rPr>
      <w:rFonts w:cs="Courier New"/>
    </w:rPr>
  </w:style>
  <w:style w:type="character" w:styleId="ListLabel737" w:customStyle="1">
    <w:name w:val="ListLabel 737"/>
    <w:qFormat/>
    <w:rPr>
      <w:rFonts w:cs="Wingdings"/>
    </w:rPr>
  </w:style>
  <w:style w:type="character" w:styleId="ListLabel738" w:customStyle="1">
    <w:name w:val="ListLabel 738"/>
    <w:qFormat/>
    <w:rPr>
      <w:rFonts w:cs="Symbol"/>
    </w:rPr>
  </w:style>
  <w:style w:type="character" w:styleId="ListLabel739" w:customStyle="1">
    <w:name w:val="ListLabel 739"/>
    <w:qFormat/>
    <w:rPr>
      <w:rFonts w:cs="Courier New"/>
    </w:rPr>
  </w:style>
  <w:style w:type="character" w:styleId="ListLabel740" w:customStyle="1">
    <w:name w:val="ListLabel 740"/>
    <w:qFormat/>
    <w:rPr>
      <w:rFonts w:cs="Wingdings"/>
    </w:rPr>
  </w:style>
  <w:style w:type="character" w:styleId="ListLabel741" w:customStyle="1">
    <w:name w:val="ListLabel 741"/>
    <w:qFormat/>
    <w:rPr>
      <w:b/>
      <w:color w:val="FFFFFF"/>
    </w:rPr>
  </w:style>
  <w:style w:type="character" w:styleId="ListLabel742" w:customStyle="1">
    <w:name w:val="ListLabel 742"/>
    <w:qFormat/>
    <w:rPr>
      <w:rFonts w:cs="OpenSymbol"/>
      <w:color w:val="000000"/>
      <w:sz w:val="22"/>
      <w:szCs w:val="22"/>
      <w:highlight w:val="white"/>
      <w:lang w:val="es-ES" w:eastAsia="zh-CN" w:bidi="ar-SA"/>
    </w:rPr>
  </w:style>
  <w:style w:type="character" w:styleId="ListLabel743" w:customStyle="1">
    <w:name w:val="ListLabel 743"/>
    <w:qFormat/>
    <w:rPr>
      <w:rFonts w:ascii="Courier New" w:hAnsi="Courier New" w:cs="Arial"/>
      <w:b w:val="false"/>
      <w:i w:val="false"/>
      <w:iCs/>
      <w:sz w:val="22"/>
      <w:szCs w:val="32"/>
    </w:rPr>
  </w:style>
  <w:style w:type="character" w:styleId="ListLabel744" w:customStyle="1">
    <w:name w:val="ListLabel 744"/>
    <w:qFormat/>
    <w:rPr>
      <w:rFonts w:cs="Symbol"/>
    </w:rPr>
  </w:style>
  <w:style w:type="character" w:styleId="ListLabel745" w:customStyle="1">
    <w:name w:val="ListLabel 745"/>
    <w:qFormat/>
    <w:rPr>
      <w:rFonts w:cs="Courier New"/>
    </w:rPr>
  </w:style>
  <w:style w:type="character" w:styleId="ListLabel746" w:customStyle="1">
    <w:name w:val="ListLabel 746"/>
    <w:qFormat/>
    <w:rPr>
      <w:rFonts w:cs="Wingdings"/>
    </w:rPr>
  </w:style>
  <w:style w:type="character" w:styleId="ListLabel747" w:customStyle="1">
    <w:name w:val="ListLabel 747"/>
    <w:qFormat/>
    <w:rPr>
      <w:rFonts w:cs="Symbol"/>
    </w:rPr>
  </w:style>
  <w:style w:type="character" w:styleId="ListLabel748" w:customStyle="1">
    <w:name w:val="ListLabel 748"/>
    <w:qFormat/>
    <w:rPr>
      <w:rFonts w:cs="Courier New"/>
    </w:rPr>
  </w:style>
  <w:style w:type="character" w:styleId="ListLabel749" w:customStyle="1">
    <w:name w:val="ListLabel 749"/>
    <w:qFormat/>
    <w:rPr>
      <w:rFonts w:cs="Wingdings"/>
    </w:rPr>
  </w:style>
  <w:style w:type="character" w:styleId="ListLabel750" w:customStyle="1">
    <w:name w:val="ListLabel 750"/>
    <w:qFormat/>
    <w:rPr>
      <w:rFonts w:cs="Symbol"/>
    </w:rPr>
  </w:style>
  <w:style w:type="character" w:styleId="ListLabel751" w:customStyle="1">
    <w:name w:val="ListLabel 751"/>
    <w:qFormat/>
    <w:rPr>
      <w:rFonts w:cs="Courier New"/>
    </w:rPr>
  </w:style>
  <w:style w:type="character" w:styleId="ListLabel752" w:customStyle="1">
    <w:name w:val="ListLabel 752"/>
    <w:qFormat/>
    <w:rPr>
      <w:rFonts w:cs="Wingdings"/>
    </w:rPr>
  </w:style>
  <w:style w:type="character" w:styleId="ListLabel753" w:customStyle="1">
    <w:name w:val="ListLabel 753"/>
    <w:qFormat/>
    <w:rPr>
      <w:i w:val="false"/>
    </w:rPr>
  </w:style>
  <w:style w:type="character" w:styleId="ListLabel754" w:customStyle="1">
    <w:name w:val="ListLabel 754"/>
    <w:qFormat/>
    <w:rPr>
      <w:i w:val="false"/>
    </w:rPr>
  </w:style>
  <w:style w:type="character" w:styleId="ListLabel755" w:customStyle="1">
    <w:name w:val="ListLabel 755"/>
    <w:qFormat/>
    <w:rPr>
      <w:rFonts w:cs="OpenSymbol"/>
      <w:color w:val="000000"/>
      <w:sz w:val="22"/>
      <w:szCs w:val="22"/>
      <w:highlight w:val="white"/>
      <w:lang w:val="es-ES" w:eastAsia="zh-CN" w:bidi="ar-SA"/>
    </w:rPr>
  </w:style>
  <w:style w:type="character" w:styleId="ListLabel756" w:customStyle="1">
    <w:name w:val="ListLabel 756"/>
    <w:qFormat/>
    <w:rPr>
      <w:rFonts w:eastAsia="Arial" w:cs="Arial"/>
      <w:i w:val="false"/>
      <w:iCs/>
      <w:sz w:val="32"/>
      <w:szCs w:val="32"/>
    </w:rPr>
  </w:style>
  <w:style w:type="character" w:styleId="ListLabel757" w:customStyle="1">
    <w:name w:val="ListLabel 757"/>
    <w:qFormat/>
    <w:rPr>
      <w:rFonts w:cs="Symbol"/>
    </w:rPr>
  </w:style>
  <w:style w:type="character" w:styleId="ListLabel758" w:customStyle="1">
    <w:name w:val="ListLabel 758"/>
    <w:qFormat/>
    <w:rPr>
      <w:rFonts w:cs="Courier New"/>
    </w:rPr>
  </w:style>
  <w:style w:type="character" w:styleId="ListLabel759" w:customStyle="1">
    <w:name w:val="ListLabel 759"/>
    <w:qFormat/>
    <w:rPr>
      <w:rFonts w:cs="Wingdings"/>
    </w:rPr>
  </w:style>
  <w:style w:type="character" w:styleId="ListLabel760" w:customStyle="1">
    <w:name w:val="ListLabel 760"/>
    <w:qFormat/>
    <w:rPr>
      <w:rFonts w:cs="Symbol"/>
    </w:rPr>
  </w:style>
  <w:style w:type="character" w:styleId="ListLabel761" w:customStyle="1">
    <w:name w:val="ListLabel 761"/>
    <w:qFormat/>
    <w:rPr>
      <w:rFonts w:cs="Courier New"/>
    </w:rPr>
  </w:style>
  <w:style w:type="character" w:styleId="ListLabel762" w:customStyle="1">
    <w:name w:val="ListLabel 762"/>
    <w:qFormat/>
    <w:rPr>
      <w:rFonts w:cs="Wingdings"/>
    </w:rPr>
  </w:style>
  <w:style w:type="character" w:styleId="ListLabel763" w:customStyle="1">
    <w:name w:val="ListLabel 763"/>
    <w:qFormat/>
    <w:rPr>
      <w:rFonts w:cs="Symbol"/>
    </w:rPr>
  </w:style>
  <w:style w:type="character" w:styleId="ListLabel764" w:customStyle="1">
    <w:name w:val="ListLabel 764"/>
    <w:qFormat/>
    <w:rPr>
      <w:rFonts w:cs="Courier New"/>
    </w:rPr>
  </w:style>
  <w:style w:type="character" w:styleId="ListLabel765" w:customStyle="1">
    <w:name w:val="ListLabel 765"/>
    <w:qFormat/>
    <w:rPr>
      <w:rFonts w:cs="Wingdings"/>
    </w:rPr>
  </w:style>
  <w:style w:type="character" w:styleId="ListLabel766" w:customStyle="1">
    <w:name w:val="ListLabel 766"/>
    <w:qFormat/>
    <w:rPr>
      <w:rFonts w:cs="Symbol"/>
    </w:rPr>
  </w:style>
  <w:style w:type="character" w:styleId="ListLabel767" w:customStyle="1">
    <w:name w:val="ListLabel 767"/>
    <w:qFormat/>
    <w:rPr>
      <w:rFonts w:cs="Courier New"/>
    </w:rPr>
  </w:style>
  <w:style w:type="character" w:styleId="ListLabel768" w:customStyle="1">
    <w:name w:val="ListLabel 768"/>
    <w:qFormat/>
    <w:rPr>
      <w:rFonts w:cs="Wingdings"/>
    </w:rPr>
  </w:style>
  <w:style w:type="character" w:styleId="ListLabel769" w:customStyle="1">
    <w:name w:val="ListLabel 769"/>
    <w:qFormat/>
    <w:rPr>
      <w:rFonts w:cs="Symbol"/>
    </w:rPr>
  </w:style>
  <w:style w:type="character" w:styleId="ListLabel770" w:customStyle="1">
    <w:name w:val="ListLabel 770"/>
    <w:qFormat/>
    <w:rPr>
      <w:rFonts w:cs="Courier New"/>
    </w:rPr>
  </w:style>
  <w:style w:type="character" w:styleId="ListLabel771" w:customStyle="1">
    <w:name w:val="ListLabel 771"/>
    <w:qFormat/>
    <w:rPr>
      <w:rFonts w:cs="Wingdings"/>
    </w:rPr>
  </w:style>
  <w:style w:type="character" w:styleId="ListLabel772" w:customStyle="1">
    <w:name w:val="ListLabel 772"/>
    <w:qFormat/>
    <w:rPr>
      <w:rFonts w:cs="Symbol"/>
    </w:rPr>
  </w:style>
  <w:style w:type="character" w:styleId="ListLabel773" w:customStyle="1">
    <w:name w:val="ListLabel 773"/>
    <w:qFormat/>
    <w:rPr>
      <w:rFonts w:cs="Courier New"/>
    </w:rPr>
  </w:style>
  <w:style w:type="character" w:styleId="ListLabel774" w:customStyle="1">
    <w:name w:val="ListLabel 774"/>
    <w:qFormat/>
    <w:rPr>
      <w:rFonts w:cs="Wingdings"/>
    </w:rPr>
  </w:style>
  <w:style w:type="character" w:styleId="ListLabel775" w:customStyle="1">
    <w:name w:val="ListLabel 775"/>
    <w:qFormat/>
    <w:rPr>
      <w:rFonts w:ascii="Arial" w:hAnsi="Arial" w:cs="Symbol"/>
      <w:sz w:val="22"/>
    </w:rPr>
  </w:style>
  <w:style w:type="character" w:styleId="ListLabel776" w:customStyle="1">
    <w:name w:val="ListLabel 776"/>
    <w:qFormat/>
    <w:rPr>
      <w:rFonts w:cs="Courier New"/>
    </w:rPr>
  </w:style>
  <w:style w:type="character" w:styleId="ListLabel777" w:customStyle="1">
    <w:name w:val="ListLabel 777"/>
    <w:qFormat/>
    <w:rPr>
      <w:rFonts w:cs="Wingdings"/>
    </w:rPr>
  </w:style>
  <w:style w:type="character" w:styleId="ListLabel778" w:customStyle="1">
    <w:name w:val="ListLabel 778"/>
    <w:qFormat/>
    <w:rPr>
      <w:rFonts w:cs="Symbol"/>
    </w:rPr>
  </w:style>
  <w:style w:type="character" w:styleId="ListLabel779" w:customStyle="1">
    <w:name w:val="ListLabel 779"/>
    <w:qFormat/>
    <w:rPr>
      <w:rFonts w:cs="Courier New"/>
    </w:rPr>
  </w:style>
  <w:style w:type="character" w:styleId="ListLabel780" w:customStyle="1">
    <w:name w:val="ListLabel 780"/>
    <w:qFormat/>
    <w:rPr>
      <w:rFonts w:cs="Wingdings"/>
    </w:rPr>
  </w:style>
  <w:style w:type="character" w:styleId="ListLabel781" w:customStyle="1">
    <w:name w:val="ListLabel 781"/>
    <w:qFormat/>
    <w:rPr>
      <w:rFonts w:cs="Symbol"/>
    </w:rPr>
  </w:style>
  <w:style w:type="character" w:styleId="ListLabel782" w:customStyle="1">
    <w:name w:val="ListLabel 782"/>
    <w:qFormat/>
    <w:rPr>
      <w:rFonts w:cs="Courier New"/>
    </w:rPr>
  </w:style>
  <w:style w:type="character" w:styleId="ListLabel783" w:customStyle="1">
    <w:name w:val="ListLabel 783"/>
    <w:qFormat/>
    <w:rPr>
      <w:rFonts w:cs="Wingdings"/>
    </w:rPr>
  </w:style>
  <w:style w:type="character" w:styleId="ListLabel784" w:customStyle="1">
    <w:name w:val="ListLabel 784"/>
    <w:qFormat/>
    <w:rPr>
      <w:rFonts w:cs="Symbol"/>
    </w:rPr>
  </w:style>
  <w:style w:type="character" w:styleId="ListLabel785" w:customStyle="1">
    <w:name w:val="ListLabel 785"/>
    <w:qFormat/>
    <w:rPr>
      <w:rFonts w:cs="Courier New"/>
    </w:rPr>
  </w:style>
  <w:style w:type="character" w:styleId="ListLabel786" w:customStyle="1">
    <w:name w:val="ListLabel 786"/>
    <w:qFormat/>
    <w:rPr>
      <w:rFonts w:cs="Wingdings"/>
    </w:rPr>
  </w:style>
  <w:style w:type="character" w:styleId="ListLabel787" w:customStyle="1">
    <w:name w:val="ListLabel 787"/>
    <w:qFormat/>
    <w:rPr>
      <w:rFonts w:cs="Symbol"/>
    </w:rPr>
  </w:style>
  <w:style w:type="character" w:styleId="ListLabel788" w:customStyle="1">
    <w:name w:val="ListLabel 788"/>
    <w:qFormat/>
    <w:rPr>
      <w:rFonts w:cs="Courier New"/>
    </w:rPr>
  </w:style>
  <w:style w:type="character" w:styleId="ListLabel789" w:customStyle="1">
    <w:name w:val="ListLabel 789"/>
    <w:qFormat/>
    <w:rPr>
      <w:rFonts w:cs="Wingdings"/>
    </w:rPr>
  </w:style>
  <w:style w:type="character" w:styleId="ListLabel790" w:customStyle="1">
    <w:name w:val="ListLabel 790"/>
    <w:qFormat/>
    <w:rPr>
      <w:rFonts w:cs="Symbol"/>
    </w:rPr>
  </w:style>
  <w:style w:type="character" w:styleId="ListLabel791" w:customStyle="1">
    <w:name w:val="ListLabel 791"/>
    <w:qFormat/>
    <w:rPr>
      <w:rFonts w:cs="Courier New"/>
    </w:rPr>
  </w:style>
  <w:style w:type="character" w:styleId="ListLabel792" w:customStyle="1">
    <w:name w:val="ListLabel 792"/>
    <w:qFormat/>
    <w:rPr>
      <w:rFonts w:cs="Wingdings"/>
    </w:rPr>
  </w:style>
  <w:style w:type="character" w:styleId="ListLabel793" w:customStyle="1">
    <w:name w:val="ListLabel 793"/>
    <w:qFormat/>
    <w:rPr>
      <w:rFonts w:cs="Symbol"/>
    </w:rPr>
  </w:style>
  <w:style w:type="character" w:styleId="ListLabel794" w:customStyle="1">
    <w:name w:val="ListLabel 794"/>
    <w:qFormat/>
    <w:rPr>
      <w:rFonts w:cs="Courier New"/>
    </w:rPr>
  </w:style>
  <w:style w:type="character" w:styleId="ListLabel795" w:customStyle="1">
    <w:name w:val="ListLabel 795"/>
    <w:qFormat/>
    <w:rPr>
      <w:rFonts w:cs="Wingdings"/>
    </w:rPr>
  </w:style>
  <w:style w:type="character" w:styleId="ListLabel796" w:customStyle="1">
    <w:name w:val="ListLabel 796"/>
    <w:qFormat/>
    <w:rPr>
      <w:rFonts w:cs="Symbol"/>
    </w:rPr>
  </w:style>
  <w:style w:type="character" w:styleId="ListLabel797" w:customStyle="1">
    <w:name w:val="ListLabel 797"/>
    <w:qFormat/>
    <w:rPr>
      <w:rFonts w:cs="Courier New"/>
    </w:rPr>
  </w:style>
  <w:style w:type="character" w:styleId="ListLabel798" w:customStyle="1">
    <w:name w:val="ListLabel 798"/>
    <w:qFormat/>
    <w:rPr>
      <w:rFonts w:cs="Wingdings"/>
    </w:rPr>
  </w:style>
  <w:style w:type="character" w:styleId="ListLabel799" w:customStyle="1">
    <w:name w:val="ListLabel 799"/>
    <w:qFormat/>
    <w:rPr>
      <w:rFonts w:cs="Symbol"/>
    </w:rPr>
  </w:style>
  <w:style w:type="character" w:styleId="ListLabel800" w:customStyle="1">
    <w:name w:val="ListLabel 800"/>
    <w:qFormat/>
    <w:rPr>
      <w:rFonts w:cs="Courier New"/>
    </w:rPr>
  </w:style>
  <w:style w:type="character" w:styleId="ListLabel801" w:customStyle="1">
    <w:name w:val="ListLabel 801"/>
    <w:qFormat/>
    <w:rPr>
      <w:rFonts w:cs="Wingdings"/>
    </w:rPr>
  </w:style>
  <w:style w:type="character" w:styleId="ListLabel802" w:customStyle="1">
    <w:name w:val="ListLabel 802"/>
    <w:qFormat/>
    <w:rPr>
      <w:sz w:val="22"/>
    </w:rPr>
  </w:style>
  <w:style w:type="character" w:styleId="ListLabel803" w:customStyle="1">
    <w:name w:val="ListLabel 803"/>
    <w:qFormat/>
    <w:rPr>
      <w:rFonts w:cs="Symbol"/>
    </w:rPr>
  </w:style>
  <w:style w:type="character" w:styleId="ListLabel804" w:customStyle="1">
    <w:name w:val="ListLabel 804"/>
    <w:qFormat/>
    <w:rPr>
      <w:rFonts w:cs="Courier New"/>
    </w:rPr>
  </w:style>
  <w:style w:type="character" w:styleId="ListLabel805" w:customStyle="1">
    <w:name w:val="ListLabel 805"/>
    <w:qFormat/>
    <w:rPr>
      <w:rFonts w:cs="Wingdings"/>
    </w:rPr>
  </w:style>
  <w:style w:type="character" w:styleId="ListLabel806" w:customStyle="1">
    <w:name w:val="ListLabel 806"/>
    <w:qFormat/>
    <w:rPr>
      <w:rFonts w:cs="Symbol"/>
    </w:rPr>
  </w:style>
  <w:style w:type="character" w:styleId="ListLabel807" w:customStyle="1">
    <w:name w:val="ListLabel 807"/>
    <w:qFormat/>
    <w:rPr>
      <w:rFonts w:cs="Courier New"/>
    </w:rPr>
  </w:style>
  <w:style w:type="character" w:styleId="ListLabel808" w:customStyle="1">
    <w:name w:val="ListLabel 808"/>
    <w:qFormat/>
    <w:rPr>
      <w:rFonts w:cs="Wingdings"/>
    </w:rPr>
  </w:style>
  <w:style w:type="character" w:styleId="ListLabel809" w:customStyle="1">
    <w:name w:val="ListLabel 809"/>
    <w:qFormat/>
    <w:rPr>
      <w:rFonts w:cs="Symbol"/>
    </w:rPr>
  </w:style>
  <w:style w:type="character" w:styleId="ListLabel810" w:customStyle="1">
    <w:name w:val="ListLabel 810"/>
    <w:qFormat/>
    <w:rPr>
      <w:rFonts w:cs="Courier New"/>
    </w:rPr>
  </w:style>
  <w:style w:type="character" w:styleId="ListLabel811" w:customStyle="1">
    <w:name w:val="ListLabel 811"/>
    <w:qFormat/>
    <w:rPr>
      <w:rFonts w:cs="Wingdings"/>
    </w:rPr>
  </w:style>
  <w:style w:type="character" w:styleId="ListLabel812" w:customStyle="1">
    <w:name w:val="ListLabel 812"/>
    <w:qFormat/>
    <w:rPr>
      <w:rFonts w:cs="Symbol"/>
    </w:rPr>
  </w:style>
  <w:style w:type="character" w:styleId="ListLabel813" w:customStyle="1">
    <w:name w:val="ListLabel 813"/>
    <w:qFormat/>
    <w:rPr>
      <w:rFonts w:cs="Courier New"/>
    </w:rPr>
  </w:style>
  <w:style w:type="character" w:styleId="ListLabel814" w:customStyle="1">
    <w:name w:val="ListLabel 814"/>
    <w:qFormat/>
    <w:rPr>
      <w:rFonts w:cs="Wingdings"/>
    </w:rPr>
  </w:style>
  <w:style w:type="character" w:styleId="ListLabel815" w:customStyle="1">
    <w:name w:val="ListLabel 815"/>
    <w:qFormat/>
    <w:rPr>
      <w:rFonts w:cs="Symbol"/>
    </w:rPr>
  </w:style>
  <w:style w:type="character" w:styleId="ListLabel816" w:customStyle="1">
    <w:name w:val="ListLabel 816"/>
    <w:qFormat/>
    <w:rPr>
      <w:rFonts w:cs="Courier New"/>
    </w:rPr>
  </w:style>
  <w:style w:type="character" w:styleId="ListLabel817" w:customStyle="1">
    <w:name w:val="ListLabel 817"/>
    <w:qFormat/>
    <w:rPr>
      <w:rFonts w:cs="Wingdings"/>
    </w:rPr>
  </w:style>
  <w:style w:type="character" w:styleId="ListLabel818" w:customStyle="1">
    <w:name w:val="ListLabel 818"/>
    <w:qFormat/>
    <w:rPr>
      <w:rFonts w:cs="Symbol"/>
    </w:rPr>
  </w:style>
  <w:style w:type="character" w:styleId="ListLabel819" w:customStyle="1">
    <w:name w:val="ListLabel 819"/>
    <w:qFormat/>
    <w:rPr>
      <w:rFonts w:cs="Courier New"/>
    </w:rPr>
  </w:style>
  <w:style w:type="character" w:styleId="ListLabel820" w:customStyle="1">
    <w:name w:val="ListLabel 820"/>
    <w:qFormat/>
    <w:rPr>
      <w:rFonts w:cs="Wingdings"/>
    </w:rPr>
  </w:style>
  <w:style w:type="character" w:styleId="ListLabel821" w:customStyle="1">
    <w:name w:val="ListLabel 821"/>
    <w:qFormat/>
    <w:rPr>
      <w:rFonts w:cs="Symbol"/>
    </w:rPr>
  </w:style>
  <w:style w:type="character" w:styleId="ListLabel822" w:customStyle="1">
    <w:name w:val="ListLabel 822"/>
    <w:qFormat/>
    <w:rPr>
      <w:rFonts w:cs="Courier New"/>
    </w:rPr>
  </w:style>
  <w:style w:type="character" w:styleId="ListLabel823" w:customStyle="1">
    <w:name w:val="ListLabel 823"/>
    <w:qFormat/>
    <w:rPr>
      <w:rFonts w:cs="Wingdings"/>
    </w:rPr>
  </w:style>
  <w:style w:type="character" w:styleId="ListLabel824" w:customStyle="1">
    <w:name w:val="ListLabel 824"/>
    <w:qFormat/>
    <w:rPr>
      <w:rFonts w:cs="Symbol"/>
    </w:rPr>
  </w:style>
  <w:style w:type="character" w:styleId="ListLabel825" w:customStyle="1">
    <w:name w:val="ListLabel 825"/>
    <w:qFormat/>
    <w:rPr>
      <w:rFonts w:cs="Courier New"/>
    </w:rPr>
  </w:style>
  <w:style w:type="character" w:styleId="ListLabel826" w:customStyle="1">
    <w:name w:val="ListLabel 826"/>
    <w:qFormat/>
    <w:rPr>
      <w:rFonts w:cs="Wingdings"/>
    </w:rPr>
  </w:style>
  <w:style w:type="character" w:styleId="ListLabel827" w:customStyle="1">
    <w:name w:val="ListLabel 827"/>
    <w:qFormat/>
    <w:rPr>
      <w:rFonts w:cs="Symbol"/>
    </w:rPr>
  </w:style>
  <w:style w:type="character" w:styleId="ListLabel828" w:customStyle="1">
    <w:name w:val="ListLabel 828"/>
    <w:qFormat/>
    <w:rPr>
      <w:rFonts w:cs="Courier New"/>
    </w:rPr>
  </w:style>
  <w:style w:type="character" w:styleId="ListLabel829" w:customStyle="1">
    <w:name w:val="ListLabel 829"/>
    <w:qFormat/>
    <w:rPr>
      <w:rFonts w:cs="Wingdings"/>
    </w:rPr>
  </w:style>
  <w:style w:type="character" w:styleId="ListLabel830" w:customStyle="1">
    <w:name w:val="ListLabel 830"/>
    <w:qFormat/>
    <w:rPr>
      <w:rFonts w:cs="Symbol"/>
    </w:rPr>
  </w:style>
  <w:style w:type="character" w:styleId="ListLabel831" w:customStyle="1">
    <w:name w:val="ListLabel 831"/>
    <w:qFormat/>
    <w:rPr>
      <w:rFonts w:cs="Symbol"/>
    </w:rPr>
  </w:style>
  <w:style w:type="character" w:styleId="ListLabel832" w:customStyle="1">
    <w:name w:val="ListLabel 832"/>
    <w:qFormat/>
    <w:rPr>
      <w:rFonts w:cs="Wingdings"/>
    </w:rPr>
  </w:style>
  <w:style w:type="character" w:styleId="ListLabel833" w:customStyle="1">
    <w:name w:val="ListLabel 833"/>
    <w:qFormat/>
    <w:rPr>
      <w:rFonts w:cs="Symbol"/>
    </w:rPr>
  </w:style>
  <w:style w:type="character" w:styleId="ListLabel834" w:customStyle="1">
    <w:name w:val="ListLabel 834"/>
    <w:qFormat/>
    <w:rPr>
      <w:rFonts w:cs="Courier New"/>
    </w:rPr>
  </w:style>
  <w:style w:type="character" w:styleId="ListLabel835" w:customStyle="1">
    <w:name w:val="ListLabel 835"/>
    <w:qFormat/>
    <w:rPr>
      <w:rFonts w:cs="Wingdings"/>
    </w:rPr>
  </w:style>
  <w:style w:type="character" w:styleId="ListLabel836" w:customStyle="1">
    <w:name w:val="ListLabel 836"/>
    <w:qFormat/>
    <w:rPr>
      <w:rFonts w:cs="Symbol"/>
    </w:rPr>
  </w:style>
  <w:style w:type="character" w:styleId="ListLabel837" w:customStyle="1">
    <w:name w:val="ListLabel 837"/>
    <w:qFormat/>
    <w:rPr>
      <w:rFonts w:cs="Courier New"/>
    </w:rPr>
  </w:style>
  <w:style w:type="character" w:styleId="ListLabel838" w:customStyle="1">
    <w:name w:val="ListLabel 838"/>
    <w:qFormat/>
    <w:rPr>
      <w:rFonts w:cs="Wingdings"/>
    </w:rPr>
  </w:style>
  <w:style w:type="character" w:styleId="ListLabel839" w:customStyle="1">
    <w:name w:val="ListLabel 839"/>
    <w:qFormat/>
    <w:rPr>
      <w:rFonts w:cs="Symbol"/>
    </w:rPr>
  </w:style>
  <w:style w:type="character" w:styleId="ListLabel840" w:customStyle="1">
    <w:name w:val="ListLabel 840"/>
    <w:qFormat/>
    <w:rPr>
      <w:rFonts w:cs="Courier New"/>
    </w:rPr>
  </w:style>
  <w:style w:type="character" w:styleId="ListLabel841" w:customStyle="1">
    <w:name w:val="ListLabel 841"/>
    <w:qFormat/>
    <w:rPr>
      <w:rFonts w:cs="Wingdings"/>
    </w:rPr>
  </w:style>
  <w:style w:type="character" w:styleId="ListLabel842" w:customStyle="1">
    <w:name w:val="ListLabel 842"/>
    <w:qFormat/>
    <w:rPr>
      <w:rFonts w:cs="Symbol"/>
    </w:rPr>
  </w:style>
  <w:style w:type="character" w:styleId="ListLabel843" w:customStyle="1">
    <w:name w:val="ListLabel 843"/>
    <w:qFormat/>
    <w:rPr>
      <w:rFonts w:cs="Courier New"/>
    </w:rPr>
  </w:style>
  <w:style w:type="character" w:styleId="ListLabel844" w:customStyle="1">
    <w:name w:val="ListLabel 844"/>
    <w:qFormat/>
    <w:rPr>
      <w:rFonts w:cs="Wingdings"/>
    </w:rPr>
  </w:style>
  <w:style w:type="character" w:styleId="ListLabel845" w:customStyle="1">
    <w:name w:val="ListLabel 845"/>
    <w:qFormat/>
    <w:rPr>
      <w:rFonts w:cs="Symbol"/>
    </w:rPr>
  </w:style>
  <w:style w:type="character" w:styleId="ListLabel846" w:customStyle="1">
    <w:name w:val="ListLabel 846"/>
    <w:qFormat/>
    <w:rPr>
      <w:rFonts w:cs="Courier New"/>
    </w:rPr>
  </w:style>
  <w:style w:type="character" w:styleId="ListLabel847" w:customStyle="1">
    <w:name w:val="ListLabel 847"/>
    <w:qFormat/>
    <w:rPr>
      <w:rFonts w:cs="Wingdings"/>
    </w:rPr>
  </w:style>
  <w:style w:type="character" w:styleId="ListLabel848" w:customStyle="1">
    <w:name w:val="ListLabel 848"/>
    <w:qFormat/>
    <w:rPr>
      <w:sz w:val="22"/>
    </w:rPr>
  </w:style>
  <w:style w:type="character" w:styleId="ListLabel849" w:customStyle="1">
    <w:name w:val="ListLabel 849"/>
    <w:qFormat/>
    <w:rPr>
      <w:rFonts w:cs="Symbol"/>
    </w:rPr>
  </w:style>
  <w:style w:type="character" w:styleId="ListLabel850" w:customStyle="1">
    <w:name w:val="ListLabel 850"/>
    <w:qFormat/>
    <w:rPr>
      <w:rFonts w:cs="Courier New"/>
    </w:rPr>
  </w:style>
  <w:style w:type="character" w:styleId="ListLabel851" w:customStyle="1">
    <w:name w:val="ListLabel 851"/>
    <w:qFormat/>
    <w:rPr>
      <w:rFonts w:cs="Wingdings"/>
    </w:rPr>
  </w:style>
  <w:style w:type="character" w:styleId="ListLabel852" w:customStyle="1">
    <w:name w:val="ListLabel 852"/>
    <w:qFormat/>
    <w:rPr>
      <w:rFonts w:cs="Symbol"/>
    </w:rPr>
  </w:style>
  <w:style w:type="character" w:styleId="ListLabel853" w:customStyle="1">
    <w:name w:val="ListLabel 853"/>
    <w:qFormat/>
    <w:rPr>
      <w:rFonts w:cs="Courier New"/>
    </w:rPr>
  </w:style>
  <w:style w:type="character" w:styleId="ListLabel854" w:customStyle="1">
    <w:name w:val="ListLabel 854"/>
    <w:qFormat/>
    <w:rPr>
      <w:rFonts w:cs="Wingdings"/>
    </w:rPr>
  </w:style>
  <w:style w:type="character" w:styleId="ListLabel855" w:customStyle="1">
    <w:name w:val="ListLabel 855"/>
    <w:qFormat/>
    <w:rPr>
      <w:rFonts w:cs="Symbol"/>
    </w:rPr>
  </w:style>
  <w:style w:type="character" w:styleId="ListLabel856" w:customStyle="1">
    <w:name w:val="ListLabel 856"/>
    <w:qFormat/>
    <w:rPr>
      <w:rFonts w:cs="Courier New"/>
    </w:rPr>
  </w:style>
  <w:style w:type="character" w:styleId="ListLabel857" w:customStyle="1">
    <w:name w:val="ListLabel 857"/>
    <w:qFormat/>
    <w:rPr>
      <w:rFonts w:cs="Wingdings"/>
    </w:rPr>
  </w:style>
  <w:style w:type="character" w:styleId="ListLabel858" w:customStyle="1">
    <w:name w:val="ListLabel 858"/>
    <w:qFormat/>
    <w:rPr>
      <w:rFonts w:cs="Symbol"/>
    </w:rPr>
  </w:style>
  <w:style w:type="character" w:styleId="ListLabel859" w:customStyle="1">
    <w:name w:val="ListLabel 859"/>
    <w:qFormat/>
    <w:rPr>
      <w:rFonts w:cs="Courier New"/>
    </w:rPr>
  </w:style>
  <w:style w:type="character" w:styleId="ListLabel860" w:customStyle="1">
    <w:name w:val="ListLabel 860"/>
    <w:qFormat/>
    <w:rPr>
      <w:rFonts w:cs="Wingdings"/>
    </w:rPr>
  </w:style>
  <w:style w:type="character" w:styleId="ListLabel861" w:customStyle="1">
    <w:name w:val="ListLabel 861"/>
    <w:qFormat/>
    <w:rPr>
      <w:rFonts w:cs="Symbol"/>
    </w:rPr>
  </w:style>
  <w:style w:type="character" w:styleId="ListLabel862" w:customStyle="1">
    <w:name w:val="ListLabel 862"/>
    <w:qFormat/>
    <w:rPr>
      <w:rFonts w:cs="Courier New"/>
    </w:rPr>
  </w:style>
  <w:style w:type="character" w:styleId="ListLabel863" w:customStyle="1">
    <w:name w:val="ListLabel 863"/>
    <w:qFormat/>
    <w:rPr>
      <w:rFonts w:cs="Wingdings"/>
    </w:rPr>
  </w:style>
  <w:style w:type="character" w:styleId="ListLabel864" w:customStyle="1">
    <w:name w:val="ListLabel 864"/>
    <w:qFormat/>
    <w:rPr>
      <w:rFonts w:cs="Symbol"/>
    </w:rPr>
  </w:style>
  <w:style w:type="character" w:styleId="ListLabel865" w:customStyle="1">
    <w:name w:val="ListLabel 865"/>
    <w:qFormat/>
    <w:rPr>
      <w:rFonts w:cs="Courier New"/>
    </w:rPr>
  </w:style>
  <w:style w:type="character" w:styleId="ListLabel866" w:customStyle="1">
    <w:name w:val="ListLabel 866"/>
    <w:qFormat/>
    <w:rPr>
      <w:rFonts w:cs="Wingdings"/>
    </w:rPr>
  </w:style>
  <w:style w:type="character" w:styleId="ListLabel867" w:customStyle="1">
    <w:name w:val="ListLabel 867"/>
    <w:qFormat/>
    <w:rPr>
      <w:rFonts w:cs="Symbol"/>
    </w:rPr>
  </w:style>
  <w:style w:type="character" w:styleId="ListLabel868" w:customStyle="1">
    <w:name w:val="ListLabel 868"/>
    <w:qFormat/>
    <w:rPr>
      <w:rFonts w:cs="Courier New"/>
    </w:rPr>
  </w:style>
  <w:style w:type="character" w:styleId="ListLabel869" w:customStyle="1">
    <w:name w:val="ListLabel 869"/>
    <w:qFormat/>
    <w:rPr>
      <w:rFonts w:cs="Wingdings"/>
    </w:rPr>
  </w:style>
  <w:style w:type="character" w:styleId="ListLabel870" w:customStyle="1">
    <w:name w:val="ListLabel 870"/>
    <w:qFormat/>
    <w:rPr>
      <w:rFonts w:cs="Symbol"/>
    </w:rPr>
  </w:style>
  <w:style w:type="character" w:styleId="ListLabel871" w:customStyle="1">
    <w:name w:val="ListLabel 871"/>
    <w:qFormat/>
    <w:rPr>
      <w:rFonts w:cs="Courier New"/>
    </w:rPr>
  </w:style>
  <w:style w:type="character" w:styleId="ListLabel872" w:customStyle="1">
    <w:name w:val="ListLabel 872"/>
    <w:qFormat/>
    <w:rPr>
      <w:rFonts w:cs="Wingdings"/>
    </w:rPr>
  </w:style>
  <w:style w:type="character" w:styleId="ListLabel873" w:customStyle="1">
    <w:name w:val="ListLabel 873"/>
    <w:qFormat/>
    <w:rPr>
      <w:rFonts w:cs="Symbol"/>
    </w:rPr>
  </w:style>
  <w:style w:type="character" w:styleId="ListLabel874" w:customStyle="1">
    <w:name w:val="ListLabel 874"/>
    <w:qFormat/>
    <w:rPr>
      <w:rFonts w:cs="Courier New"/>
    </w:rPr>
  </w:style>
  <w:style w:type="character" w:styleId="ListLabel875" w:customStyle="1">
    <w:name w:val="ListLabel 875"/>
    <w:qFormat/>
    <w:rPr>
      <w:rFonts w:cs="Wingdings"/>
    </w:rPr>
  </w:style>
  <w:style w:type="character" w:styleId="ListLabel876" w:customStyle="1">
    <w:name w:val="ListLabel 876"/>
    <w:qFormat/>
    <w:rPr>
      <w:rFonts w:cs="Symbol"/>
    </w:rPr>
  </w:style>
  <w:style w:type="character" w:styleId="ListLabel877" w:customStyle="1">
    <w:name w:val="ListLabel 877"/>
    <w:qFormat/>
    <w:rPr>
      <w:rFonts w:cs="Wingdings"/>
    </w:rPr>
  </w:style>
  <w:style w:type="character" w:styleId="ListLabel878" w:customStyle="1">
    <w:name w:val="ListLabel 878"/>
    <w:qFormat/>
    <w:rPr>
      <w:rFonts w:cs="Symbol"/>
    </w:rPr>
  </w:style>
  <w:style w:type="character" w:styleId="ListLabel879" w:customStyle="1">
    <w:name w:val="ListLabel 879"/>
    <w:qFormat/>
    <w:rPr>
      <w:rFonts w:cs="Courier New"/>
    </w:rPr>
  </w:style>
  <w:style w:type="character" w:styleId="ListLabel880" w:customStyle="1">
    <w:name w:val="ListLabel 880"/>
    <w:qFormat/>
    <w:rPr>
      <w:rFonts w:cs="Wingdings"/>
    </w:rPr>
  </w:style>
  <w:style w:type="character" w:styleId="ListLabel881" w:customStyle="1">
    <w:name w:val="ListLabel 881"/>
    <w:qFormat/>
    <w:rPr>
      <w:rFonts w:cs="Symbol"/>
    </w:rPr>
  </w:style>
  <w:style w:type="character" w:styleId="ListLabel882" w:customStyle="1">
    <w:name w:val="ListLabel 882"/>
    <w:qFormat/>
    <w:rPr>
      <w:rFonts w:cs="Courier New"/>
    </w:rPr>
  </w:style>
  <w:style w:type="character" w:styleId="ListLabel883" w:customStyle="1">
    <w:name w:val="ListLabel 883"/>
    <w:qFormat/>
    <w:rPr>
      <w:rFonts w:cs="Wingdings"/>
    </w:rPr>
  </w:style>
  <w:style w:type="character" w:styleId="ListLabel884" w:customStyle="1">
    <w:name w:val="ListLabel 884"/>
    <w:qFormat/>
    <w:rPr>
      <w:rFonts w:cs="Symbol"/>
    </w:rPr>
  </w:style>
  <w:style w:type="character" w:styleId="ListLabel885" w:customStyle="1">
    <w:name w:val="ListLabel 885"/>
    <w:qFormat/>
    <w:rPr>
      <w:rFonts w:cs="Courier New"/>
    </w:rPr>
  </w:style>
  <w:style w:type="character" w:styleId="ListLabel886" w:customStyle="1">
    <w:name w:val="ListLabel 886"/>
    <w:qFormat/>
    <w:rPr>
      <w:rFonts w:cs="Wingdings"/>
    </w:rPr>
  </w:style>
  <w:style w:type="character" w:styleId="ListLabel887" w:customStyle="1">
    <w:name w:val="ListLabel 887"/>
    <w:qFormat/>
    <w:rPr>
      <w:rFonts w:cs="Symbol"/>
    </w:rPr>
  </w:style>
  <w:style w:type="character" w:styleId="ListLabel888" w:customStyle="1">
    <w:name w:val="ListLabel 888"/>
    <w:qFormat/>
    <w:rPr>
      <w:rFonts w:cs="Courier New"/>
    </w:rPr>
  </w:style>
  <w:style w:type="character" w:styleId="ListLabel889" w:customStyle="1">
    <w:name w:val="ListLabel 889"/>
    <w:qFormat/>
    <w:rPr>
      <w:rFonts w:cs="Wingdings"/>
    </w:rPr>
  </w:style>
  <w:style w:type="character" w:styleId="ListLabel890" w:customStyle="1">
    <w:name w:val="ListLabel 890"/>
    <w:qFormat/>
    <w:rPr>
      <w:rFonts w:cs="Symbol"/>
    </w:rPr>
  </w:style>
  <w:style w:type="character" w:styleId="ListLabel891" w:customStyle="1">
    <w:name w:val="ListLabel 891"/>
    <w:qFormat/>
    <w:rPr>
      <w:rFonts w:cs="Courier New"/>
    </w:rPr>
  </w:style>
  <w:style w:type="character" w:styleId="ListLabel892" w:customStyle="1">
    <w:name w:val="ListLabel 892"/>
    <w:qFormat/>
    <w:rPr>
      <w:rFonts w:cs="Wingdings"/>
    </w:rPr>
  </w:style>
  <w:style w:type="character" w:styleId="ListLabel893" w:customStyle="1">
    <w:name w:val="ListLabel 893"/>
    <w:qFormat/>
    <w:rPr>
      <w:rFonts w:cs="Symbol"/>
    </w:rPr>
  </w:style>
  <w:style w:type="character" w:styleId="ListLabel894" w:customStyle="1">
    <w:name w:val="ListLabel 894"/>
    <w:qFormat/>
    <w:rPr>
      <w:rFonts w:cs="Courier New"/>
    </w:rPr>
  </w:style>
  <w:style w:type="character" w:styleId="ListLabel895" w:customStyle="1">
    <w:name w:val="ListLabel 895"/>
    <w:qFormat/>
    <w:rPr>
      <w:rFonts w:cs="Wingdings"/>
    </w:rPr>
  </w:style>
  <w:style w:type="character" w:styleId="ListLabel896" w:customStyle="1">
    <w:name w:val="ListLabel 896"/>
    <w:qFormat/>
    <w:rPr>
      <w:rFonts w:cs="Symbol"/>
    </w:rPr>
  </w:style>
  <w:style w:type="character" w:styleId="ListLabel897" w:customStyle="1">
    <w:name w:val="ListLabel 897"/>
    <w:qFormat/>
    <w:rPr>
      <w:rFonts w:cs="Courier New"/>
    </w:rPr>
  </w:style>
  <w:style w:type="character" w:styleId="ListLabel898" w:customStyle="1">
    <w:name w:val="ListLabel 898"/>
    <w:qFormat/>
    <w:rPr>
      <w:rFonts w:cs="Wingdings"/>
    </w:rPr>
  </w:style>
  <w:style w:type="character" w:styleId="ListLabel899" w:customStyle="1">
    <w:name w:val="ListLabel 899"/>
    <w:qFormat/>
    <w:rPr>
      <w:rFonts w:cs="Symbol"/>
    </w:rPr>
  </w:style>
  <w:style w:type="character" w:styleId="ListLabel900" w:customStyle="1">
    <w:name w:val="ListLabel 900"/>
    <w:qFormat/>
    <w:rPr>
      <w:rFonts w:cs="Courier New"/>
    </w:rPr>
  </w:style>
  <w:style w:type="character" w:styleId="ListLabel901" w:customStyle="1">
    <w:name w:val="ListLabel 901"/>
    <w:qFormat/>
    <w:rPr>
      <w:rFonts w:cs="Wingdings"/>
    </w:rPr>
  </w:style>
  <w:style w:type="character" w:styleId="ListLabel902" w:customStyle="1">
    <w:name w:val="ListLabel 902"/>
    <w:qFormat/>
    <w:rPr>
      <w:rFonts w:cs="Symbol"/>
    </w:rPr>
  </w:style>
  <w:style w:type="character" w:styleId="ListLabel903" w:customStyle="1">
    <w:name w:val="ListLabel 903"/>
    <w:qFormat/>
    <w:rPr>
      <w:rFonts w:cs="Courier New"/>
    </w:rPr>
  </w:style>
  <w:style w:type="character" w:styleId="ListLabel904" w:customStyle="1">
    <w:name w:val="ListLabel 904"/>
    <w:qFormat/>
    <w:rPr>
      <w:rFonts w:cs="Wingdings"/>
    </w:rPr>
  </w:style>
  <w:style w:type="character" w:styleId="ListLabel905" w:customStyle="1">
    <w:name w:val="ListLabel 905"/>
    <w:qFormat/>
    <w:rPr>
      <w:rFonts w:cs="Symbol"/>
    </w:rPr>
  </w:style>
  <w:style w:type="character" w:styleId="ListLabel906" w:customStyle="1">
    <w:name w:val="ListLabel 906"/>
    <w:qFormat/>
    <w:rPr>
      <w:rFonts w:cs="Courier New"/>
    </w:rPr>
  </w:style>
  <w:style w:type="character" w:styleId="ListLabel907" w:customStyle="1">
    <w:name w:val="ListLabel 907"/>
    <w:qFormat/>
    <w:rPr>
      <w:rFonts w:cs="Wingdings"/>
    </w:rPr>
  </w:style>
  <w:style w:type="character" w:styleId="ListLabel908" w:customStyle="1">
    <w:name w:val="ListLabel 908"/>
    <w:qFormat/>
    <w:rPr>
      <w:rFonts w:cs="Symbol"/>
    </w:rPr>
  </w:style>
  <w:style w:type="character" w:styleId="ListLabel909" w:customStyle="1">
    <w:name w:val="ListLabel 909"/>
    <w:qFormat/>
    <w:rPr>
      <w:rFonts w:cs="Courier New"/>
    </w:rPr>
  </w:style>
  <w:style w:type="character" w:styleId="ListLabel910" w:customStyle="1">
    <w:name w:val="ListLabel 910"/>
    <w:qFormat/>
    <w:rPr>
      <w:rFonts w:cs="Wingdings"/>
    </w:rPr>
  </w:style>
  <w:style w:type="character" w:styleId="ListLabel911" w:customStyle="1">
    <w:name w:val="ListLabel 911"/>
    <w:qFormat/>
    <w:rPr>
      <w:rFonts w:cs="Symbol"/>
    </w:rPr>
  </w:style>
  <w:style w:type="character" w:styleId="ListLabel912" w:customStyle="1">
    <w:name w:val="ListLabel 912"/>
    <w:qFormat/>
    <w:rPr>
      <w:rFonts w:cs="Courier New"/>
    </w:rPr>
  </w:style>
  <w:style w:type="character" w:styleId="ListLabel913" w:customStyle="1">
    <w:name w:val="ListLabel 913"/>
    <w:qFormat/>
    <w:rPr>
      <w:rFonts w:cs="Wingdings"/>
    </w:rPr>
  </w:style>
  <w:style w:type="character" w:styleId="ListLabel914" w:customStyle="1">
    <w:name w:val="ListLabel 914"/>
    <w:qFormat/>
    <w:rPr>
      <w:rFonts w:cs="Symbol"/>
    </w:rPr>
  </w:style>
  <w:style w:type="character" w:styleId="ListLabel915" w:customStyle="1">
    <w:name w:val="ListLabel 915"/>
    <w:qFormat/>
    <w:rPr>
      <w:rFonts w:cs="Courier New"/>
    </w:rPr>
  </w:style>
  <w:style w:type="character" w:styleId="ListLabel916" w:customStyle="1">
    <w:name w:val="ListLabel 916"/>
    <w:qFormat/>
    <w:rPr>
      <w:rFonts w:cs="Wingdings"/>
    </w:rPr>
  </w:style>
  <w:style w:type="character" w:styleId="ListLabel917" w:customStyle="1">
    <w:name w:val="ListLabel 917"/>
    <w:qFormat/>
    <w:rPr>
      <w:rFonts w:cs="Symbol"/>
    </w:rPr>
  </w:style>
  <w:style w:type="character" w:styleId="ListLabel918" w:customStyle="1">
    <w:name w:val="ListLabel 918"/>
    <w:qFormat/>
    <w:rPr>
      <w:rFonts w:cs="Courier New"/>
    </w:rPr>
  </w:style>
  <w:style w:type="character" w:styleId="ListLabel919" w:customStyle="1">
    <w:name w:val="ListLabel 919"/>
    <w:qFormat/>
    <w:rPr>
      <w:rFonts w:cs="Wingdings"/>
    </w:rPr>
  </w:style>
  <w:style w:type="character" w:styleId="ListLabel920" w:customStyle="1">
    <w:name w:val="ListLabel 920"/>
    <w:qFormat/>
    <w:rPr>
      <w:rFonts w:cs="Symbol"/>
    </w:rPr>
  </w:style>
  <w:style w:type="character" w:styleId="ListLabel921" w:customStyle="1">
    <w:name w:val="ListLabel 921"/>
    <w:qFormat/>
    <w:rPr>
      <w:rFonts w:cs="Courier New"/>
    </w:rPr>
  </w:style>
  <w:style w:type="character" w:styleId="ListLabel922" w:customStyle="1">
    <w:name w:val="ListLabel 922"/>
    <w:qFormat/>
    <w:rPr>
      <w:rFonts w:cs="Wingdings"/>
    </w:rPr>
  </w:style>
  <w:style w:type="character" w:styleId="ListLabel923" w:customStyle="1">
    <w:name w:val="ListLabel 923"/>
    <w:qFormat/>
    <w:rPr>
      <w:rFonts w:cs="Symbol"/>
    </w:rPr>
  </w:style>
  <w:style w:type="character" w:styleId="ListLabel924" w:customStyle="1">
    <w:name w:val="ListLabel 924"/>
    <w:qFormat/>
    <w:rPr>
      <w:rFonts w:cs="Courier New"/>
    </w:rPr>
  </w:style>
  <w:style w:type="character" w:styleId="ListLabel925" w:customStyle="1">
    <w:name w:val="ListLabel 925"/>
    <w:qFormat/>
    <w:rPr>
      <w:rFonts w:cs="Wingdings"/>
    </w:rPr>
  </w:style>
  <w:style w:type="character" w:styleId="ListLabel926" w:customStyle="1">
    <w:name w:val="ListLabel 926"/>
    <w:qFormat/>
    <w:rPr>
      <w:rFonts w:cs="Symbol"/>
    </w:rPr>
  </w:style>
  <w:style w:type="character" w:styleId="ListLabel927" w:customStyle="1">
    <w:name w:val="ListLabel 927"/>
    <w:qFormat/>
    <w:rPr>
      <w:rFonts w:cs="Courier New"/>
    </w:rPr>
  </w:style>
  <w:style w:type="character" w:styleId="ListLabel928" w:customStyle="1">
    <w:name w:val="ListLabel 928"/>
    <w:qFormat/>
    <w:rPr>
      <w:rFonts w:cs="Wingdings"/>
    </w:rPr>
  </w:style>
  <w:style w:type="character" w:styleId="ListLabel929" w:customStyle="1">
    <w:name w:val="ListLabel 929"/>
    <w:qFormat/>
    <w:rPr>
      <w:rFonts w:cs="Symbol"/>
    </w:rPr>
  </w:style>
  <w:style w:type="character" w:styleId="ListLabel930" w:customStyle="1">
    <w:name w:val="ListLabel 930"/>
    <w:qFormat/>
    <w:rPr>
      <w:rFonts w:cs="Courier New"/>
    </w:rPr>
  </w:style>
  <w:style w:type="character" w:styleId="ListLabel931" w:customStyle="1">
    <w:name w:val="ListLabel 931"/>
    <w:qFormat/>
    <w:rPr>
      <w:rFonts w:cs="Wingdings"/>
    </w:rPr>
  </w:style>
  <w:style w:type="character" w:styleId="ListLabel932" w:customStyle="1">
    <w:name w:val="ListLabel 932"/>
    <w:qFormat/>
    <w:rPr>
      <w:rFonts w:cs="Symbol"/>
    </w:rPr>
  </w:style>
  <w:style w:type="character" w:styleId="ListLabel933" w:customStyle="1">
    <w:name w:val="ListLabel 933"/>
    <w:qFormat/>
    <w:rPr>
      <w:rFonts w:cs="Courier New"/>
    </w:rPr>
  </w:style>
  <w:style w:type="character" w:styleId="ListLabel934" w:customStyle="1">
    <w:name w:val="ListLabel 934"/>
    <w:qFormat/>
    <w:rPr>
      <w:rFonts w:cs="Wingdings"/>
    </w:rPr>
  </w:style>
  <w:style w:type="character" w:styleId="ListLabel935" w:customStyle="1">
    <w:name w:val="ListLabel 935"/>
    <w:qFormat/>
    <w:rPr>
      <w:rFonts w:cs="Symbol"/>
    </w:rPr>
  </w:style>
  <w:style w:type="character" w:styleId="ListLabel936" w:customStyle="1">
    <w:name w:val="ListLabel 936"/>
    <w:qFormat/>
    <w:rPr>
      <w:rFonts w:cs="Courier New"/>
    </w:rPr>
  </w:style>
  <w:style w:type="character" w:styleId="ListLabel937" w:customStyle="1">
    <w:name w:val="ListLabel 937"/>
    <w:qFormat/>
    <w:rPr>
      <w:rFonts w:cs="Wingdings"/>
    </w:rPr>
  </w:style>
  <w:style w:type="character" w:styleId="ListLabel938" w:customStyle="1">
    <w:name w:val="ListLabel 938"/>
    <w:qFormat/>
    <w:rPr>
      <w:rFonts w:cs="Symbol"/>
    </w:rPr>
  </w:style>
  <w:style w:type="character" w:styleId="ListLabel939" w:customStyle="1">
    <w:name w:val="ListLabel 939"/>
    <w:qFormat/>
    <w:rPr>
      <w:rFonts w:cs="Courier New"/>
    </w:rPr>
  </w:style>
  <w:style w:type="character" w:styleId="ListLabel940" w:customStyle="1">
    <w:name w:val="ListLabel 940"/>
    <w:qFormat/>
    <w:rPr>
      <w:rFonts w:cs="Wingdings"/>
    </w:rPr>
  </w:style>
  <w:style w:type="character" w:styleId="ListLabel941" w:customStyle="1">
    <w:name w:val="ListLabel 941"/>
    <w:qFormat/>
    <w:rPr>
      <w:rFonts w:cs="Symbol"/>
    </w:rPr>
  </w:style>
  <w:style w:type="character" w:styleId="ListLabel942" w:customStyle="1">
    <w:name w:val="ListLabel 942"/>
    <w:qFormat/>
    <w:rPr>
      <w:rFonts w:cs="Courier New"/>
    </w:rPr>
  </w:style>
  <w:style w:type="character" w:styleId="ListLabel943" w:customStyle="1">
    <w:name w:val="ListLabel 943"/>
    <w:qFormat/>
    <w:rPr>
      <w:rFonts w:cs="Wingdings"/>
    </w:rPr>
  </w:style>
  <w:style w:type="character" w:styleId="ListLabel944" w:customStyle="1">
    <w:name w:val="ListLabel 944"/>
    <w:qFormat/>
    <w:rPr>
      <w:rFonts w:cs="Symbol"/>
    </w:rPr>
  </w:style>
  <w:style w:type="character" w:styleId="ListLabel945" w:customStyle="1">
    <w:name w:val="ListLabel 945"/>
    <w:qFormat/>
    <w:rPr>
      <w:rFonts w:cs="Courier New"/>
    </w:rPr>
  </w:style>
  <w:style w:type="character" w:styleId="ListLabel946" w:customStyle="1">
    <w:name w:val="ListLabel 946"/>
    <w:qFormat/>
    <w:rPr>
      <w:rFonts w:cs="Wingdings"/>
    </w:rPr>
  </w:style>
  <w:style w:type="character" w:styleId="ListLabel947" w:customStyle="1">
    <w:name w:val="ListLabel 947"/>
    <w:qFormat/>
    <w:rPr>
      <w:rFonts w:cs="Symbol"/>
    </w:rPr>
  </w:style>
  <w:style w:type="character" w:styleId="ListLabel948" w:customStyle="1">
    <w:name w:val="ListLabel 948"/>
    <w:qFormat/>
    <w:rPr>
      <w:rFonts w:cs="Courier New"/>
    </w:rPr>
  </w:style>
  <w:style w:type="character" w:styleId="ListLabel949" w:customStyle="1">
    <w:name w:val="ListLabel 949"/>
    <w:qFormat/>
    <w:rPr>
      <w:rFonts w:cs="Wingdings"/>
    </w:rPr>
  </w:style>
  <w:style w:type="character" w:styleId="ListLabel950" w:customStyle="1">
    <w:name w:val="ListLabel 950"/>
    <w:qFormat/>
    <w:rPr>
      <w:rFonts w:cs="Symbol"/>
    </w:rPr>
  </w:style>
  <w:style w:type="character" w:styleId="ListLabel951" w:customStyle="1">
    <w:name w:val="ListLabel 951"/>
    <w:qFormat/>
    <w:rPr>
      <w:rFonts w:cs="Courier New"/>
    </w:rPr>
  </w:style>
  <w:style w:type="character" w:styleId="ListLabel952" w:customStyle="1">
    <w:name w:val="ListLabel 952"/>
    <w:qFormat/>
    <w:rPr>
      <w:rFonts w:cs="Wingdings"/>
    </w:rPr>
  </w:style>
  <w:style w:type="character" w:styleId="ListLabel953" w:customStyle="1">
    <w:name w:val="ListLabel 953"/>
    <w:qFormat/>
    <w:rPr>
      <w:rFonts w:cs="Symbol"/>
    </w:rPr>
  </w:style>
  <w:style w:type="character" w:styleId="ListLabel954" w:customStyle="1">
    <w:name w:val="ListLabel 954"/>
    <w:qFormat/>
    <w:rPr>
      <w:rFonts w:cs="Courier New"/>
    </w:rPr>
  </w:style>
  <w:style w:type="character" w:styleId="ListLabel955" w:customStyle="1">
    <w:name w:val="ListLabel 955"/>
    <w:qFormat/>
    <w:rPr>
      <w:rFonts w:cs="Wingdings"/>
    </w:rPr>
  </w:style>
  <w:style w:type="character" w:styleId="ListLabel956" w:customStyle="1">
    <w:name w:val="ListLabel 956"/>
    <w:qFormat/>
    <w:rPr>
      <w:rFonts w:cs="Symbol"/>
    </w:rPr>
  </w:style>
  <w:style w:type="character" w:styleId="ListLabel957" w:customStyle="1">
    <w:name w:val="ListLabel 957"/>
    <w:qFormat/>
    <w:rPr>
      <w:rFonts w:cs="Courier New"/>
    </w:rPr>
  </w:style>
  <w:style w:type="character" w:styleId="ListLabel958" w:customStyle="1">
    <w:name w:val="ListLabel 958"/>
    <w:qFormat/>
    <w:rPr>
      <w:rFonts w:cs="Wingdings"/>
    </w:rPr>
  </w:style>
  <w:style w:type="character" w:styleId="ListLabel959" w:customStyle="1">
    <w:name w:val="ListLabel 959"/>
    <w:qFormat/>
    <w:rPr>
      <w:rFonts w:cs="Symbol"/>
    </w:rPr>
  </w:style>
  <w:style w:type="character" w:styleId="ListLabel960" w:customStyle="1">
    <w:name w:val="ListLabel 960"/>
    <w:qFormat/>
    <w:rPr>
      <w:rFonts w:cs="Courier New"/>
    </w:rPr>
  </w:style>
  <w:style w:type="character" w:styleId="ListLabel961" w:customStyle="1">
    <w:name w:val="ListLabel 961"/>
    <w:qFormat/>
    <w:rPr>
      <w:rFonts w:cs="Wingdings"/>
    </w:rPr>
  </w:style>
  <w:style w:type="character" w:styleId="ListLabel962" w:customStyle="1">
    <w:name w:val="ListLabel 962"/>
    <w:qFormat/>
    <w:rPr>
      <w:rFonts w:cs="Symbol"/>
    </w:rPr>
  </w:style>
  <w:style w:type="character" w:styleId="ListLabel963" w:customStyle="1">
    <w:name w:val="ListLabel 963"/>
    <w:qFormat/>
    <w:rPr>
      <w:rFonts w:cs="Courier New"/>
    </w:rPr>
  </w:style>
  <w:style w:type="character" w:styleId="ListLabel964" w:customStyle="1">
    <w:name w:val="ListLabel 964"/>
    <w:qFormat/>
    <w:rPr>
      <w:rFonts w:cs="Wingdings"/>
    </w:rPr>
  </w:style>
  <w:style w:type="character" w:styleId="ListLabel965" w:customStyle="1">
    <w:name w:val="ListLabel 965"/>
    <w:qFormat/>
    <w:rPr>
      <w:rFonts w:cs="Symbol"/>
    </w:rPr>
  </w:style>
  <w:style w:type="character" w:styleId="ListLabel966" w:customStyle="1">
    <w:name w:val="ListLabel 966"/>
    <w:qFormat/>
    <w:rPr>
      <w:rFonts w:cs="Courier New"/>
    </w:rPr>
  </w:style>
  <w:style w:type="character" w:styleId="ListLabel967" w:customStyle="1">
    <w:name w:val="ListLabel 967"/>
    <w:qFormat/>
    <w:rPr>
      <w:rFonts w:cs="Wingdings"/>
    </w:rPr>
  </w:style>
  <w:style w:type="character" w:styleId="ListLabel968" w:customStyle="1">
    <w:name w:val="ListLabel 968"/>
    <w:qFormat/>
    <w:rPr>
      <w:rFonts w:cs="Symbol"/>
    </w:rPr>
  </w:style>
  <w:style w:type="character" w:styleId="ListLabel969" w:customStyle="1">
    <w:name w:val="ListLabel 969"/>
    <w:qFormat/>
    <w:rPr>
      <w:rFonts w:cs="Courier New"/>
    </w:rPr>
  </w:style>
  <w:style w:type="character" w:styleId="ListLabel970" w:customStyle="1">
    <w:name w:val="ListLabel 970"/>
    <w:qFormat/>
    <w:rPr>
      <w:rFonts w:cs="Wingdings"/>
    </w:rPr>
  </w:style>
  <w:style w:type="character" w:styleId="ListLabel971" w:customStyle="1">
    <w:name w:val="ListLabel 971"/>
    <w:qFormat/>
    <w:rPr>
      <w:rFonts w:cs="Symbol"/>
    </w:rPr>
  </w:style>
  <w:style w:type="character" w:styleId="ListLabel972" w:customStyle="1">
    <w:name w:val="ListLabel 972"/>
    <w:qFormat/>
    <w:rPr>
      <w:rFonts w:cs="Courier New"/>
    </w:rPr>
  </w:style>
  <w:style w:type="character" w:styleId="ListLabel973" w:customStyle="1">
    <w:name w:val="ListLabel 973"/>
    <w:qFormat/>
    <w:rPr>
      <w:rFonts w:cs="Wingdings"/>
    </w:rPr>
  </w:style>
  <w:style w:type="character" w:styleId="ListLabel974" w:customStyle="1">
    <w:name w:val="ListLabel 974"/>
    <w:qFormat/>
    <w:rPr>
      <w:rFonts w:cs="Symbol"/>
    </w:rPr>
  </w:style>
  <w:style w:type="character" w:styleId="ListLabel975" w:customStyle="1">
    <w:name w:val="ListLabel 975"/>
    <w:qFormat/>
    <w:rPr>
      <w:rFonts w:cs="Courier New"/>
    </w:rPr>
  </w:style>
  <w:style w:type="character" w:styleId="ListLabel976" w:customStyle="1">
    <w:name w:val="ListLabel 976"/>
    <w:qFormat/>
    <w:rPr>
      <w:rFonts w:cs="Wingdings"/>
    </w:rPr>
  </w:style>
  <w:style w:type="character" w:styleId="ListLabel977" w:customStyle="1">
    <w:name w:val="ListLabel 977"/>
    <w:qFormat/>
    <w:rPr>
      <w:rFonts w:cs="Symbol"/>
    </w:rPr>
  </w:style>
  <w:style w:type="character" w:styleId="ListLabel978" w:customStyle="1">
    <w:name w:val="ListLabel 978"/>
    <w:qFormat/>
    <w:rPr>
      <w:rFonts w:cs="Courier New"/>
    </w:rPr>
  </w:style>
  <w:style w:type="character" w:styleId="ListLabel979" w:customStyle="1">
    <w:name w:val="ListLabel 979"/>
    <w:qFormat/>
    <w:rPr>
      <w:rFonts w:cs="Wingdings"/>
    </w:rPr>
  </w:style>
  <w:style w:type="character" w:styleId="ListLabel980" w:customStyle="1">
    <w:name w:val="ListLabel 980"/>
    <w:qFormat/>
    <w:rPr>
      <w:rFonts w:cs="Symbol"/>
    </w:rPr>
  </w:style>
  <w:style w:type="character" w:styleId="ListLabel981" w:customStyle="1">
    <w:name w:val="ListLabel 981"/>
    <w:qFormat/>
    <w:rPr>
      <w:rFonts w:cs="Courier New"/>
    </w:rPr>
  </w:style>
  <w:style w:type="character" w:styleId="ListLabel982" w:customStyle="1">
    <w:name w:val="ListLabel 982"/>
    <w:qFormat/>
    <w:rPr>
      <w:rFonts w:cs="Wingdings"/>
    </w:rPr>
  </w:style>
  <w:style w:type="character" w:styleId="ListLabel983" w:customStyle="1">
    <w:name w:val="ListLabel 983"/>
    <w:qFormat/>
    <w:rPr>
      <w:rFonts w:cs="Courier New"/>
    </w:rPr>
  </w:style>
  <w:style w:type="character" w:styleId="ListLabel984" w:customStyle="1">
    <w:name w:val="ListLabel 984"/>
    <w:qFormat/>
    <w:rPr>
      <w:rFonts w:cs="Wingdings"/>
    </w:rPr>
  </w:style>
  <w:style w:type="character" w:styleId="ListLabel985" w:customStyle="1">
    <w:name w:val="ListLabel 985"/>
    <w:qFormat/>
    <w:rPr>
      <w:rFonts w:cs="Symbol"/>
    </w:rPr>
  </w:style>
  <w:style w:type="character" w:styleId="ListLabel986" w:customStyle="1">
    <w:name w:val="ListLabel 986"/>
    <w:qFormat/>
    <w:rPr>
      <w:rFonts w:cs="Courier New"/>
    </w:rPr>
  </w:style>
  <w:style w:type="character" w:styleId="ListLabel987" w:customStyle="1">
    <w:name w:val="ListLabel 987"/>
    <w:qFormat/>
    <w:rPr>
      <w:rFonts w:cs="Wingdings"/>
    </w:rPr>
  </w:style>
  <w:style w:type="character" w:styleId="ListLabel988" w:customStyle="1">
    <w:name w:val="ListLabel 988"/>
    <w:qFormat/>
    <w:rPr>
      <w:rFonts w:cs="Symbol"/>
    </w:rPr>
  </w:style>
  <w:style w:type="character" w:styleId="ListLabel989" w:customStyle="1">
    <w:name w:val="ListLabel 989"/>
    <w:qFormat/>
    <w:rPr>
      <w:rFonts w:cs="Courier New"/>
    </w:rPr>
  </w:style>
  <w:style w:type="character" w:styleId="ListLabel990" w:customStyle="1">
    <w:name w:val="ListLabel 990"/>
    <w:qFormat/>
    <w:rPr>
      <w:rFonts w:cs="Wingdings"/>
    </w:rPr>
  </w:style>
  <w:style w:type="character" w:styleId="ListLabel991" w:customStyle="1">
    <w:name w:val="ListLabel 991"/>
    <w:qFormat/>
    <w:rPr>
      <w:rFonts w:cs="Symbol"/>
    </w:rPr>
  </w:style>
  <w:style w:type="character" w:styleId="ListLabel992" w:customStyle="1">
    <w:name w:val="ListLabel 992"/>
    <w:qFormat/>
    <w:rPr>
      <w:rFonts w:cs="Courier New"/>
    </w:rPr>
  </w:style>
  <w:style w:type="character" w:styleId="ListLabel993" w:customStyle="1">
    <w:name w:val="ListLabel 993"/>
    <w:qFormat/>
    <w:rPr>
      <w:rFonts w:cs="Wingdings"/>
    </w:rPr>
  </w:style>
  <w:style w:type="character" w:styleId="ListLabel994" w:customStyle="1">
    <w:name w:val="ListLabel 994"/>
    <w:qFormat/>
    <w:rPr>
      <w:rFonts w:cs="Symbol"/>
    </w:rPr>
  </w:style>
  <w:style w:type="character" w:styleId="ListLabel995" w:customStyle="1">
    <w:name w:val="ListLabel 995"/>
    <w:qFormat/>
    <w:rPr>
      <w:rFonts w:cs="Courier New"/>
    </w:rPr>
  </w:style>
  <w:style w:type="character" w:styleId="ListLabel996" w:customStyle="1">
    <w:name w:val="ListLabel 996"/>
    <w:qFormat/>
    <w:rPr>
      <w:rFonts w:cs="Wingdings"/>
    </w:rPr>
  </w:style>
  <w:style w:type="character" w:styleId="ListLabel997" w:customStyle="1">
    <w:name w:val="ListLabel 997"/>
    <w:qFormat/>
    <w:rPr>
      <w:rFonts w:cs="Symbol"/>
    </w:rPr>
  </w:style>
  <w:style w:type="character" w:styleId="ListLabel998" w:customStyle="1">
    <w:name w:val="ListLabel 998"/>
    <w:qFormat/>
    <w:rPr>
      <w:rFonts w:cs="Courier New"/>
    </w:rPr>
  </w:style>
  <w:style w:type="character" w:styleId="ListLabel999" w:customStyle="1">
    <w:name w:val="ListLabel 999"/>
    <w:qFormat/>
    <w:rPr>
      <w:rFonts w:cs="Wingdings"/>
    </w:rPr>
  </w:style>
  <w:style w:type="character" w:styleId="ListLabel1000" w:customStyle="1">
    <w:name w:val="ListLabel 1000"/>
    <w:qFormat/>
    <w:rPr>
      <w:i w:val="false"/>
    </w:rPr>
  </w:style>
  <w:style w:type="character" w:styleId="ListLabel1001" w:customStyle="1">
    <w:name w:val="ListLabel 1001"/>
    <w:qFormat/>
    <w:rPr>
      <w:i w:val="false"/>
    </w:rPr>
  </w:style>
  <w:style w:type="character" w:styleId="ListLabel1002" w:customStyle="1">
    <w:name w:val="ListLabel 1002"/>
    <w:qFormat/>
    <w:rPr>
      <w:i w:val="false"/>
    </w:rPr>
  </w:style>
  <w:style w:type="character" w:styleId="ListLabel1003" w:customStyle="1">
    <w:name w:val="ListLabel 1003"/>
    <w:qFormat/>
    <w:rPr>
      <w:i w:val="false"/>
    </w:rPr>
  </w:style>
  <w:style w:type="character" w:styleId="ListLabel1004" w:customStyle="1">
    <w:name w:val="ListLabel 1004"/>
    <w:qFormat/>
    <w:rPr>
      <w:lang w:val="es-ES"/>
    </w:rPr>
  </w:style>
  <w:style w:type="character" w:styleId="ListLabel1005" w:customStyle="1">
    <w:name w:val="ListLabel 1005"/>
    <w:qFormat/>
    <w:rPr>
      <w:i w:val="false"/>
    </w:rPr>
  </w:style>
  <w:style w:type="character" w:styleId="ListLabel1006" w:customStyle="1">
    <w:name w:val="ListLabel 1006"/>
    <w:qFormat/>
    <w:rPr>
      <w:i w:val="false"/>
    </w:rPr>
  </w:style>
  <w:style w:type="character" w:styleId="ListLabel1007" w:customStyle="1">
    <w:name w:val="ListLabel 1007"/>
    <w:qFormat/>
    <w:rPr>
      <w:i w:val="false"/>
    </w:rPr>
  </w:style>
  <w:style w:type="character" w:styleId="ListLabel1008" w:customStyle="1">
    <w:name w:val="ListLabel 1008"/>
    <w:qFormat/>
    <w:rPr>
      <w:lang w:val="es-ES"/>
    </w:rPr>
  </w:style>
  <w:style w:type="character" w:styleId="ListLabel1009" w:customStyle="1">
    <w:name w:val="ListLabel 1009"/>
    <w:qFormat/>
    <w:rPr>
      <w:sz w:val="22"/>
    </w:rPr>
  </w:style>
  <w:style w:type="character" w:styleId="ListLabel1010" w:customStyle="1">
    <w:name w:val="ListLabel 1010"/>
    <w:qFormat/>
    <w:rPr>
      <w:rFonts w:cs="Symbol"/>
    </w:rPr>
  </w:style>
  <w:style w:type="character" w:styleId="ListLabel1011" w:customStyle="1">
    <w:name w:val="ListLabel 1011"/>
    <w:qFormat/>
    <w:rPr>
      <w:rFonts w:cs="Symbol"/>
    </w:rPr>
  </w:style>
  <w:style w:type="character" w:styleId="ListLabel1012" w:customStyle="1">
    <w:name w:val="ListLabel 1012"/>
    <w:qFormat/>
    <w:rPr>
      <w:rFonts w:cs="Courier New"/>
    </w:rPr>
  </w:style>
  <w:style w:type="character" w:styleId="ListLabel1013" w:customStyle="1">
    <w:name w:val="ListLabel 1013"/>
    <w:qFormat/>
    <w:rPr>
      <w:rFonts w:cs="Wingdings"/>
    </w:rPr>
  </w:style>
  <w:style w:type="character" w:styleId="ListLabel1014" w:customStyle="1">
    <w:name w:val="ListLabel 1014"/>
    <w:qFormat/>
    <w:rPr>
      <w:rFonts w:cs="Symbol"/>
    </w:rPr>
  </w:style>
  <w:style w:type="character" w:styleId="ListLabel1015" w:customStyle="1">
    <w:name w:val="ListLabel 1015"/>
    <w:qFormat/>
    <w:rPr>
      <w:rFonts w:cs="Courier New"/>
    </w:rPr>
  </w:style>
  <w:style w:type="character" w:styleId="ListLabel1016" w:customStyle="1">
    <w:name w:val="ListLabel 1016"/>
    <w:qFormat/>
    <w:rPr>
      <w:rFonts w:cs="Wingdings"/>
    </w:rPr>
  </w:style>
  <w:style w:type="character" w:styleId="ListLabel1017" w:customStyle="1">
    <w:name w:val="ListLabel 1017"/>
    <w:qFormat/>
    <w:rPr>
      <w:rFonts w:cs="Symbol"/>
    </w:rPr>
  </w:style>
  <w:style w:type="character" w:styleId="ListLabel1018" w:customStyle="1">
    <w:name w:val="ListLabel 1018"/>
    <w:qFormat/>
    <w:rPr>
      <w:rFonts w:cs="Courier New"/>
    </w:rPr>
  </w:style>
  <w:style w:type="character" w:styleId="ListLabel1019" w:customStyle="1">
    <w:name w:val="ListLabel 1019"/>
    <w:qFormat/>
    <w:rPr>
      <w:rFonts w:cs="Wingdings"/>
    </w:rPr>
  </w:style>
  <w:style w:type="character" w:styleId="ListLabel1020" w:customStyle="1">
    <w:name w:val="ListLabel 1020"/>
    <w:qFormat/>
    <w:rPr>
      <w:rFonts w:cs="Symbol"/>
    </w:rPr>
  </w:style>
  <w:style w:type="character" w:styleId="ListLabel1021" w:customStyle="1">
    <w:name w:val="ListLabel 1021"/>
    <w:qFormat/>
    <w:rPr>
      <w:rFonts w:cs="Courier New"/>
    </w:rPr>
  </w:style>
  <w:style w:type="character" w:styleId="ListLabel1022" w:customStyle="1">
    <w:name w:val="ListLabel 1022"/>
    <w:qFormat/>
    <w:rPr>
      <w:rFonts w:cs="Wingdings"/>
    </w:rPr>
  </w:style>
  <w:style w:type="character" w:styleId="ListLabel1023" w:customStyle="1">
    <w:name w:val="ListLabel 1023"/>
    <w:qFormat/>
    <w:rPr>
      <w:rFonts w:cs="Symbol"/>
    </w:rPr>
  </w:style>
  <w:style w:type="character" w:styleId="ListLabel1024" w:customStyle="1">
    <w:name w:val="ListLabel 1024"/>
    <w:qFormat/>
    <w:rPr>
      <w:rFonts w:cs="Courier New"/>
    </w:rPr>
  </w:style>
  <w:style w:type="character" w:styleId="ListLabel1025" w:customStyle="1">
    <w:name w:val="ListLabel 1025"/>
    <w:qFormat/>
    <w:rPr>
      <w:rFonts w:cs="Wingdings"/>
    </w:rPr>
  </w:style>
  <w:style w:type="character" w:styleId="ListLabel1026" w:customStyle="1">
    <w:name w:val="ListLabel 1026"/>
    <w:qFormat/>
    <w:rPr>
      <w:rFonts w:cs="Symbol"/>
    </w:rPr>
  </w:style>
  <w:style w:type="character" w:styleId="ListLabel1027" w:customStyle="1">
    <w:name w:val="ListLabel 1027"/>
    <w:qFormat/>
    <w:rPr>
      <w:rFonts w:cs="Courier New"/>
    </w:rPr>
  </w:style>
  <w:style w:type="character" w:styleId="ListLabel1028" w:customStyle="1">
    <w:name w:val="ListLabel 1028"/>
    <w:qFormat/>
    <w:rPr>
      <w:rFonts w:cs="Wingdings"/>
    </w:rPr>
  </w:style>
  <w:style w:type="character" w:styleId="ListLabel1029" w:customStyle="1">
    <w:name w:val="ListLabel 1029"/>
    <w:qFormat/>
    <w:rPr>
      <w:rFonts w:cs="Symbol"/>
    </w:rPr>
  </w:style>
  <w:style w:type="character" w:styleId="ListLabel1030" w:customStyle="1">
    <w:name w:val="ListLabel 1030"/>
    <w:qFormat/>
    <w:rPr>
      <w:rFonts w:cs="Courier New"/>
    </w:rPr>
  </w:style>
  <w:style w:type="character" w:styleId="ListLabel1031" w:customStyle="1">
    <w:name w:val="ListLabel 1031"/>
    <w:qFormat/>
    <w:rPr>
      <w:rFonts w:cs="Wingdings"/>
    </w:rPr>
  </w:style>
  <w:style w:type="character" w:styleId="ListLabel1032" w:customStyle="1">
    <w:name w:val="ListLabel 1032"/>
    <w:qFormat/>
    <w:rPr>
      <w:rFonts w:cs="Symbol"/>
    </w:rPr>
  </w:style>
  <w:style w:type="character" w:styleId="ListLabel1033" w:customStyle="1">
    <w:name w:val="ListLabel 1033"/>
    <w:qFormat/>
    <w:rPr>
      <w:rFonts w:cs="Courier New"/>
    </w:rPr>
  </w:style>
  <w:style w:type="character" w:styleId="ListLabel1034" w:customStyle="1">
    <w:name w:val="ListLabel 1034"/>
    <w:qFormat/>
    <w:rPr>
      <w:rFonts w:cs="Wingdings"/>
    </w:rPr>
  </w:style>
  <w:style w:type="character" w:styleId="ListLabel1035" w:customStyle="1">
    <w:name w:val="ListLabel 1035"/>
    <w:qFormat/>
    <w:rPr>
      <w:rFonts w:cs="Symbol"/>
    </w:rPr>
  </w:style>
  <w:style w:type="character" w:styleId="ListLabel1036" w:customStyle="1">
    <w:name w:val="ListLabel 1036"/>
    <w:qFormat/>
    <w:rPr>
      <w:rFonts w:cs="Courier New"/>
    </w:rPr>
  </w:style>
  <w:style w:type="character" w:styleId="ListLabel1037" w:customStyle="1">
    <w:name w:val="ListLabel 1037"/>
    <w:qFormat/>
    <w:rPr>
      <w:rFonts w:cs="Wingdings"/>
    </w:rPr>
  </w:style>
  <w:style w:type="character" w:styleId="ListLabel1038" w:customStyle="1">
    <w:name w:val="ListLabel 1038"/>
    <w:qFormat/>
    <w:rPr>
      <w:rFonts w:cs="Symbol"/>
    </w:rPr>
  </w:style>
  <w:style w:type="character" w:styleId="ListLabel1039" w:customStyle="1">
    <w:name w:val="ListLabel 1039"/>
    <w:qFormat/>
    <w:rPr>
      <w:rFonts w:cs="Courier New"/>
    </w:rPr>
  </w:style>
  <w:style w:type="character" w:styleId="ListLabel1040" w:customStyle="1">
    <w:name w:val="ListLabel 1040"/>
    <w:qFormat/>
    <w:rPr>
      <w:rFonts w:cs="Wingdings"/>
    </w:rPr>
  </w:style>
  <w:style w:type="character" w:styleId="ListLabel1041" w:customStyle="1">
    <w:name w:val="ListLabel 1041"/>
    <w:qFormat/>
    <w:rPr>
      <w:rFonts w:cs="Symbol"/>
    </w:rPr>
  </w:style>
  <w:style w:type="character" w:styleId="ListLabel1042" w:customStyle="1">
    <w:name w:val="ListLabel 1042"/>
    <w:qFormat/>
    <w:rPr>
      <w:rFonts w:cs="Courier New"/>
    </w:rPr>
  </w:style>
  <w:style w:type="character" w:styleId="ListLabel1043" w:customStyle="1">
    <w:name w:val="ListLabel 1043"/>
    <w:qFormat/>
    <w:rPr>
      <w:rFonts w:cs="Wingdings"/>
    </w:rPr>
  </w:style>
  <w:style w:type="character" w:styleId="ListLabel1044" w:customStyle="1">
    <w:name w:val="ListLabel 1044"/>
    <w:qFormat/>
    <w:rPr>
      <w:rFonts w:cs="Symbol"/>
    </w:rPr>
  </w:style>
  <w:style w:type="character" w:styleId="ListLabel1045" w:customStyle="1">
    <w:name w:val="ListLabel 1045"/>
    <w:qFormat/>
    <w:rPr>
      <w:rFonts w:cs="Courier New"/>
    </w:rPr>
  </w:style>
  <w:style w:type="character" w:styleId="ListLabel1046" w:customStyle="1">
    <w:name w:val="ListLabel 1046"/>
    <w:qFormat/>
    <w:rPr>
      <w:rFonts w:cs="Wingdings"/>
    </w:rPr>
  </w:style>
  <w:style w:type="character" w:styleId="ListLabel1047" w:customStyle="1">
    <w:name w:val="ListLabel 1047"/>
    <w:qFormat/>
    <w:rPr>
      <w:rFonts w:cs="Symbol"/>
      <w:sz w:val="21"/>
    </w:rPr>
  </w:style>
  <w:style w:type="character" w:styleId="ListLabel1048" w:customStyle="1">
    <w:name w:val="ListLabel 1048"/>
    <w:qFormat/>
    <w:rPr>
      <w:rFonts w:cs="Courier New"/>
    </w:rPr>
  </w:style>
  <w:style w:type="character" w:styleId="ListLabel1049" w:customStyle="1">
    <w:name w:val="ListLabel 1049"/>
    <w:qFormat/>
    <w:rPr>
      <w:rFonts w:cs="Wingdings"/>
    </w:rPr>
  </w:style>
  <w:style w:type="character" w:styleId="ListLabel1050" w:customStyle="1">
    <w:name w:val="ListLabel 1050"/>
    <w:qFormat/>
    <w:rPr>
      <w:rFonts w:cs="Symbol"/>
    </w:rPr>
  </w:style>
  <w:style w:type="character" w:styleId="ListLabel1051" w:customStyle="1">
    <w:name w:val="ListLabel 1051"/>
    <w:qFormat/>
    <w:rPr>
      <w:rFonts w:cs="Courier New"/>
    </w:rPr>
  </w:style>
  <w:style w:type="character" w:styleId="ListLabel1052" w:customStyle="1">
    <w:name w:val="ListLabel 1052"/>
    <w:qFormat/>
    <w:rPr>
      <w:rFonts w:cs="Wingdings"/>
    </w:rPr>
  </w:style>
  <w:style w:type="character" w:styleId="ListLabel1053" w:customStyle="1">
    <w:name w:val="ListLabel 1053"/>
    <w:qFormat/>
    <w:rPr>
      <w:rFonts w:cs="Symbol"/>
    </w:rPr>
  </w:style>
  <w:style w:type="character" w:styleId="ListLabel1054" w:customStyle="1">
    <w:name w:val="ListLabel 1054"/>
    <w:qFormat/>
    <w:rPr>
      <w:rFonts w:cs="Courier New"/>
    </w:rPr>
  </w:style>
  <w:style w:type="character" w:styleId="ListLabel1055" w:customStyle="1">
    <w:name w:val="ListLabel 1055"/>
    <w:qFormat/>
    <w:rPr>
      <w:rFonts w:cs="Wingdings"/>
    </w:rPr>
  </w:style>
  <w:style w:type="character" w:styleId="ListLabel1056" w:customStyle="1">
    <w:name w:val="ListLabel 1056"/>
    <w:qFormat/>
    <w:rPr>
      <w:rFonts w:cs="Symbol"/>
      <w:sz w:val="21"/>
    </w:rPr>
  </w:style>
  <w:style w:type="character" w:styleId="ListLabel1057" w:customStyle="1">
    <w:name w:val="ListLabel 1057"/>
    <w:qFormat/>
    <w:rPr>
      <w:rFonts w:cs="Courier New"/>
    </w:rPr>
  </w:style>
  <w:style w:type="character" w:styleId="ListLabel1058" w:customStyle="1">
    <w:name w:val="ListLabel 1058"/>
    <w:qFormat/>
    <w:rPr>
      <w:rFonts w:cs="Wingdings"/>
    </w:rPr>
  </w:style>
  <w:style w:type="character" w:styleId="ListLabel1059" w:customStyle="1">
    <w:name w:val="ListLabel 1059"/>
    <w:qFormat/>
    <w:rPr>
      <w:rFonts w:cs="Symbol"/>
    </w:rPr>
  </w:style>
  <w:style w:type="character" w:styleId="ListLabel1060" w:customStyle="1">
    <w:name w:val="ListLabel 1060"/>
    <w:qFormat/>
    <w:rPr>
      <w:rFonts w:cs="Courier New"/>
    </w:rPr>
  </w:style>
  <w:style w:type="character" w:styleId="ListLabel1061" w:customStyle="1">
    <w:name w:val="ListLabel 1061"/>
    <w:qFormat/>
    <w:rPr>
      <w:rFonts w:cs="Wingdings"/>
    </w:rPr>
  </w:style>
  <w:style w:type="character" w:styleId="ListLabel1062" w:customStyle="1">
    <w:name w:val="ListLabel 1062"/>
    <w:qFormat/>
    <w:rPr>
      <w:rFonts w:cs="Symbol"/>
    </w:rPr>
  </w:style>
  <w:style w:type="character" w:styleId="ListLabel1063" w:customStyle="1">
    <w:name w:val="ListLabel 1063"/>
    <w:qFormat/>
    <w:rPr>
      <w:rFonts w:cs="Courier New"/>
    </w:rPr>
  </w:style>
  <w:style w:type="character" w:styleId="ListLabel1064" w:customStyle="1">
    <w:name w:val="ListLabel 1064"/>
    <w:qFormat/>
    <w:rPr>
      <w:rFonts w:cs="Wingdings"/>
    </w:rPr>
  </w:style>
  <w:style w:type="character" w:styleId="ListLabel1065" w:customStyle="1">
    <w:name w:val="ListLabel 1065"/>
    <w:qFormat/>
    <w:rPr>
      <w:i w:val="false"/>
    </w:rPr>
  </w:style>
  <w:style w:type="character" w:styleId="ListLabel1066" w:customStyle="1">
    <w:name w:val="ListLabel 1066"/>
    <w:qFormat/>
    <w:rPr>
      <w:rFonts w:cs="Symbol"/>
    </w:rPr>
  </w:style>
  <w:style w:type="character" w:styleId="ListLabel1067" w:customStyle="1">
    <w:name w:val="ListLabel 1067"/>
    <w:qFormat/>
    <w:rPr>
      <w:rFonts w:cs="Courier New"/>
    </w:rPr>
  </w:style>
  <w:style w:type="character" w:styleId="ListLabel1068" w:customStyle="1">
    <w:name w:val="ListLabel 1068"/>
    <w:qFormat/>
    <w:rPr>
      <w:rFonts w:cs="Wingdings"/>
    </w:rPr>
  </w:style>
  <w:style w:type="character" w:styleId="ListLabel1069" w:customStyle="1">
    <w:name w:val="ListLabel 1069"/>
    <w:qFormat/>
    <w:rPr>
      <w:rFonts w:cs="Symbol"/>
    </w:rPr>
  </w:style>
  <w:style w:type="character" w:styleId="ListLabel1070" w:customStyle="1">
    <w:name w:val="ListLabel 1070"/>
    <w:qFormat/>
    <w:rPr>
      <w:rFonts w:cs="Courier New"/>
    </w:rPr>
  </w:style>
  <w:style w:type="character" w:styleId="ListLabel1071" w:customStyle="1">
    <w:name w:val="ListLabel 1071"/>
    <w:qFormat/>
    <w:rPr>
      <w:rFonts w:cs="Wingdings"/>
    </w:rPr>
  </w:style>
  <w:style w:type="character" w:styleId="ListLabel1072" w:customStyle="1">
    <w:name w:val="ListLabel 1072"/>
    <w:qFormat/>
    <w:rPr>
      <w:rFonts w:cs="Symbol"/>
    </w:rPr>
  </w:style>
  <w:style w:type="character" w:styleId="ListLabel1073" w:customStyle="1">
    <w:name w:val="ListLabel 1073"/>
    <w:qFormat/>
    <w:rPr>
      <w:rFonts w:cs="Courier New"/>
    </w:rPr>
  </w:style>
  <w:style w:type="character" w:styleId="ListLabel1074" w:customStyle="1">
    <w:name w:val="ListLabel 1074"/>
    <w:qFormat/>
    <w:rPr>
      <w:rFonts w:cs="Wingdings"/>
    </w:rPr>
  </w:style>
  <w:style w:type="character" w:styleId="ListLabel1075" w:customStyle="1">
    <w:name w:val="ListLabel 1075"/>
    <w:qFormat/>
    <w:rPr>
      <w:rFonts w:cs="Symbol"/>
    </w:rPr>
  </w:style>
  <w:style w:type="character" w:styleId="ListLabel1076" w:customStyle="1">
    <w:name w:val="ListLabel 1076"/>
    <w:qFormat/>
    <w:rPr>
      <w:rFonts w:cs="Courier New"/>
    </w:rPr>
  </w:style>
  <w:style w:type="character" w:styleId="ListLabel1077" w:customStyle="1">
    <w:name w:val="ListLabel 1077"/>
    <w:qFormat/>
    <w:rPr>
      <w:rFonts w:cs="Wingdings"/>
    </w:rPr>
  </w:style>
  <w:style w:type="character" w:styleId="ListLabel1078" w:customStyle="1">
    <w:name w:val="ListLabel 1078"/>
    <w:qFormat/>
    <w:rPr>
      <w:rFonts w:cs="Symbol"/>
    </w:rPr>
  </w:style>
  <w:style w:type="character" w:styleId="ListLabel1079" w:customStyle="1">
    <w:name w:val="ListLabel 1079"/>
    <w:qFormat/>
    <w:rPr>
      <w:rFonts w:cs="Courier New"/>
    </w:rPr>
  </w:style>
  <w:style w:type="character" w:styleId="ListLabel1080" w:customStyle="1">
    <w:name w:val="ListLabel 1080"/>
    <w:qFormat/>
    <w:rPr>
      <w:rFonts w:cs="Wingdings"/>
    </w:rPr>
  </w:style>
  <w:style w:type="character" w:styleId="ListLabel1081" w:customStyle="1">
    <w:name w:val="ListLabel 1081"/>
    <w:qFormat/>
    <w:rPr>
      <w:rFonts w:cs="Symbol"/>
    </w:rPr>
  </w:style>
  <w:style w:type="character" w:styleId="ListLabel1082" w:customStyle="1">
    <w:name w:val="ListLabel 1082"/>
    <w:qFormat/>
    <w:rPr>
      <w:rFonts w:cs="Courier New"/>
    </w:rPr>
  </w:style>
  <w:style w:type="character" w:styleId="ListLabel1083" w:customStyle="1">
    <w:name w:val="ListLabel 1083"/>
    <w:qFormat/>
    <w:rPr>
      <w:rFonts w:cs="Wingdings"/>
    </w:rPr>
  </w:style>
  <w:style w:type="character" w:styleId="ListLabel1084" w:customStyle="1">
    <w:name w:val="ListLabel 1084"/>
    <w:qFormat/>
    <w:rPr>
      <w:rFonts w:cs="Symbol"/>
    </w:rPr>
  </w:style>
  <w:style w:type="character" w:styleId="ListLabel1085" w:customStyle="1">
    <w:name w:val="ListLabel 1085"/>
    <w:qFormat/>
    <w:rPr>
      <w:rFonts w:cs="Courier New"/>
    </w:rPr>
  </w:style>
  <w:style w:type="character" w:styleId="ListLabel1086" w:customStyle="1">
    <w:name w:val="ListLabel 1086"/>
    <w:qFormat/>
    <w:rPr>
      <w:rFonts w:cs="Wingdings"/>
    </w:rPr>
  </w:style>
  <w:style w:type="character" w:styleId="ListLabel1087" w:customStyle="1">
    <w:name w:val="ListLabel 1087"/>
    <w:qFormat/>
    <w:rPr>
      <w:rFonts w:cs="Symbol"/>
    </w:rPr>
  </w:style>
  <w:style w:type="character" w:styleId="ListLabel1088" w:customStyle="1">
    <w:name w:val="ListLabel 1088"/>
    <w:qFormat/>
    <w:rPr>
      <w:rFonts w:cs="Courier New"/>
    </w:rPr>
  </w:style>
  <w:style w:type="character" w:styleId="ListLabel1089" w:customStyle="1">
    <w:name w:val="ListLabel 1089"/>
    <w:qFormat/>
    <w:rPr>
      <w:rFonts w:cs="Wingdings"/>
    </w:rPr>
  </w:style>
  <w:style w:type="character" w:styleId="ListLabel1090" w:customStyle="1">
    <w:name w:val="ListLabel 1090"/>
    <w:qFormat/>
    <w:rPr>
      <w:rFonts w:cs="Symbol"/>
    </w:rPr>
  </w:style>
  <w:style w:type="character" w:styleId="ListLabel1091" w:customStyle="1">
    <w:name w:val="ListLabel 1091"/>
    <w:qFormat/>
    <w:rPr>
      <w:rFonts w:cs="Courier New"/>
    </w:rPr>
  </w:style>
  <w:style w:type="character" w:styleId="ListLabel1092" w:customStyle="1">
    <w:name w:val="ListLabel 1092"/>
    <w:qFormat/>
    <w:rPr>
      <w:rFonts w:cs="Wingdings"/>
    </w:rPr>
  </w:style>
  <w:style w:type="character" w:styleId="ListLabel1093" w:customStyle="1">
    <w:name w:val="ListLabel 1093"/>
    <w:qFormat/>
    <w:rPr>
      <w:rFonts w:cs="Courier New"/>
    </w:rPr>
  </w:style>
  <w:style w:type="character" w:styleId="ListLabel1094" w:customStyle="1">
    <w:name w:val="ListLabel 1094"/>
    <w:qFormat/>
    <w:rPr>
      <w:rFonts w:cs="Courier New"/>
    </w:rPr>
  </w:style>
  <w:style w:type="character" w:styleId="ListLabel1095" w:customStyle="1">
    <w:name w:val="ListLabel 1095"/>
    <w:qFormat/>
    <w:rPr>
      <w:rFonts w:cs="Wingdings"/>
    </w:rPr>
  </w:style>
  <w:style w:type="character" w:styleId="ListLabel1096" w:customStyle="1">
    <w:name w:val="ListLabel 1096"/>
    <w:qFormat/>
    <w:rPr>
      <w:rFonts w:cs="Symbol"/>
    </w:rPr>
  </w:style>
  <w:style w:type="character" w:styleId="ListLabel1097" w:customStyle="1">
    <w:name w:val="ListLabel 1097"/>
    <w:qFormat/>
    <w:rPr>
      <w:rFonts w:cs="Courier New"/>
    </w:rPr>
  </w:style>
  <w:style w:type="character" w:styleId="ListLabel1098" w:customStyle="1">
    <w:name w:val="ListLabel 1098"/>
    <w:qFormat/>
    <w:rPr>
      <w:rFonts w:cs="Wingdings"/>
    </w:rPr>
  </w:style>
  <w:style w:type="character" w:styleId="ListLabel1099" w:customStyle="1">
    <w:name w:val="ListLabel 1099"/>
    <w:qFormat/>
    <w:rPr>
      <w:rFonts w:cs="Symbol"/>
    </w:rPr>
  </w:style>
  <w:style w:type="character" w:styleId="ListLabel1100" w:customStyle="1">
    <w:name w:val="ListLabel 1100"/>
    <w:qFormat/>
    <w:rPr>
      <w:rFonts w:cs="Courier New"/>
    </w:rPr>
  </w:style>
  <w:style w:type="character" w:styleId="ListLabel1101" w:customStyle="1">
    <w:name w:val="ListLabel 1101"/>
    <w:qFormat/>
    <w:rPr>
      <w:rFonts w:cs="Wingdings"/>
    </w:rPr>
  </w:style>
  <w:style w:type="character" w:styleId="ListLabel1102" w:customStyle="1">
    <w:name w:val="ListLabel 1102"/>
    <w:qFormat/>
    <w:rPr>
      <w:rFonts w:cs="Courier New"/>
    </w:rPr>
  </w:style>
  <w:style w:type="character" w:styleId="ListLabel1103" w:customStyle="1">
    <w:name w:val="ListLabel 1103"/>
    <w:qFormat/>
    <w:rPr>
      <w:rFonts w:cs="Courier New"/>
    </w:rPr>
  </w:style>
  <w:style w:type="character" w:styleId="ListLabel1104" w:customStyle="1">
    <w:name w:val="ListLabel 1104"/>
    <w:qFormat/>
    <w:rPr>
      <w:rFonts w:cs="Wingdings"/>
    </w:rPr>
  </w:style>
  <w:style w:type="character" w:styleId="ListLabel1105" w:customStyle="1">
    <w:name w:val="ListLabel 1105"/>
    <w:qFormat/>
    <w:rPr>
      <w:rFonts w:cs="Symbol"/>
    </w:rPr>
  </w:style>
  <w:style w:type="character" w:styleId="ListLabel1106" w:customStyle="1">
    <w:name w:val="ListLabel 1106"/>
    <w:qFormat/>
    <w:rPr>
      <w:rFonts w:cs="Courier New"/>
    </w:rPr>
  </w:style>
  <w:style w:type="character" w:styleId="ListLabel1107" w:customStyle="1">
    <w:name w:val="ListLabel 1107"/>
    <w:qFormat/>
    <w:rPr>
      <w:rFonts w:cs="Wingdings"/>
    </w:rPr>
  </w:style>
  <w:style w:type="character" w:styleId="ListLabel1108" w:customStyle="1">
    <w:name w:val="ListLabel 1108"/>
    <w:qFormat/>
    <w:rPr>
      <w:rFonts w:cs="Symbol"/>
    </w:rPr>
  </w:style>
  <w:style w:type="character" w:styleId="ListLabel1109" w:customStyle="1">
    <w:name w:val="ListLabel 1109"/>
    <w:qFormat/>
    <w:rPr>
      <w:rFonts w:cs="Courier New"/>
    </w:rPr>
  </w:style>
  <w:style w:type="character" w:styleId="ListLabel1110" w:customStyle="1">
    <w:name w:val="ListLabel 1110"/>
    <w:qFormat/>
    <w:rPr>
      <w:rFonts w:cs="Wingdings"/>
    </w:rPr>
  </w:style>
  <w:style w:type="character" w:styleId="ListLabel1111" w:customStyle="1">
    <w:name w:val="ListLabel 1111"/>
    <w:qFormat/>
    <w:rPr>
      <w:rFonts w:cs="Courier New"/>
    </w:rPr>
  </w:style>
  <w:style w:type="character" w:styleId="ListLabel1112" w:customStyle="1">
    <w:name w:val="ListLabel 1112"/>
    <w:qFormat/>
    <w:rPr>
      <w:rFonts w:cs="Courier New"/>
    </w:rPr>
  </w:style>
  <w:style w:type="character" w:styleId="ListLabel1113" w:customStyle="1">
    <w:name w:val="ListLabel 1113"/>
    <w:qFormat/>
    <w:rPr>
      <w:rFonts w:cs="Wingdings"/>
    </w:rPr>
  </w:style>
  <w:style w:type="character" w:styleId="ListLabel1114" w:customStyle="1">
    <w:name w:val="ListLabel 1114"/>
    <w:qFormat/>
    <w:rPr>
      <w:rFonts w:cs="Symbol"/>
    </w:rPr>
  </w:style>
  <w:style w:type="character" w:styleId="ListLabel1115" w:customStyle="1">
    <w:name w:val="ListLabel 1115"/>
    <w:qFormat/>
    <w:rPr>
      <w:rFonts w:cs="Courier New"/>
    </w:rPr>
  </w:style>
  <w:style w:type="character" w:styleId="ListLabel1116" w:customStyle="1">
    <w:name w:val="ListLabel 1116"/>
    <w:qFormat/>
    <w:rPr>
      <w:rFonts w:cs="Wingdings"/>
    </w:rPr>
  </w:style>
  <w:style w:type="character" w:styleId="ListLabel1117" w:customStyle="1">
    <w:name w:val="ListLabel 1117"/>
    <w:qFormat/>
    <w:rPr>
      <w:rFonts w:cs="Symbol"/>
    </w:rPr>
  </w:style>
  <w:style w:type="character" w:styleId="ListLabel1118" w:customStyle="1">
    <w:name w:val="ListLabel 1118"/>
    <w:qFormat/>
    <w:rPr>
      <w:rFonts w:cs="Courier New"/>
    </w:rPr>
  </w:style>
  <w:style w:type="character" w:styleId="ListLabel1119" w:customStyle="1">
    <w:name w:val="ListLabel 1119"/>
    <w:qFormat/>
    <w:rPr>
      <w:rFonts w:cs="Wingdings"/>
    </w:rPr>
  </w:style>
  <w:style w:type="character" w:styleId="ListLabel1120" w:customStyle="1">
    <w:name w:val="ListLabel 1120"/>
    <w:qFormat/>
    <w:rPr>
      <w:rFonts w:cs="Courier New"/>
    </w:rPr>
  </w:style>
  <w:style w:type="character" w:styleId="ListLabel1121" w:customStyle="1">
    <w:name w:val="ListLabel 1121"/>
    <w:qFormat/>
    <w:rPr>
      <w:rFonts w:cs="Courier New"/>
    </w:rPr>
  </w:style>
  <w:style w:type="character" w:styleId="ListLabel1122" w:customStyle="1">
    <w:name w:val="ListLabel 1122"/>
    <w:qFormat/>
    <w:rPr>
      <w:rFonts w:cs="Wingdings"/>
    </w:rPr>
  </w:style>
  <w:style w:type="character" w:styleId="ListLabel1123" w:customStyle="1">
    <w:name w:val="ListLabel 1123"/>
    <w:qFormat/>
    <w:rPr>
      <w:rFonts w:cs="Symbol"/>
    </w:rPr>
  </w:style>
  <w:style w:type="character" w:styleId="ListLabel1124" w:customStyle="1">
    <w:name w:val="ListLabel 1124"/>
    <w:qFormat/>
    <w:rPr>
      <w:rFonts w:cs="Courier New"/>
    </w:rPr>
  </w:style>
  <w:style w:type="character" w:styleId="ListLabel1125" w:customStyle="1">
    <w:name w:val="ListLabel 1125"/>
    <w:qFormat/>
    <w:rPr>
      <w:rFonts w:cs="Wingdings"/>
    </w:rPr>
  </w:style>
  <w:style w:type="character" w:styleId="ListLabel1126" w:customStyle="1">
    <w:name w:val="ListLabel 1126"/>
    <w:qFormat/>
    <w:rPr>
      <w:rFonts w:cs="Symbol"/>
    </w:rPr>
  </w:style>
  <w:style w:type="character" w:styleId="ListLabel1127" w:customStyle="1">
    <w:name w:val="ListLabel 1127"/>
    <w:qFormat/>
    <w:rPr>
      <w:rFonts w:cs="Courier New"/>
    </w:rPr>
  </w:style>
  <w:style w:type="character" w:styleId="ListLabel1128" w:customStyle="1">
    <w:name w:val="ListLabel 1128"/>
    <w:qFormat/>
    <w:rPr>
      <w:rFonts w:cs="Wingdings"/>
    </w:rPr>
  </w:style>
  <w:style w:type="character" w:styleId="ListLabel1129" w:customStyle="1">
    <w:name w:val="ListLabel 1129"/>
    <w:qFormat/>
    <w:rPr>
      <w:rFonts w:cs="Courier New"/>
    </w:rPr>
  </w:style>
  <w:style w:type="character" w:styleId="ListLabel1130" w:customStyle="1">
    <w:name w:val="ListLabel 1130"/>
    <w:qFormat/>
    <w:rPr>
      <w:rFonts w:cs="Courier New"/>
    </w:rPr>
  </w:style>
  <w:style w:type="character" w:styleId="ListLabel1131" w:customStyle="1">
    <w:name w:val="ListLabel 1131"/>
    <w:qFormat/>
    <w:rPr>
      <w:rFonts w:cs="Wingdings"/>
    </w:rPr>
  </w:style>
  <w:style w:type="character" w:styleId="ListLabel1132" w:customStyle="1">
    <w:name w:val="ListLabel 1132"/>
    <w:qFormat/>
    <w:rPr>
      <w:rFonts w:cs="Symbol"/>
    </w:rPr>
  </w:style>
  <w:style w:type="character" w:styleId="ListLabel1133" w:customStyle="1">
    <w:name w:val="ListLabel 1133"/>
    <w:qFormat/>
    <w:rPr>
      <w:rFonts w:cs="Courier New"/>
    </w:rPr>
  </w:style>
  <w:style w:type="character" w:styleId="ListLabel1134" w:customStyle="1">
    <w:name w:val="ListLabel 1134"/>
    <w:qFormat/>
    <w:rPr>
      <w:rFonts w:cs="Wingdings"/>
    </w:rPr>
  </w:style>
  <w:style w:type="character" w:styleId="ListLabel1135" w:customStyle="1">
    <w:name w:val="ListLabel 1135"/>
    <w:qFormat/>
    <w:rPr>
      <w:rFonts w:cs="Symbol"/>
    </w:rPr>
  </w:style>
  <w:style w:type="character" w:styleId="ListLabel1136" w:customStyle="1">
    <w:name w:val="ListLabel 1136"/>
    <w:qFormat/>
    <w:rPr>
      <w:rFonts w:cs="Courier New"/>
    </w:rPr>
  </w:style>
  <w:style w:type="character" w:styleId="ListLabel1137" w:customStyle="1">
    <w:name w:val="ListLabel 1137"/>
    <w:qFormat/>
    <w:rPr>
      <w:rFonts w:cs="Wingdings"/>
    </w:rPr>
  </w:style>
  <w:style w:type="character" w:styleId="ListLabel1138" w:customStyle="1">
    <w:name w:val="ListLabel 1138"/>
    <w:qFormat/>
    <w:rPr>
      <w:rFonts w:cs="Symbol"/>
    </w:rPr>
  </w:style>
  <w:style w:type="character" w:styleId="ListLabel1139" w:customStyle="1">
    <w:name w:val="ListLabel 1139"/>
    <w:qFormat/>
    <w:rPr>
      <w:rFonts w:cs="Courier New"/>
    </w:rPr>
  </w:style>
  <w:style w:type="character" w:styleId="ListLabel1140" w:customStyle="1">
    <w:name w:val="ListLabel 1140"/>
    <w:qFormat/>
    <w:rPr>
      <w:rFonts w:cs="Wingdings"/>
    </w:rPr>
  </w:style>
  <w:style w:type="character" w:styleId="ListLabel1141" w:customStyle="1">
    <w:name w:val="ListLabel 1141"/>
    <w:qFormat/>
    <w:rPr>
      <w:rFonts w:cs="Symbol"/>
    </w:rPr>
  </w:style>
  <w:style w:type="character" w:styleId="ListLabel1142" w:customStyle="1">
    <w:name w:val="ListLabel 1142"/>
    <w:qFormat/>
    <w:rPr>
      <w:rFonts w:cs="Courier New"/>
    </w:rPr>
  </w:style>
  <w:style w:type="character" w:styleId="ListLabel1143" w:customStyle="1">
    <w:name w:val="ListLabel 1143"/>
    <w:qFormat/>
    <w:rPr>
      <w:rFonts w:cs="Wingdings"/>
    </w:rPr>
  </w:style>
  <w:style w:type="character" w:styleId="ListLabel1144" w:customStyle="1">
    <w:name w:val="ListLabel 1144"/>
    <w:qFormat/>
    <w:rPr>
      <w:rFonts w:cs="Symbol"/>
    </w:rPr>
  </w:style>
  <w:style w:type="character" w:styleId="ListLabel1145" w:customStyle="1">
    <w:name w:val="ListLabel 1145"/>
    <w:qFormat/>
    <w:rPr>
      <w:rFonts w:cs="Courier New"/>
    </w:rPr>
  </w:style>
  <w:style w:type="character" w:styleId="ListLabel1146" w:customStyle="1">
    <w:name w:val="ListLabel 1146"/>
    <w:qFormat/>
    <w:rPr>
      <w:rFonts w:cs="Wingdings"/>
    </w:rPr>
  </w:style>
  <w:style w:type="character" w:styleId="ListLabel1147" w:customStyle="1">
    <w:name w:val="ListLabel 1147"/>
    <w:qFormat/>
    <w:rPr>
      <w:i w:val="false"/>
    </w:rPr>
  </w:style>
  <w:style w:type="character" w:styleId="ListLabel1148" w:customStyle="1">
    <w:name w:val="ListLabel 1148"/>
    <w:qFormat/>
    <w:rPr>
      <w:rFonts w:cs="Symbol"/>
    </w:rPr>
  </w:style>
  <w:style w:type="character" w:styleId="ListLabel1149" w:customStyle="1">
    <w:name w:val="ListLabel 1149"/>
    <w:qFormat/>
    <w:rPr>
      <w:rFonts w:cs="Courier New"/>
    </w:rPr>
  </w:style>
  <w:style w:type="character" w:styleId="ListLabel1150" w:customStyle="1">
    <w:name w:val="ListLabel 1150"/>
    <w:qFormat/>
    <w:rPr>
      <w:rFonts w:cs="Wingdings"/>
    </w:rPr>
  </w:style>
  <w:style w:type="character" w:styleId="ListLabel1151" w:customStyle="1">
    <w:name w:val="ListLabel 1151"/>
    <w:qFormat/>
    <w:rPr>
      <w:rFonts w:cs="Symbol"/>
    </w:rPr>
  </w:style>
  <w:style w:type="character" w:styleId="ListLabel1152" w:customStyle="1">
    <w:name w:val="ListLabel 1152"/>
    <w:qFormat/>
    <w:rPr>
      <w:rFonts w:cs="Courier New"/>
    </w:rPr>
  </w:style>
  <w:style w:type="character" w:styleId="ListLabel1153" w:customStyle="1">
    <w:name w:val="ListLabel 1153"/>
    <w:qFormat/>
    <w:rPr>
      <w:rFonts w:cs="Wingdings"/>
    </w:rPr>
  </w:style>
  <w:style w:type="character" w:styleId="ListLabel1154" w:customStyle="1">
    <w:name w:val="ListLabel 1154"/>
    <w:qFormat/>
    <w:rPr>
      <w:rFonts w:cs="Symbol"/>
    </w:rPr>
  </w:style>
  <w:style w:type="character" w:styleId="ListLabel1155" w:customStyle="1">
    <w:name w:val="ListLabel 1155"/>
    <w:qFormat/>
    <w:rPr>
      <w:rFonts w:cs="Courier New"/>
    </w:rPr>
  </w:style>
  <w:style w:type="character" w:styleId="ListLabel1156" w:customStyle="1">
    <w:name w:val="ListLabel 1156"/>
    <w:qFormat/>
    <w:rPr>
      <w:rFonts w:cs="Wingdings"/>
    </w:rPr>
  </w:style>
  <w:style w:type="character" w:styleId="ListLabel1157" w:customStyle="1">
    <w:name w:val="ListLabel 1157"/>
    <w:qFormat/>
    <w:rPr>
      <w:rFonts w:cs="Courier New"/>
    </w:rPr>
  </w:style>
  <w:style w:type="character" w:styleId="ListLabel1158" w:customStyle="1">
    <w:name w:val="ListLabel 1158"/>
    <w:qFormat/>
    <w:rPr>
      <w:rFonts w:cs="Wingdings"/>
    </w:rPr>
  </w:style>
  <w:style w:type="character" w:styleId="ListLabel1159" w:customStyle="1">
    <w:name w:val="ListLabel 1159"/>
    <w:qFormat/>
    <w:rPr>
      <w:rFonts w:cs="Symbol"/>
    </w:rPr>
  </w:style>
  <w:style w:type="character" w:styleId="ListLabel1160" w:customStyle="1">
    <w:name w:val="ListLabel 1160"/>
    <w:qFormat/>
    <w:rPr>
      <w:rFonts w:cs="Courier New"/>
    </w:rPr>
  </w:style>
  <w:style w:type="character" w:styleId="ListLabel1161" w:customStyle="1">
    <w:name w:val="ListLabel 1161"/>
    <w:qFormat/>
    <w:rPr>
      <w:rFonts w:cs="Wingdings"/>
    </w:rPr>
  </w:style>
  <w:style w:type="character" w:styleId="ListLabel1162" w:customStyle="1">
    <w:name w:val="ListLabel 1162"/>
    <w:qFormat/>
    <w:rPr>
      <w:rFonts w:cs="Symbol"/>
    </w:rPr>
  </w:style>
  <w:style w:type="character" w:styleId="ListLabel1163" w:customStyle="1">
    <w:name w:val="ListLabel 1163"/>
    <w:qFormat/>
    <w:rPr>
      <w:rFonts w:cs="Courier New"/>
    </w:rPr>
  </w:style>
  <w:style w:type="character" w:styleId="ListLabel1164" w:customStyle="1">
    <w:name w:val="ListLabel 1164"/>
    <w:qFormat/>
    <w:rPr>
      <w:rFonts w:cs="Wingdings"/>
    </w:rPr>
  </w:style>
  <w:style w:type="character" w:styleId="ListLabel1165" w:customStyle="1">
    <w:name w:val="ListLabel 1165"/>
    <w:qFormat/>
    <w:rPr>
      <w:i w:val="false"/>
    </w:rPr>
  </w:style>
  <w:style w:type="character" w:styleId="ListLabel1166" w:customStyle="1">
    <w:name w:val="ListLabel 1166"/>
    <w:qFormat/>
    <w:rPr>
      <w:rFonts w:cs="Symbol"/>
    </w:rPr>
  </w:style>
  <w:style w:type="character" w:styleId="ListLabel1167" w:customStyle="1">
    <w:name w:val="ListLabel 1167"/>
    <w:qFormat/>
    <w:rPr>
      <w:rFonts w:cs="Courier New"/>
    </w:rPr>
  </w:style>
  <w:style w:type="character" w:styleId="ListLabel1168" w:customStyle="1">
    <w:name w:val="ListLabel 1168"/>
    <w:qFormat/>
    <w:rPr>
      <w:rFonts w:cs="Wingdings"/>
    </w:rPr>
  </w:style>
  <w:style w:type="character" w:styleId="ListLabel1169" w:customStyle="1">
    <w:name w:val="ListLabel 1169"/>
    <w:qFormat/>
    <w:rPr>
      <w:rFonts w:cs="Symbol"/>
    </w:rPr>
  </w:style>
  <w:style w:type="character" w:styleId="ListLabel1170" w:customStyle="1">
    <w:name w:val="ListLabel 1170"/>
    <w:qFormat/>
    <w:rPr>
      <w:rFonts w:cs="Courier New"/>
    </w:rPr>
  </w:style>
  <w:style w:type="character" w:styleId="ListLabel1171" w:customStyle="1">
    <w:name w:val="ListLabel 1171"/>
    <w:qFormat/>
    <w:rPr>
      <w:rFonts w:cs="Wingdings"/>
    </w:rPr>
  </w:style>
  <w:style w:type="character" w:styleId="ListLabel1172" w:customStyle="1">
    <w:name w:val="ListLabel 1172"/>
    <w:qFormat/>
    <w:rPr>
      <w:rFonts w:cs="Symbol"/>
    </w:rPr>
  </w:style>
  <w:style w:type="character" w:styleId="ListLabel1173" w:customStyle="1">
    <w:name w:val="ListLabel 1173"/>
    <w:qFormat/>
    <w:rPr>
      <w:rFonts w:cs="Courier New"/>
    </w:rPr>
  </w:style>
  <w:style w:type="character" w:styleId="ListLabel1174" w:customStyle="1">
    <w:name w:val="ListLabel 1174"/>
    <w:qFormat/>
    <w:rPr>
      <w:rFonts w:cs="Wingdings"/>
    </w:rPr>
  </w:style>
  <w:style w:type="character" w:styleId="ListLabel1175" w:customStyle="1">
    <w:name w:val="ListLabel 1175"/>
    <w:qFormat/>
    <w:rPr>
      <w:rFonts w:cs="Symbol"/>
      <w:i w:val="false"/>
    </w:rPr>
  </w:style>
  <w:style w:type="character" w:styleId="ListLabel1176" w:customStyle="1">
    <w:name w:val="ListLabel 1176"/>
    <w:qFormat/>
    <w:rPr>
      <w:rFonts w:cs="Symbol"/>
    </w:rPr>
  </w:style>
  <w:style w:type="character" w:styleId="ListLabel1177" w:customStyle="1">
    <w:name w:val="ListLabel 1177"/>
    <w:qFormat/>
    <w:rPr>
      <w:rFonts w:cs="Courier New"/>
    </w:rPr>
  </w:style>
  <w:style w:type="character" w:styleId="ListLabel1178" w:customStyle="1">
    <w:name w:val="ListLabel 1178"/>
    <w:qFormat/>
    <w:rPr>
      <w:rFonts w:cs="Wingdings"/>
    </w:rPr>
  </w:style>
  <w:style w:type="character" w:styleId="ListLabel1179" w:customStyle="1">
    <w:name w:val="ListLabel 1179"/>
    <w:qFormat/>
    <w:rPr>
      <w:rFonts w:cs="Symbol"/>
    </w:rPr>
  </w:style>
  <w:style w:type="character" w:styleId="ListLabel1180" w:customStyle="1">
    <w:name w:val="ListLabel 1180"/>
    <w:qFormat/>
    <w:rPr>
      <w:rFonts w:cs="Courier New"/>
    </w:rPr>
  </w:style>
  <w:style w:type="character" w:styleId="ListLabel1181" w:customStyle="1">
    <w:name w:val="ListLabel 1181"/>
    <w:qFormat/>
    <w:rPr>
      <w:rFonts w:cs="Wingdings"/>
    </w:rPr>
  </w:style>
  <w:style w:type="character" w:styleId="ListLabel1182" w:customStyle="1">
    <w:name w:val="ListLabel 1182"/>
    <w:qFormat/>
    <w:rPr>
      <w:rFonts w:cs="Symbol"/>
    </w:rPr>
  </w:style>
  <w:style w:type="character" w:styleId="ListLabel1183" w:customStyle="1">
    <w:name w:val="ListLabel 1183"/>
    <w:qFormat/>
    <w:rPr>
      <w:rFonts w:cs="Courier New"/>
    </w:rPr>
  </w:style>
  <w:style w:type="character" w:styleId="ListLabel1184" w:customStyle="1">
    <w:name w:val="ListLabel 1184"/>
    <w:qFormat/>
    <w:rPr>
      <w:rFonts w:cs="Wingdings"/>
    </w:rPr>
  </w:style>
  <w:style w:type="character" w:styleId="ListLabel1185" w:customStyle="1">
    <w:name w:val="ListLabel 1185"/>
    <w:qFormat/>
    <w:rPr>
      <w:color w:val="FFFFFF"/>
    </w:rPr>
  </w:style>
  <w:style w:type="character" w:styleId="ListLabel1186" w:customStyle="1">
    <w:name w:val="ListLabel 1186"/>
    <w:qFormat/>
    <w:rPr>
      <w:rFonts w:cs="Symbol"/>
    </w:rPr>
  </w:style>
  <w:style w:type="character" w:styleId="ListLabel1187" w:customStyle="1">
    <w:name w:val="ListLabel 1187"/>
    <w:qFormat/>
    <w:rPr>
      <w:rFonts w:cs="Courier New"/>
    </w:rPr>
  </w:style>
  <w:style w:type="character" w:styleId="ListLabel1188" w:customStyle="1">
    <w:name w:val="ListLabel 1188"/>
    <w:qFormat/>
    <w:rPr>
      <w:rFonts w:cs="Wingdings"/>
    </w:rPr>
  </w:style>
  <w:style w:type="character" w:styleId="ListLabel1189" w:customStyle="1">
    <w:name w:val="ListLabel 1189"/>
    <w:qFormat/>
    <w:rPr>
      <w:rFonts w:cs="Symbol"/>
    </w:rPr>
  </w:style>
  <w:style w:type="character" w:styleId="ListLabel1190" w:customStyle="1">
    <w:name w:val="ListLabel 1190"/>
    <w:qFormat/>
    <w:rPr>
      <w:rFonts w:cs="Courier New"/>
    </w:rPr>
  </w:style>
  <w:style w:type="character" w:styleId="ListLabel1191" w:customStyle="1">
    <w:name w:val="ListLabel 1191"/>
    <w:qFormat/>
    <w:rPr>
      <w:rFonts w:cs="Wingdings"/>
    </w:rPr>
  </w:style>
  <w:style w:type="character" w:styleId="ListLabel1192" w:customStyle="1">
    <w:name w:val="ListLabel 1192"/>
    <w:qFormat/>
    <w:rPr>
      <w:rFonts w:cs="Symbol"/>
    </w:rPr>
  </w:style>
  <w:style w:type="character" w:styleId="ListLabel1193" w:customStyle="1">
    <w:name w:val="ListLabel 1193"/>
    <w:qFormat/>
    <w:rPr>
      <w:rFonts w:cs="Courier New"/>
    </w:rPr>
  </w:style>
  <w:style w:type="character" w:styleId="ListLabel1194" w:customStyle="1">
    <w:name w:val="ListLabel 1194"/>
    <w:qFormat/>
    <w:rPr>
      <w:rFonts w:cs="Wingdings"/>
    </w:rPr>
  </w:style>
  <w:style w:type="character" w:styleId="ListLabel1195" w:customStyle="1">
    <w:name w:val="ListLabel 1195"/>
    <w:qFormat/>
    <w:rPr>
      <w:rFonts w:cs="Symbol"/>
    </w:rPr>
  </w:style>
  <w:style w:type="character" w:styleId="ListLabel1196" w:customStyle="1">
    <w:name w:val="ListLabel 1196"/>
    <w:qFormat/>
    <w:rPr>
      <w:rFonts w:cs="Courier New"/>
    </w:rPr>
  </w:style>
  <w:style w:type="character" w:styleId="ListLabel1197" w:customStyle="1">
    <w:name w:val="ListLabel 1197"/>
    <w:qFormat/>
    <w:rPr>
      <w:rFonts w:cs="Wingdings"/>
    </w:rPr>
  </w:style>
  <w:style w:type="character" w:styleId="ListLabel1198" w:customStyle="1">
    <w:name w:val="ListLabel 1198"/>
    <w:qFormat/>
    <w:rPr>
      <w:rFonts w:cs="Symbol"/>
    </w:rPr>
  </w:style>
  <w:style w:type="character" w:styleId="ListLabel1199" w:customStyle="1">
    <w:name w:val="ListLabel 1199"/>
    <w:qFormat/>
    <w:rPr>
      <w:rFonts w:cs="Courier New"/>
    </w:rPr>
  </w:style>
  <w:style w:type="character" w:styleId="ListLabel1200" w:customStyle="1">
    <w:name w:val="ListLabel 1200"/>
    <w:qFormat/>
    <w:rPr>
      <w:rFonts w:cs="Wingdings"/>
    </w:rPr>
  </w:style>
  <w:style w:type="character" w:styleId="ListLabel1201" w:customStyle="1">
    <w:name w:val="ListLabel 1201"/>
    <w:qFormat/>
    <w:rPr>
      <w:rFonts w:cs="Symbol"/>
    </w:rPr>
  </w:style>
  <w:style w:type="character" w:styleId="ListLabel1202" w:customStyle="1">
    <w:name w:val="ListLabel 1202"/>
    <w:qFormat/>
    <w:rPr>
      <w:rFonts w:cs="Courier New"/>
    </w:rPr>
  </w:style>
  <w:style w:type="character" w:styleId="ListLabel1203" w:customStyle="1">
    <w:name w:val="ListLabel 1203"/>
    <w:qFormat/>
    <w:rPr>
      <w:rFonts w:cs="Wingdings"/>
    </w:rPr>
  </w:style>
  <w:style w:type="character" w:styleId="ListLabel1204" w:customStyle="1">
    <w:name w:val="ListLabel 1204"/>
    <w:qFormat/>
    <w:rPr>
      <w:rFonts w:cs="Symbol"/>
      <w:sz w:val="21"/>
    </w:rPr>
  </w:style>
  <w:style w:type="character" w:styleId="ListLabel1205" w:customStyle="1">
    <w:name w:val="ListLabel 1205"/>
    <w:qFormat/>
    <w:rPr>
      <w:rFonts w:cs="Courier New"/>
    </w:rPr>
  </w:style>
  <w:style w:type="character" w:styleId="ListLabel1206" w:customStyle="1">
    <w:name w:val="ListLabel 1206"/>
    <w:qFormat/>
    <w:rPr>
      <w:rFonts w:cs="Wingdings"/>
    </w:rPr>
  </w:style>
  <w:style w:type="character" w:styleId="ListLabel1207" w:customStyle="1">
    <w:name w:val="ListLabel 1207"/>
    <w:qFormat/>
    <w:rPr>
      <w:rFonts w:cs="Symbol"/>
    </w:rPr>
  </w:style>
  <w:style w:type="character" w:styleId="ListLabel1208" w:customStyle="1">
    <w:name w:val="ListLabel 1208"/>
    <w:qFormat/>
    <w:rPr>
      <w:rFonts w:cs="Courier New"/>
    </w:rPr>
  </w:style>
  <w:style w:type="character" w:styleId="ListLabel1209" w:customStyle="1">
    <w:name w:val="ListLabel 1209"/>
    <w:qFormat/>
    <w:rPr>
      <w:rFonts w:cs="Wingdings"/>
    </w:rPr>
  </w:style>
  <w:style w:type="character" w:styleId="ListLabel1210" w:customStyle="1">
    <w:name w:val="ListLabel 1210"/>
    <w:qFormat/>
    <w:rPr>
      <w:rFonts w:cs="Symbol"/>
    </w:rPr>
  </w:style>
  <w:style w:type="character" w:styleId="ListLabel1211" w:customStyle="1">
    <w:name w:val="ListLabel 1211"/>
    <w:qFormat/>
    <w:rPr>
      <w:rFonts w:cs="Courier New"/>
    </w:rPr>
  </w:style>
  <w:style w:type="character" w:styleId="ListLabel1212" w:customStyle="1">
    <w:name w:val="ListLabel 1212"/>
    <w:qFormat/>
    <w:rPr>
      <w:rFonts w:cs="Wingdings"/>
    </w:rPr>
  </w:style>
  <w:style w:type="character" w:styleId="ListLabel1213" w:customStyle="1">
    <w:name w:val="ListLabel 1213"/>
    <w:qFormat/>
    <w:rPr>
      <w:rFonts w:cs="Courier New"/>
    </w:rPr>
  </w:style>
  <w:style w:type="character" w:styleId="ListLabel1214" w:customStyle="1">
    <w:name w:val="ListLabel 1214"/>
    <w:qFormat/>
    <w:rPr>
      <w:rFonts w:cs="Courier New"/>
    </w:rPr>
  </w:style>
  <w:style w:type="character" w:styleId="ListLabel1215" w:customStyle="1">
    <w:name w:val="ListLabel 1215"/>
    <w:qFormat/>
    <w:rPr>
      <w:rFonts w:cs="Wingdings"/>
    </w:rPr>
  </w:style>
  <w:style w:type="character" w:styleId="ListLabel1216" w:customStyle="1">
    <w:name w:val="ListLabel 1216"/>
    <w:qFormat/>
    <w:rPr>
      <w:rFonts w:cs="Symbol"/>
    </w:rPr>
  </w:style>
  <w:style w:type="character" w:styleId="ListLabel1217" w:customStyle="1">
    <w:name w:val="ListLabel 1217"/>
    <w:qFormat/>
    <w:rPr>
      <w:rFonts w:cs="Courier New"/>
    </w:rPr>
  </w:style>
  <w:style w:type="character" w:styleId="ListLabel1218" w:customStyle="1">
    <w:name w:val="ListLabel 1218"/>
    <w:qFormat/>
    <w:rPr>
      <w:rFonts w:cs="Wingdings"/>
    </w:rPr>
  </w:style>
  <w:style w:type="character" w:styleId="ListLabel1219" w:customStyle="1">
    <w:name w:val="ListLabel 1219"/>
    <w:qFormat/>
    <w:rPr>
      <w:rFonts w:cs="Symbol"/>
    </w:rPr>
  </w:style>
  <w:style w:type="character" w:styleId="ListLabel1220" w:customStyle="1">
    <w:name w:val="ListLabel 1220"/>
    <w:qFormat/>
    <w:rPr>
      <w:rFonts w:cs="Courier New"/>
    </w:rPr>
  </w:style>
  <w:style w:type="character" w:styleId="ListLabel1221" w:customStyle="1">
    <w:name w:val="ListLabel 1221"/>
    <w:qFormat/>
    <w:rPr>
      <w:rFonts w:cs="Wingdings"/>
    </w:rPr>
  </w:style>
  <w:style w:type="character" w:styleId="ListLabel1222" w:customStyle="1">
    <w:name w:val="ListLabel 1222"/>
    <w:qFormat/>
    <w:rPr>
      <w:rFonts w:cs="Symbol"/>
    </w:rPr>
  </w:style>
  <w:style w:type="character" w:styleId="ListLabel1223" w:customStyle="1">
    <w:name w:val="ListLabel 1223"/>
    <w:qFormat/>
    <w:rPr>
      <w:rFonts w:cs="Courier New"/>
    </w:rPr>
  </w:style>
  <w:style w:type="character" w:styleId="ListLabel1224" w:customStyle="1">
    <w:name w:val="ListLabel 1224"/>
    <w:qFormat/>
    <w:rPr>
      <w:rFonts w:cs="Wingdings"/>
    </w:rPr>
  </w:style>
  <w:style w:type="character" w:styleId="ListLabel1225" w:customStyle="1">
    <w:name w:val="ListLabel 1225"/>
    <w:qFormat/>
    <w:rPr>
      <w:rFonts w:cs="Symbol"/>
    </w:rPr>
  </w:style>
  <w:style w:type="character" w:styleId="ListLabel1226" w:customStyle="1">
    <w:name w:val="ListLabel 1226"/>
    <w:qFormat/>
    <w:rPr>
      <w:rFonts w:cs="Courier New"/>
    </w:rPr>
  </w:style>
  <w:style w:type="character" w:styleId="ListLabel1227" w:customStyle="1">
    <w:name w:val="ListLabel 1227"/>
    <w:qFormat/>
    <w:rPr>
      <w:rFonts w:cs="Wingdings"/>
    </w:rPr>
  </w:style>
  <w:style w:type="character" w:styleId="ListLabel1228" w:customStyle="1">
    <w:name w:val="ListLabel 1228"/>
    <w:qFormat/>
    <w:rPr>
      <w:rFonts w:cs="Symbol"/>
    </w:rPr>
  </w:style>
  <w:style w:type="character" w:styleId="ListLabel1229" w:customStyle="1">
    <w:name w:val="ListLabel 1229"/>
    <w:qFormat/>
    <w:rPr>
      <w:rFonts w:cs="Courier New"/>
    </w:rPr>
  </w:style>
  <w:style w:type="character" w:styleId="ListLabel1230" w:customStyle="1">
    <w:name w:val="ListLabel 1230"/>
    <w:qFormat/>
    <w:rPr>
      <w:rFonts w:cs="Wingdings"/>
    </w:rPr>
  </w:style>
  <w:style w:type="character" w:styleId="ListLabel1231" w:customStyle="1">
    <w:name w:val="ListLabel 1231"/>
    <w:qFormat/>
    <w:rPr>
      <w:rFonts w:cs="Symbol"/>
    </w:rPr>
  </w:style>
  <w:style w:type="character" w:styleId="ListLabel1232" w:customStyle="1">
    <w:name w:val="ListLabel 1232"/>
    <w:qFormat/>
    <w:rPr>
      <w:rFonts w:cs="Courier New"/>
    </w:rPr>
  </w:style>
  <w:style w:type="character" w:styleId="ListLabel1233" w:customStyle="1">
    <w:name w:val="ListLabel 1233"/>
    <w:qFormat/>
    <w:rPr>
      <w:rFonts w:cs="Wingdings"/>
    </w:rPr>
  </w:style>
  <w:style w:type="character" w:styleId="ListLabel1234" w:customStyle="1">
    <w:name w:val="ListLabel 1234"/>
    <w:qFormat/>
    <w:rPr>
      <w:rFonts w:cs="Symbol"/>
    </w:rPr>
  </w:style>
  <w:style w:type="character" w:styleId="ListLabel1235" w:customStyle="1">
    <w:name w:val="ListLabel 1235"/>
    <w:qFormat/>
    <w:rPr>
      <w:rFonts w:cs="Courier New"/>
    </w:rPr>
  </w:style>
  <w:style w:type="character" w:styleId="ListLabel1236" w:customStyle="1">
    <w:name w:val="ListLabel 1236"/>
    <w:qFormat/>
    <w:rPr>
      <w:rFonts w:cs="Wingdings"/>
    </w:rPr>
  </w:style>
  <w:style w:type="character" w:styleId="ListLabel1237" w:customStyle="1">
    <w:name w:val="ListLabel 1237"/>
    <w:qFormat/>
    <w:rPr>
      <w:rFonts w:cs="Symbol"/>
    </w:rPr>
  </w:style>
  <w:style w:type="character" w:styleId="ListLabel1238" w:customStyle="1">
    <w:name w:val="ListLabel 1238"/>
    <w:qFormat/>
    <w:rPr>
      <w:rFonts w:cs="Courier New"/>
    </w:rPr>
  </w:style>
  <w:style w:type="character" w:styleId="ListLabel1239" w:customStyle="1">
    <w:name w:val="ListLabel 1239"/>
    <w:qFormat/>
    <w:rPr>
      <w:rFonts w:cs="Wingdings"/>
    </w:rPr>
  </w:style>
  <w:style w:type="character" w:styleId="ListLabel1240" w:customStyle="1">
    <w:name w:val="ListLabel 1240"/>
    <w:qFormat/>
    <w:rPr>
      <w:rFonts w:cs="Symbol"/>
    </w:rPr>
  </w:style>
  <w:style w:type="character" w:styleId="ListLabel1241" w:customStyle="1">
    <w:name w:val="ListLabel 1241"/>
    <w:qFormat/>
    <w:rPr>
      <w:rFonts w:cs="Courier New"/>
    </w:rPr>
  </w:style>
  <w:style w:type="character" w:styleId="ListLabel1242" w:customStyle="1">
    <w:name w:val="ListLabel 1242"/>
    <w:qFormat/>
    <w:rPr>
      <w:rFonts w:cs="Wingdings"/>
    </w:rPr>
  </w:style>
  <w:style w:type="character" w:styleId="ListLabel1243" w:customStyle="1">
    <w:name w:val="ListLabel 1243"/>
    <w:qFormat/>
    <w:rPr>
      <w:rFonts w:cs="Symbol"/>
    </w:rPr>
  </w:style>
  <w:style w:type="character" w:styleId="ListLabel1244" w:customStyle="1">
    <w:name w:val="ListLabel 1244"/>
    <w:qFormat/>
    <w:rPr>
      <w:rFonts w:cs="Courier New"/>
    </w:rPr>
  </w:style>
  <w:style w:type="character" w:styleId="ListLabel1245" w:customStyle="1">
    <w:name w:val="ListLabel 1245"/>
    <w:qFormat/>
    <w:rPr>
      <w:rFonts w:cs="Wingdings"/>
    </w:rPr>
  </w:style>
  <w:style w:type="character" w:styleId="ListLabel1246" w:customStyle="1">
    <w:name w:val="ListLabel 1246"/>
    <w:qFormat/>
    <w:rPr>
      <w:rFonts w:cs="Symbol"/>
    </w:rPr>
  </w:style>
  <w:style w:type="character" w:styleId="ListLabel1247" w:customStyle="1">
    <w:name w:val="ListLabel 1247"/>
    <w:qFormat/>
    <w:rPr>
      <w:rFonts w:cs="Courier New"/>
    </w:rPr>
  </w:style>
  <w:style w:type="character" w:styleId="ListLabel1248" w:customStyle="1">
    <w:name w:val="ListLabel 1248"/>
    <w:qFormat/>
    <w:rPr>
      <w:rFonts w:cs="Wingdings"/>
    </w:rPr>
  </w:style>
  <w:style w:type="character" w:styleId="ListLabel1249">
    <w:name w:val="ListLabel 1249"/>
    <w:qFormat/>
    <w:rPr>
      <w:b/>
      <w:color w:val="FFFFFF"/>
    </w:rPr>
  </w:style>
  <w:style w:type="character" w:styleId="ListLabel1250">
    <w:name w:val="ListLabel 1250"/>
    <w:qFormat/>
    <w:rPr>
      <w:rFonts w:cs="OpenSymbol"/>
      <w:color w:val="000000"/>
      <w:sz w:val="22"/>
      <w:szCs w:val="22"/>
      <w:highlight w:val="white"/>
      <w:lang w:val="es-ES" w:eastAsia="zh-CN" w:bidi="ar-SA"/>
    </w:rPr>
  </w:style>
  <w:style w:type="character" w:styleId="ListLabel1251">
    <w:name w:val="ListLabel 1251"/>
    <w:qFormat/>
    <w:rPr>
      <w:rFonts w:ascii="Courier New" w:hAnsi="Courier New" w:cs="Arial"/>
      <w:b w:val="false"/>
      <w:i w:val="false"/>
      <w:iCs/>
      <w:sz w:val="22"/>
      <w:szCs w:val="32"/>
    </w:rPr>
  </w:style>
  <w:style w:type="character" w:styleId="ListLabel1252">
    <w:name w:val="ListLabel 1252"/>
    <w:qFormat/>
    <w:rPr>
      <w:rFonts w:cs="Symbol"/>
    </w:rPr>
  </w:style>
  <w:style w:type="character" w:styleId="ListLabel1253">
    <w:name w:val="ListLabel 1253"/>
    <w:qFormat/>
    <w:rPr>
      <w:rFonts w:cs="Courier New"/>
    </w:rPr>
  </w:style>
  <w:style w:type="character" w:styleId="ListLabel1254">
    <w:name w:val="ListLabel 1254"/>
    <w:qFormat/>
    <w:rPr>
      <w:rFonts w:cs="Wingdings"/>
    </w:rPr>
  </w:style>
  <w:style w:type="character" w:styleId="ListLabel1255">
    <w:name w:val="ListLabel 1255"/>
    <w:qFormat/>
    <w:rPr>
      <w:rFonts w:cs="Symbol"/>
    </w:rPr>
  </w:style>
  <w:style w:type="character" w:styleId="ListLabel1256">
    <w:name w:val="ListLabel 1256"/>
    <w:qFormat/>
    <w:rPr>
      <w:rFonts w:cs="Courier New"/>
    </w:rPr>
  </w:style>
  <w:style w:type="character" w:styleId="ListLabel1257">
    <w:name w:val="ListLabel 1257"/>
    <w:qFormat/>
    <w:rPr>
      <w:rFonts w:cs="Wingdings"/>
    </w:rPr>
  </w:style>
  <w:style w:type="character" w:styleId="ListLabel1258">
    <w:name w:val="ListLabel 1258"/>
    <w:qFormat/>
    <w:rPr>
      <w:rFonts w:cs="Symbol"/>
    </w:rPr>
  </w:style>
  <w:style w:type="character" w:styleId="ListLabel1259">
    <w:name w:val="ListLabel 1259"/>
    <w:qFormat/>
    <w:rPr>
      <w:rFonts w:cs="Courier New"/>
    </w:rPr>
  </w:style>
  <w:style w:type="character" w:styleId="ListLabel1260">
    <w:name w:val="ListLabel 1260"/>
    <w:qFormat/>
    <w:rPr>
      <w:rFonts w:cs="Wingdings"/>
    </w:rPr>
  </w:style>
  <w:style w:type="character" w:styleId="ListLabel1261">
    <w:name w:val="ListLabel 1261"/>
    <w:qFormat/>
    <w:rPr>
      <w:i w:val="false"/>
    </w:rPr>
  </w:style>
  <w:style w:type="character" w:styleId="ListLabel1262">
    <w:name w:val="ListLabel 1262"/>
    <w:qFormat/>
    <w:rPr>
      <w:i w:val="false"/>
    </w:rPr>
  </w:style>
  <w:style w:type="character" w:styleId="ListLabel1263">
    <w:name w:val="ListLabel 1263"/>
    <w:qFormat/>
    <w:rPr>
      <w:rFonts w:cs="OpenSymbol"/>
      <w:color w:val="000000"/>
      <w:sz w:val="22"/>
      <w:szCs w:val="22"/>
      <w:highlight w:val="white"/>
      <w:lang w:val="es-ES" w:eastAsia="zh-CN" w:bidi="ar-SA"/>
    </w:rPr>
  </w:style>
  <w:style w:type="character" w:styleId="ListLabel1264">
    <w:name w:val="ListLabel 1264"/>
    <w:qFormat/>
    <w:rPr>
      <w:rFonts w:eastAsia="Arial" w:cs="Arial"/>
      <w:i w:val="false"/>
      <w:iCs/>
      <w:sz w:val="32"/>
      <w:szCs w:val="32"/>
    </w:rPr>
  </w:style>
  <w:style w:type="character" w:styleId="ListLabel1265">
    <w:name w:val="ListLabel 1265"/>
    <w:qFormat/>
    <w:rPr>
      <w:rFonts w:cs="Symbol"/>
    </w:rPr>
  </w:style>
  <w:style w:type="character" w:styleId="ListLabel1266">
    <w:name w:val="ListLabel 1266"/>
    <w:qFormat/>
    <w:rPr>
      <w:rFonts w:cs="Courier New"/>
    </w:rPr>
  </w:style>
  <w:style w:type="character" w:styleId="ListLabel1267">
    <w:name w:val="ListLabel 1267"/>
    <w:qFormat/>
    <w:rPr>
      <w:rFonts w:cs="Wingdings"/>
    </w:rPr>
  </w:style>
  <w:style w:type="character" w:styleId="ListLabel1268">
    <w:name w:val="ListLabel 1268"/>
    <w:qFormat/>
    <w:rPr>
      <w:rFonts w:cs="Symbol"/>
    </w:rPr>
  </w:style>
  <w:style w:type="character" w:styleId="ListLabel1269">
    <w:name w:val="ListLabel 1269"/>
    <w:qFormat/>
    <w:rPr>
      <w:rFonts w:cs="Courier New"/>
    </w:rPr>
  </w:style>
  <w:style w:type="character" w:styleId="ListLabel1270">
    <w:name w:val="ListLabel 1270"/>
    <w:qFormat/>
    <w:rPr>
      <w:rFonts w:cs="Wingdings"/>
    </w:rPr>
  </w:style>
  <w:style w:type="character" w:styleId="ListLabel1271">
    <w:name w:val="ListLabel 1271"/>
    <w:qFormat/>
    <w:rPr>
      <w:rFonts w:cs="Symbol"/>
    </w:rPr>
  </w:style>
  <w:style w:type="character" w:styleId="ListLabel1272">
    <w:name w:val="ListLabel 1272"/>
    <w:qFormat/>
    <w:rPr>
      <w:rFonts w:cs="Courier New"/>
    </w:rPr>
  </w:style>
  <w:style w:type="character" w:styleId="ListLabel1273">
    <w:name w:val="ListLabel 1273"/>
    <w:qFormat/>
    <w:rPr>
      <w:rFonts w:cs="Wingdings"/>
    </w:rPr>
  </w:style>
  <w:style w:type="character" w:styleId="ListLabel1274">
    <w:name w:val="ListLabel 1274"/>
    <w:qFormat/>
    <w:rPr>
      <w:rFonts w:cs="Symbol"/>
    </w:rPr>
  </w:style>
  <w:style w:type="character" w:styleId="ListLabel1275">
    <w:name w:val="ListLabel 1275"/>
    <w:qFormat/>
    <w:rPr>
      <w:rFonts w:cs="Courier New"/>
    </w:rPr>
  </w:style>
  <w:style w:type="character" w:styleId="ListLabel1276">
    <w:name w:val="ListLabel 1276"/>
    <w:qFormat/>
    <w:rPr>
      <w:rFonts w:cs="Wingdings"/>
    </w:rPr>
  </w:style>
  <w:style w:type="character" w:styleId="ListLabel1277">
    <w:name w:val="ListLabel 1277"/>
    <w:qFormat/>
    <w:rPr>
      <w:rFonts w:cs="Symbol"/>
    </w:rPr>
  </w:style>
  <w:style w:type="character" w:styleId="ListLabel1278">
    <w:name w:val="ListLabel 1278"/>
    <w:qFormat/>
    <w:rPr>
      <w:rFonts w:cs="Courier New"/>
    </w:rPr>
  </w:style>
  <w:style w:type="character" w:styleId="ListLabel1279">
    <w:name w:val="ListLabel 1279"/>
    <w:qFormat/>
    <w:rPr>
      <w:rFonts w:cs="Wingdings"/>
    </w:rPr>
  </w:style>
  <w:style w:type="character" w:styleId="ListLabel1280">
    <w:name w:val="ListLabel 1280"/>
    <w:qFormat/>
    <w:rPr>
      <w:rFonts w:cs="Symbol"/>
    </w:rPr>
  </w:style>
  <w:style w:type="character" w:styleId="ListLabel1281">
    <w:name w:val="ListLabel 1281"/>
    <w:qFormat/>
    <w:rPr>
      <w:rFonts w:cs="Courier New"/>
    </w:rPr>
  </w:style>
  <w:style w:type="character" w:styleId="ListLabel1282">
    <w:name w:val="ListLabel 1282"/>
    <w:qFormat/>
    <w:rPr>
      <w:rFonts w:cs="Wingdings"/>
    </w:rPr>
  </w:style>
  <w:style w:type="character" w:styleId="ListLabel1283">
    <w:name w:val="ListLabel 1283"/>
    <w:qFormat/>
    <w:rPr>
      <w:rFonts w:ascii="Arial" w:hAnsi="Arial" w:cs="Symbol"/>
      <w:sz w:val="22"/>
    </w:rPr>
  </w:style>
  <w:style w:type="character" w:styleId="ListLabel1284">
    <w:name w:val="ListLabel 1284"/>
    <w:qFormat/>
    <w:rPr>
      <w:rFonts w:cs="Courier New"/>
    </w:rPr>
  </w:style>
  <w:style w:type="character" w:styleId="ListLabel1285">
    <w:name w:val="ListLabel 1285"/>
    <w:qFormat/>
    <w:rPr>
      <w:rFonts w:cs="Wingdings"/>
    </w:rPr>
  </w:style>
  <w:style w:type="character" w:styleId="ListLabel1286">
    <w:name w:val="ListLabel 1286"/>
    <w:qFormat/>
    <w:rPr>
      <w:rFonts w:cs="Symbol"/>
    </w:rPr>
  </w:style>
  <w:style w:type="character" w:styleId="ListLabel1287">
    <w:name w:val="ListLabel 1287"/>
    <w:qFormat/>
    <w:rPr>
      <w:rFonts w:cs="Courier New"/>
    </w:rPr>
  </w:style>
  <w:style w:type="character" w:styleId="ListLabel1288">
    <w:name w:val="ListLabel 1288"/>
    <w:qFormat/>
    <w:rPr>
      <w:rFonts w:cs="Wingdings"/>
    </w:rPr>
  </w:style>
  <w:style w:type="character" w:styleId="ListLabel1289">
    <w:name w:val="ListLabel 1289"/>
    <w:qFormat/>
    <w:rPr>
      <w:rFonts w:cs="Symbol"/>
    </w:rPr>
  </w:style>
  <w:style w:type="character" w:styleId="ListLabel1290">
    <w:name w:val="ListLabel 1290"/>
    <w:qFormat/>
    <w:rPr>
      <w:rFonts w:cs="Courier New"/>
    </w:rPr>
  </w:style>
  <w:style w:type="character" w:styleId="ListLabel1291">
    <w:name w:val="ListLabel 1291"/>
    <w:qFormat/>
    <w:rPr>
      <w:rFonts w:cs="Wingdings"/>
    </w:rPr>
  </w:style>
  <w:style w:type="character" w:styleId="ListLabel1292">
    <w:name w:val="ListLabel 1292"/>
    <w:qFormat/>
    <w:rPr>
      <w:rFonts w:cs="Symbol"/>
    </w:rPr>
  </w:style>
  <w:style w:type="character" w:styleId="ListLabel1293">
    <w:name w:val="ListLabel 1293"/>
    <w:qFormat/>
    <w:rPr>
      <w:rFonts w:cs="Courier New"/>
    </w:rPr>
  </w:style>
  <w:style w:type="character" w:styleId="ListLabel1294">
    <w:name w:val="ListLabel 1294"/>
    <w:qFormat/>
    <w:rPr>
      <w:rFonts w:cs="Wingdings"/>
    </w:rPr>
  </w:style>
  <w:style w:type="character" w:styleId="ListLabel1295">
    <w:name w:val="ListLabel 1295"/>
    <w:qFormat/>
    <w:rPr>
      <w:rFonts w:cs="Symbol"/>
    </w:rPr>
  </w:style>
  <w:style w:type="character" w:styleId="ListLabel1296">
    <w:name w:val="ListLabel 1296"/>
    <w:qFormat/>
    <w:rPr>
      <w:rFonts w:cs="Courier New"/>
    </w:rPr>
  </w:style>
  <w:style w:type="character" w:styleId="ListLabel1297">
    <w:name w:val="ListLabel 1297"/>
    <w:qFormat/>
    <w:rPr>
      <w:rFonts w:cs="Wingdings"/>
    </w:rPr>
  </w:style>
  <w:style w:type="character" w:styleId="ListLabel1298">
    <w:name w:val="ListLabel 1298"/>
    <w:qFormat/>
    <w:rPr>
      <w:rFonts w:cs="Symbol"/>
    </w:rPr>
  </w:style>
  <w:style w:type="character" w:styleId="ListLabel1299">
    <w:name w:val="ListLabel 1299"/>
    <w:qFormat/>
    <w:rPr>
      <w:rFonts w:cs="Courier New"/>
    </w:rPr>
  </w:style>
  <w:style w:type="character" w:styleId="ListLabel1300">
    <w:name w:val="ListLabel 1300"/>
    <w:qFormat/>
    <w:rPr>
      <w:rFonts w:cs="Wingdings"/>
    </w:rPr>
  </w:style>
  <w:style w:type="character" w:styleId="ListLabel1301">
    <w:name w:val="ListLabel 1301"/>
    <w:qFormat/>
    <w:rPr>
      <w:rFonts w:cs="Symbol"/>
    </w:rPr>
  </w:style>
  <w:style w:type="character" w:styleId="ListLabel1302">
    <w:name w:val="ListLabel 1302"/>
    <w:qFormat/>
    <w:rPr>
      <w:rFonts w:cs="Courier New"/>
    </w:rPr>
  </w:style>
  <w:style w:type="character" w:styleId="ListLabel1303">
    <w:name w:val="ListLabel 1303"/>
    <w:qFormat/>
    <w:rPr>
      <w:rFonts w:cs="Wingdings"/>
    </w:rPr>
  </w:style>
  <w:style w:type="character" w:styleId="ListLabel1304">
    <w:name w:val="ListLabel 1304"/>
    <w:qFormat/>
    <w:rPr>
      <w:rFonts w:cs="Symbol"/>
    </w:rPr>
  </w:style>
  <w:style w:type="character" w:styleId="ListLabel1305">
    <w:name w:val="ListLabel 1305"/>
    <w:qFormat/>
    <w:rPr>
      <w:rFonts w:cs="Courier New"/>
    </w:rPr>
  </w:style>
  <w:style w:type="character" w:styleId="ListLabel1306">
    <w:name w:val="ListLabel 1306"/>
    <w:qFormat/>
    <w:rPr>
      <w:rFonts w:cs="Wingdings"/>
    </w:rPr>
  </w:style>
  <w:style w:type="character" w:styleId="ListLabel1307">
    <w:name w:val="ListLabel 1307"/>
    <w:qFormat/>
    <w:rPr>
      <w:rFonts w:cs="Symbol"/>
    </w:rPr>
  </w:style>
  <w:style w:type="character" w:styleId="ListLabel1308">
    <w:name w:val="ListLabel 1308"/>
    <w:qFormat/>
    <w:rPr>
      <w:rFonts w:cs="Courier New"/>
    </w:rPr>
  </w:style>
  <w:style w:type="character" w:styleId="ListLabel1309">
    <w:name w:val="ListLabel 1309"/>
    <w:qFormat/>
    <w:rPr>
      <w:rFonts w:cs="Wingdings"/>
    </w:rPr>
  </w:style>
  <w:style w:type="character" w:styleId="ListLabel1310">
    <w:name w:val="ListLabel 1310"/>
    <w:qFormat/>
    <w:rPr>
      <w:sz w:val="22"/>
    </w:rPr>
  </w:style>
  <w:style w:type="character" w:styleId="ListLabel1311">
    <w:name w:val="ListLabel 1311"/>
    <w:qFormat/>
    <w:rPr>
      <w:rFonts w:cs="Symbol"/>
    </w:rPr>
  </w:style>
  <w:style w:type="character" w:styleId="ListLabel1312">
    <w:name w:val="ListLabel 1312"/>
    <w:qFormat/>
    <w:rPr>
      <w:rFonts w:cs="Courier New"/>
    </w:rPr>
  </w:style>
  <w:style w:type="character" w:styleId="ListLabel1313">
    <w:name w:val="ListLabel 1313"/>
    <w:qFormat/>
    <w:rPr>
      <w:rFonts w:cs="Wingdings"/>
    </w:rPr>
  </w:style>
  <w:style w:type="character" w:styleId="ListLabel1314">
    <w:name w:val="ListLabel 1314"/>
    <w:qFormat/>
    <w:rPr>
      <w:rFonts w:cs="Symbol"/>
    </w:rPr>
  </w:style>
  <w:style w:type="character" w:styleId="ListLabel1315">
    <w:name w:val="ListLabel 1315"/>
    <w:qFormat/>
    <w:rPr>
      <w:rFonts w:cs="Courier New"/>
    </w:rPr>
  </w:style>
  <w:style w:type="character" w:styleId="ListLabel1316">
    <w:name w:val="ListLabel 1316"/>
    <w:qFormat/>
    <w:rPr>
      <w:rFonts w:cs="Wingdings"/>
    </w:rPr>
  </w:style>
  <w:style w:type="character" w:styleId="ListLabel1317">
    <w:name w:val="ListLabel 1317"/>
    <w:qFormat/>
    <w:rPr>
      <w:rFonts w:cs="Symbol"/>
    </w:rPr>
  </w:style>
  <w:style w:type="character" w:styleId="ListLabel1318">
    <w:name w:val="ListLabel 1318"/>
    <w:qFormat/>
    <w:rPr>
      <w:rFonts w:cs="Courier New"/>
    </w:rPr>
  </w:style>
  <w:style w:type="character" w:styleId="ListLabel1319">
    <w:name w:val="ListLabel 1319"/>
    <w:qFormat/>
    <w:rPr>
      <w:rFonts w:cs="Wingdings"/>
    </w:rPr>
  </w:style>
  <w:style w:type="character" w:styleId="ListLabel1320">
    <w:name w:val="ListLabel 1320"/>
    <w:qFormat/>
    <w:rPr>
      <w:rFonts w:cs="Symbol"/>
    </w:rPr>
  </w:style>
  <w:style w:type="character" w:styleId="ListLabel1321">
    <w:name w:val="ListLabel 1321"/>
    <w:qFormat/>
    <w:rPr>
      <w:rFonts w:cs="Courier New"/>
    </w:rPr>
  </w:style>
  <w:style w:type="character" w:styleId="ListLabel1322">
    <w:name w:val="ListLabel 1322"/>
    <w:qFormat/>
    <w:rPr>
      <w:rFonts w:cs="Wingdings"/>
    </w:rPr>
  </w:style>
  <w:style w:type="character" w:styleId="ListLabel1323">
    <w:name w:val="ListLabel 1323"/>
    <w:qFormat/>
    <w:rPr>
      <w:rFonts w:cs="Symbol"/>
    </w:rPr>
  </w:style>
  <w:style w:type="character" w:styleId="ListLabel1324">
    <w:name w:val="ListLabel 1324"/>
    <w:qFormat/>
    <w:rPr>
      <w:rFonts w:cs="Courier New"/>
    </w:rPr>
  </w:style>
  <w:style w:type="character" w:styleId="ListLabel1325">
    <w:name w:val="ListLabel 1325"/>
    <w:qFormat/>
    <w:rPr>
      <w:rFonts w:cs="Wingdings"/>
    </w:rPr>
  </w:style>
  <w:style w:type="character" w:styleId="ListLabel1326">
    <w:name w:val="ListLabel 1326"/>
    <w:qFormat/>
    <w:rPr>
      <w:rFonts w:cs="Symbol"/>
    </w:rPr>
  </w:style>
  <w:style w:type="character" w:styleId="ListLabel1327">
    <w:name w:val="ListLabel 1327"/>
    <w:qFormat/>
    <w:rPr>
      <w:rFonts w:cs="Courier New"/>
    </w:rPr>
  </w:style>
  <w:style w:type="character" w:styleId="ListLabel1328">
    <w:name w:val="ListLabel 1328"/>
    <w:qFormat/>
    <w:rPr>
      <w:rFonts w:cs="Wingdings"/>
    </w:rPr>
  </w:style>
  <w:style w:type="character" w:styleId="ListLabel1329">
    <w:name w:val="ListLabel 1329"/>
    <w:qFormat/>
    <w:rPr>
      <w:rFonts w:cs="Symbol"/>
    </w:rPr>
  </w:style>
  <w:style w:type="character" w:styleId="ListLabel1330">
    <w:name w:val="ListLabel 1330"/>
    <w:qFormat/>
    <w:rPr>
      <w:rFonts w:cs="Courier New"/>
    </w:rPr>
  </w:style>
  <w:style w:type="character" w:styleId="ListLabel1331">
    <w:name w:val="ListLabel 1331"/>
    <w:qFormat/>
    <w:rPr>
      <w:rFonts w:cs="Wingdings"/>
    </w:rPr>
  </w:style>
  <w:style w:type="character" w:styleId="ListLabel1332">
    <w:name w:val="ListLabel 1332"/>
    <w:qFormat/>
    <w:rPr>
      <w:rFonts w:cs="Symbol"/>
    </w:rPr>
  </w:style>
  <w:style w:type="character" w:styleId="ListLabel1333">
    <w:name w:val="ListLabel 1333"/>
    <w:qFormat/>
    <w:rPr>
      <w:rFonts w:cs="Courier New"/>
    </w:rPr>
  </w:style>
  <w:style w:type="character" w:styleId="ListLabel1334">
    <w:name w:val="ListLabel 1334"/>
    <w:qFormat/>
    <w:rPr>
      <w:rFonts w:cs="Wingdings"/>
    </w:rPr>
  </w:style>
  <w:style w:type="character" w:styleId="ListLabel1335">
    <w:name w:val="ListLabel 1335"/>
    <w:qFormat/>
    <w:rPr>
      <w:rFonts w:cs="Symbol"/>
    </w:rPr>
  </w:style>
  <w:style w:type="character" w:styleId="ListLabel1336">
    <w:name w:val="ListLabel 1336"/>
    <w:qFormat/>
    <w:rPr>
      <w:rFonts w:cs="Courier New"/>
    </w:rPr>
  </w:style>
  <w:style w:type="character" w:styleId="ListLabel1337">
    <w:name w:val="ListLabel 1337"/>
    <w:qFormat/>
    <w:rPr>
      <w:rFonts w:cs="Wingdings"/>
    </w:rPr>
  </w:style>
  <w:style w:type="character" w:styleId="ListLabel1338">
    <w:name w:val="ListLabel 1338"/>
    <w:qFormat/>
    <w:rPr>
      <w:rFonts w:cs="Symbol"/>
    </w:rPr>
  </w:style>
  <w:style w:type="character" w:styleId="ListLabel1339">
    <w:name w:val="ListLabel 1339"/>
    <w:qFormat/>
    <w:rPr>
      <w:rFonts w:cs="Symbol"/>
    </w:rPr>
  </w:style>
  <w:style w:type="character" w:styleId="ListLabel1340">
    <w:name w:val="ListLabel 1340"/>
    <w:qFormat/>
    <w:rPr>
      <w:rFonts w:cs="Wingdings"/>
    </w:rPr>
  </w:style>
  <w:style w:type="character" w:styleId="ListLabel1341">
    <w:name w:val="ListLabel 1341"/>
    <w:qFormat/>
    <w:rPr>
      <w:rFonts w:cs="Symbol"/>
    </w:rPr>
  </w:style>
  <w:style w:type="character" w:styleId="ListLabel1342">
    <w:name w:val="ListLabel 1342"/>
    <w:qFormat/>
    <w:rPr>
      <w:rFonts w:cs="Courier New"/>
    </w:rPr>
  </w:style>
  <w:style w:type="character" w:styleId="ListLabel1343">
    <w:name w:val="ListLabel 1343"/>
    <w:qFormat/>
    <w:rPr>
      <w:rFonts w:cs="Wingdings"/>
    </w:rPr>
  </w:style>
  <w:style w:type="character" w:styleId="ListLabel1344">
    <w:name w:val="ListLabel 1344"/>
    <w:qFormat/>
    <w:rPr>
      <w:rFonts w:cs="Symbol"/>
    </w:rPr>
  </w:style>
  <w:style w:type="character" w:styleId="ListLabel1345">
    <w:name w:val="ListLabel 1345"/>
    <w:qFormat/>
    <w:rPr>
      <w:rFonts w:cs="Courier New"/>
    </w:rPr>
  </w:style>
  <w:style w:type="character" w:styleId="ListLabel1346">
    <w:name w:val="ListLabel 1346"/>
    <w:qFormat/>
    <w:rPr>
      <w:rFonts w:cs="Wingdings"/>
    </w:rPr>
  </w:style>
  <w:style w:type="character" w:styleId="ListLabel1347">
    <w:name w:val="ListLabel 1347"/>
    <w:qFormat/>
    <w:rPr>
      <w:rFonts w:cs="Symbol"/>
    </w:rPr>
  </w:style>
  <w:style w:type="character" w:styleId="ListLabel1348">
    <w:name w:val="ListLabel 1348"/>
    <w:qFormat/>
    <w:rPr>
      <w:rFonts w:cs="Courier New"/>
    </w:rPr>
  </w:style>
  <w:style w:type="character" w:styleId="ListLabel1349">
    <w:name w:val="ListLabel 1349"/>
    <w:qFormat/>
    <w:rPr>
      <w:rFonts w:cs="Wingdings"/>
    </w:rPr>
  </w:style>
  <w:style w:type="character" w:styleId="ListLabel1350">
    <w:name w:val="ListLabel 1350"/>
    <w:qFormat/>
    <w:rPr>
      <w:rFonts w:cs="Symbol"/>
    </w:rPr>
  </w:style>
  <w:style w:type="character" w:styleId="ListLabel1351">
    <w:name w:val="ListLabel 1351"/>
    <w:qFormat/>
    <w:rPr>
      <w:rFonts w:cs="Courier New"/>
    </w:rPr>
  </w:style>
  <w:style w:type="character" w:styleId="ListLabel1352">
    <w:name w:val="ListLabel 1352"/>
    <w:qFormat/>
    <w:rPr>
      <w:rFonts w:cs="Wingdings"/>
    </w:rPr>
  </w:style>
  <w:style w:type="character" w:styleId="ListLabel1353">
    <w:name w:val="ListLabel 1353"/>
    <w:qFormat/>
    <w:rPr>
      <w:rFonts w:cs="Symbol"/>
    </w:rPr>
  </w:style>
  <w:style w:type="character" w:styleId="ListLabel1354">
    <w:name w:val="ListLabel 1354"/>
    <w:qFormat/>
    <w:rPr>
      <w:rFonts w:cs="Courier New"/>
    </w:rPr>
  </w:style>
  <w:style w:type="character" w:styleId="ListLabel1355">
    <w:name w:val="ListLabel 1355"/>
    <w:qFormat/>
    <w:rPr>
      <w:rFonts w:cs="Wingdings"/>
    </w:rPr>
  </w:style>
  <w:style w:type="character" w:styleId="ListLabel1356">
    <w:name w:val="ListLabel 1356"/>
    <w:qFormat/>
    <w:rPr>
      <w:sz w:val="22"/>
    </w:rPr>
  </w:style>
  <w:style w:type="character" w:styleId="ListLabel1357">
    <w:name w:val="ListLabel 1357"/>
    <w:qFormat/>
    <w:rPr>
      <w:rFonts w:cs="Symbol"/>
    </w:rPr>
  </w:style>
  <w:style w:type="character" w:styleId="ListLabel1358">
    <w:name w:val="ListLabel 1358"/>
    <w:qFormat/>
    <w:rPr>
      <w:rFonts w:cs="Courier New"/>
    </w:rPr>
  </w:style>
  <w:style w:type="character" w:styleId="ListLabel1359">
    <w:name w:val="ListLabel 1359"/>
    <w:qFormat/>
    <w:rPr>
      <w:rFonts w:cs="Wingdings"/>
    </w:rPr>
  </w:style>
  <w:style w:type="character" w:styleId="ListLabel1360">
    <w:name w:val="ListLabel 1360"/>
    <w:qFormat/>
    <w:rPr>
      <w:rFonts w:cs="Symbol"/>
    </w:rPr>
  </w:style>
  <w:style w:type="character" w:styleId="ListLabel1361">
    <w:name w:val="ListLabel 1361"/>
    <w:qFormat/>
    <w:rPr>
      <w:rFonts w:cs="Courier New"/>
    </w:rPr>
  </w:style>
  <w:style w:type="character" w:styleId="ListLabel1362">
    <w:name w:val="ListLabel 1362"/>
    <w:qFormat/>
    <w:rPr>
      <w:rFonts w:cs="Wingdings"/>
    </w:rPr>
  </w:style>
  <w:style w:type="character" w:styleId="ListLabel1363">
    <w:name w:val="ListLabel 1363"/>
    <w:qFormat/>
    <w:rPr>
      <w:rFonts w:cs="Symbol"/>
    </w:rPr>
  </w:style>
  <w:style w:type="character" w:styleId="ListLabel1364">
    <w:name w:val="ListLabel 1364"/>
    <w:qFormat/>
    <w:rPr>
      <w:rFonts w:cs="Courier New"/>
    </w:rPr>
  </w:style>
  <w:style w:type="character" w:styleId="ListLabel1365">
    <w:name w:val="ListLabel 1365"/>
    <w:qFormat/>
    <w:rPr>
      <w:rFonts w:cs="Wingdings"/>
    </w:rPr>
  </w:style>
  <w:style w:type="character" w:styleId="ListLabel1366">
    <w:name w:val="ListLabel 1366"/>
    <w:qFormat/>
    <w:rPr>
      <w:rFonts w:cs="Symbol"/>
    </w:rPr>
  </w:style>
  <w:style w:type="character" w:styleId="ListLabel1367">
    <w:name w:val="ListLabel 1367"/>
    <w:qFormat/>
    <w:rPr>
      <w:rFonts w:cs="Courier New"/>
    </w:rPr>
  </w:style>
  <w:style w:type="character" w:styleId="ListLabel1368">
    <w:name w:val="ListLabel 1368"/>
    <w:qFormat/>
    <w:rPr>
      <w:rFonts w:cs="Wingdings"/>
    </w:rPr>
  </w:style>
  <w:style w:type="character" w:styleId="ListLabel1369">
    <w:name w:val="ListLabel 1369"/>
    <w:qFormat/>
    <w:rPr>
      <w:rFonts w:cs="Symbol"/>
    </w:rPr>
  </w:style>
  <w:style w:type="character" w:styleId="ListLabel1370">
    <w:name w:val="ListLabel 1370"/>
    <w:qFormat/>
    <w:rPr>
      <w:rFonts w:cs="Courier New"/>
    </w:rPr>
  </w:style>
  <w:style w:type="character" w:styleId="ListLabel1371">
    <w:name w:val="ListLabel 1371"/>
    <w:qFormat/>
    <w:rPr>
      <w:rFonts w:cs="Wingdings"/>
    </w:rPr>
  </w:style>
  <w:style w:type="character" w:styleId="ListLabel1372">
    <w:name w:val="ListLabel 1372"/>
    <w:qFormat/>
    <w:rPr>
      <w:rFonts w:cs="Symbol"/>
    </w:rPr>
  </w:style>
  <w:style w:type="character" w:styleId="ListLabel1373">
    <w:name w:val="ListLabel 1373"/>
    <w:qFormat/>
    <w:rPr>
      <w:rFonts w:cs="Courier New"/>
    </w:rPr>
  </w:style>
  <w:style w:type="character" w:styleId="ListLabel1374">
    <w:name w:val="ListLabel 1374"/>
    <w:qFormat/>
    <w:rPr>
      <w:rFonts w:cs="Wingdings"/>
    </w:rPr>
  </w:style>
  <w:style w:type="character" w:styleId="ListLabel1375">
    <w:name w:val="ListLabel 1375"/>
    <w:qFormat/>
    <w:rPr>
      <w:rFonts w:cs="Symbol"/>
    </w:rPr>
  </w:style>
  <w:style w:type="character" w:styleId="ListLabel1376">
    <w:name w:val="ListLabel 1376"/>
    <w:qFormat/>
    <w:rPr>
      <w:rFonts w:cs="Courier New"/>
    </w:rPr>
  </w:style>
  <w:style w:type="character" w:styleId="ListLabel1377">
    <w:name w:val="ListLabel 1377"/>
    <w:qFormat/>
    <w:rPr>
      <w:rFonts w:cs="Wingdings"/>
    </w:rPr>
  </w:style>
  <w:style w:type="character" w:styleId="ListLabel1378">
    <w:name w:val="ListLabel 1378"/>
    <w:qFormat/>
    <w:rPr>
      <w:rFonts w:cs="Symbol"/>
    </w:rPr>
  </w:style>
  <w:style w:type="character" w:styleId="ListLabel1379">
    <w:name w:val="ListLabel 1379"/>
    <w:qFormat/>
    <w:rPr>
      <w:rFonts w:cs="Courier New"/>
    </w:rPr>
  </w:style>
  <w:style w:type="character" w:styleId="ListLabel1380">
    <w:name w:val="ListLabel 1380"/>
    <w:qFormat/>
    <w:rPr>
      <w:rFonts w:cs="Wingdings"/>
    </w:rPr>
  </w:style>
  <w:style w:type="character" w:styleId="ListLabel1381">
    <w:name w:val="ListLabel 1381"/>
    <w:qFormat/>
    <w:rPr>
      <w:rFonts w:cs="Symbol"/>
    </w:rPr>
  </w:style>
  <w:style w:type="character" w:styleId="ListLabel1382">
    <w:name w:val="ListLabel 1382"/>
    <w:qFormat/>
    <w:rPr>
      <w:rFonts w:cs="Courier New"/>
    </w:rPr>
  </w:style>
  <w:style w:type="character" w:styleId="ListLabel1383">
    <w:name w:val="ListLabel 1383"/>
    <w:qFormat/>
    <w:rPr>
      <w:rFonts w:cs="Wingdings"/>
    </w:rPr>
  </w:style>
  <w:style w:type="character" w:styleId="ListLabel1384">
    <w:name w:val="ListLabel 1384"/>
    <w:qFormat/>
    <w:rPr>
      <w:rFonts w:cs="Symbol"/>
    </w:rPr>
  </w:style>
  <w:style w:type="character" w:styleId="ListLabel1385">
    <w:name w:val="ListLabel 1385"/>
    <w:qFormat/>
    <w:rPr>
      <w:rFonts w:cs="Wingdings"/>
    </w:rPr>
  </w:style>
  <w:style w:type="character" w:styleId="ListLabel1386">
    <w:name w:val="ListLabel 1386"/>
    <w:qFormat/>
    <w:rPr>
      <w:rFonts w:cs="Symbol"/>
    </w:rPr>
  </w:style>
  <w:style w:type="character" w:styleId="ListLabel1387">
    <w:name w:val="ListLabel 1387"/>
    <w:qFormat/>
    <w:rPr>
      <w:rFonts w:cs="Courier New"/>
    </w:rPr>
  </w:style>
  <w:style w:type="character" w:styleId="ListLabel1388">
    <w:name w:val="ListLabel 1388"/>
    <w:qFormat/>
    <w:rPr>
      <w:rFonts w:cs="Wingdings"/>
    </w:rPr>
  </w:style>
  <w:style w:type="character" w:styleId="ListLabel1389">
    <w:name w:val="ListLabel 1389"/>
    <w:qFormat/>
    <w:rPr>
      <w:rFonts w:cs="Symbol"/>
    </w:rPr>
  </w:style>
  <w:style w:type="character" w:styleId="ListLabel1390">
    <w:name w:val="ListLabel 1390"/>
    <w:qFormat/>
    <w:rPr>
      <w:rFonts w:cs="Courier New"/>
    </w:rPr>
  </w:style>
  <w:style w:type="character" w:styleId="ListLabel1391">
    <w:name w:val="ListLabel 1391"/>
    <w:qFormat/>
    <w:rPr>
      <w:rFonts w:cs="Wingdings"/>
    </w:rPr>
  </w:style>
  <w:style w:type="character" w:styleId="ListLabel1392">
    <w:name w:val="ListLabel 1392"/>
    <w:qFormat/>
    <w:rPr>
      <w:rFonts w:cs="Symbol"/>
    </w:rPr>
  </w:style>
  <w:style w:type="character" w:styleId="ListLabel1393">
    <w:name w:val="ListLabel 1393"/>
    <w:qFormat/>
    <w:rPr>
      <w:rFonts w:cs="Courier New"/>
    </w:rPr>
  </w:style>
  <w:style w:type="character" w:styleId="ListLabel1394">
    <w:name w:val="ListLabel 1394"/>
    <w:qFormat/>
    <w:rPr>
      <w:rFonts w:cs="Wingdings"/>
    </w:rPr>
  </w:style>
  <w:style w:type="character" w:styleId="ListLabel1395">
    <w:name w:val="ListLabel 1395"/>
    <w:qFormat/>
    <w:rPr>
      <w:rFonts w:cs="Symbol"/>
    </w:rPr>
  </w:style>
  <w:style w:type="character" w:styleId="ListLabel1396">
    <w:name w:val="ListLabel 1396"/>
    <w:qFormat/>
    <w:rPr>
      <w:rFonts w:cs="Courier New"/>
    </w:rPr>
  </w:style>
  <w:style w:type="character" w:styleId="ListLabel1397">
    <w:name w:val="ListLabel 1397"/>
    <w:qFormat/>
    <w:rPr>
      <w:rFonts w:cs="Wingdings"/>
    </w:rPr>
  </w:style>
  <w:style w:type="character" w:styleId="ListLabel1398">
    <w:name w:val="ListLabel 1398"/>
    <w:qFormat/>
    <w:rPr>
      <w:rFonts w:cs="Symbol"/>
    </w:rPr>
  </w:style>
  <w:style w:type="character" w:styleId="ListLabel1399">
    <w:name w:val="ListLabel 1399"/>
    <w:qFormat/>
    <w:rPr>
      <w:rFonts w:cs="Courier New"/>
    </w:rPr>
  </w:style>
  <w:style w:type="character" w:styleId="ListLabel1400">
    <w:name w:val="ListLabel 1400"/>
    <w:qFormat/>
    <w:rPr>
      <w:rFonts w:cs="Wingdings"/>
    </w:rPr>
  </w:style>
  <w:style w:type="character" w:styleId="ListLabel1401">
    <w:name w:val="ListLabel 1401"/>
    <w:qFormat/>
    <w:rPr>
      <w:rFonts w:cs="Symbol"/>
    </w:rPr>
  </w:style>
  <w:style w:type="character" w:styleId="ListLabel1402">
    <w:name w:val="ListLabel 1402"/>
    <w:qFormat/>
    <w:rPr>
      <w:rFonts w:cs="Courier New"/>
    </w:rPr>
  </w:style>
  <w:style w:type="character" w:styleId="ListLabel1403">
    <w:name w:val="ListLabel 1403"/>
    <w:qFormat/>
    <w:rPr>
      <w:rFonts w:cs="Wingdings"/>
    </w:rPr>
  </w:style>
  <w:style w:type="character" w:styleId="ListLabel1404">
    <w:name w:val="ListLabel 1404"/>
    <w:qFormat/>
    <w:rPr>
      <w:rFonts w:cs="Symbol"/>
    </w:rPr>
  </w:style>
  <w:style w:type="character" w:styleId="ListLabel1405">
    <w:name w:val="ListLabel 1405"/>
    <w:qFormat/>
    <w:rPr>
      <w:rFonts w:cs="Courier New"/>
    </w:rPr>
  </w:style>
  <w:style w:type="character" w:styleId="ListLabel1406">
    <w:name w:val="ListLabel 1406"/>
    <w:qFormat/>
    <w:rPr>
      <w:rFonts w:cs="Wingdings"/>
    </w:rPr>
  </w:style>
  <w:style w:type="character" w:styleId="ListLabel1407">
    <w:name w:val="ListLabel 1407"/>
    <w:qFormat/>
    <w:rPr>
      <w:rFonts w:cs="Symbol"/>
    </w:rPr>
  </w:style>
  <w:style w:type="character" w:styleId="ListLabel1408">
    <w:name w:val="ListLabel 1408"/>
    <w:qFormat/>
    <w:rPr>
      <w:rFonts w:cs="Courier New"/>
    </w:rPr>
  </w:style>
  <w:style w:type="character" w:styleId="ListLabel1409">
    <w:name w:val="ListLabel 1409"/>
    <w:qFormat/>
    <w:rPr>
      <w:rFonts w:cs="Wingdings"/>
    </w:rPr>
  </w:style>
  <w:style w:type="character" w:styleId="ListLabel1410">
    <w:name w:val="ListLabel 1410"/>
    <w:qFormat/>
    <w:rPr>
      <w:rFonts w:cs="Symbol"/>
    </w:rPr>
  </w:style>
  <w:style w:type="character" w:styleId="ListLabel1411">
    <w:name w:val="ListLabel 1411"/>
    <w:qFormat/>
    <w:rPr>
      <w:rFonts w:cs="Courier New"/>
    </w:rPr>
  </w:style>
  <w:style w:type="character" w:styleId="ListLabel1412">
    <w:name w:val="ListLabel 1412"/>
    <w:qFormat/>
    <w:rPr>
      <w:rFonts w:cs="Wingdings"/>
    </w:rPr>
  </w:style>
  <w:style w:type="character" w:styleId="ListLabel1413">
    <w:name w:val="ListLabel 1413"/>
    <w:qFormat/>
    <w:rPr>
      <w:rFonts w:cs="Symbol"/>
    </w:rPr>
  </w:style>
  <w:style w:type="character" w:styleId="ListLabel1414">
    <w:name w:val="ListLabel 1414"/>
    <w:qFormat/>
    <w:rPr>
      <w:rFonts w:cs="Courier New"/>
    </w:rPr>
  </w:style>
  <w:style w:type="character" w:styleId="ListLabel1415">
    <w:name w:val="ListLabel 1415"/>
    <w:qFormat/>
    <w:rPr>
      <w:rFonts w:cs="Wingdings"/>
    </w:rPr>
  </w:style>
  <w:style w:type="character" w:styleId="ListLabel1416">
    <w:name w:val="ListLabel 1416"/>
    <w:qFormat/>
    <w:rPr>
      <w:rFonts w:cs="Symbol"/>
    </w:rPr>
  </w:style>
  <w:style w:type="character" w:styleId="ListLabel1417">
    <w:name w:val="ListLabel 1417"/>
    <w:qFormat/>
    <w:rPr>
      <w:rFonts w:cs="Courier New"/>
    </w:rPr>
  </w:style>
  <w:style w:type="character" w:styleId="ListLabel1418">
    <w:name w:val="ListLabel 1418"/>
    <w:qFormat/>
    <w:rPr>
      <w:rFonts w:cs="Wingdings"/>
    </w:rPr>
  </w:style>
  <w:style w:type="character" w:styleId="ListLabel1419">
    <w:name w:val="ListLabel 1419"/>
    <w:qFormat/>
    <w:rPr>
      <w:rFonts w:cs="Symbol"/>
    </w:rPr>
  </w:style>
  <w:style w:type="character" w:styleId="ListLabel1420">
    <w:name w:val="ListLabel 1420"/>
    <w:qFormat/>
    <w:rPr>
      <w:rFonts w:cs="Courier New"/>
    </w:rPr>
  </w:style>
  <w:style w:type="character" w:styleId="ListLabel1421">
    <w:name w:val="ListLabel 1421"/>
    <w:qFormat/>
    <w:rPr>
      <w:rFonts w:cs="Wingdings"/>
    </w:rPr>
  </w:style>
  <w:style w:type="character" w:styleId="ListLabel1422">
    <w:name w:val="ListLabel 1422"/>
    <w:qFormat/>
    <w:rPr>
      <w:rFonts w:cs="Symbol"/>
    </w:rPr>
  </w:style>
  <w:style w:type="character" w:styleId="ListLabel1423">
    <w:name w:val="ListLabel 1423"/>
    <w:qFormat/>
    <w:rPr>
      <w:rFonts w:cs="Courier New"/>
    </w:rPr>
  </w:style>
  <w:style w:type="character" w:styleId="ListLabel1424">
    <w:name w:val="ListLabel 1424"/>
    <w:qFormat/>
    <w:rPr>
      <w:rFonts w:cs="Wingdings"/>
    </w:rPr>
  </w:style>
  <w:style w:type="character" w:styleId="ListLabel1425">
    <w:name w:val="ListLabel 1425"/>
    <w:qFormat/>
    <w:rPr>
      <w:rFonts w:cs="Symbol"/>
    </w:rPr>
  </w:style>
  <w:style w:type="character" w:styleId="ListLabel1426">
    <w:name w:val="ListLabel 1426"/>
    <w:qFormat/>
    <w:rPr>
      <w:rFonts w:cs="Courier New"/>
    </w:rPr>
  </w:style>
  <w:style w:type="character" w:styleId="ListLabel1427">
    <w:name w:val="ListLabel 1427"/>
    <w:qFormat/>
    <w:rPr>
      <w:rFonts w:cs="Wingdings"/>
    </w:rPr>
  </w:style>
  <w:style w:type="character" w:styleId="ListLabel1428">
    <w:name w:val="ListLabel 1428"/>
    <w:qFormat/>
    <w:rPr>
      <w:rFonts w:cs="Symbol"/>
    </w:rPr>
  </w:style>
  <w:style w:type="character" w:styleId="ListLabel1429">
    <w:name w:val="ListLabel 1429"/>
    <w:qFormat/>
    <w:rPr>
      <w:rFonts w:cs="Courier New"/>
    </w:rPr>
  </w:style>
  <w:style w:type="character" w:styleId="ListLabel1430">
    <w:name w:val="ListLabel 1430"/>
    <w:qFormat/>
    <w:rPr>
      <w:rFonts w:cs="Wingdings"/>
    </w:rPr>
  </w:style>
  <w:style w:type="character" w:styleId="ListLabel1431">
    <w:name w:val="ListLabel 1431"/>
    <w:qFormat/>
    <w:rPr>
      <w:rFonts w:cs="Symbol"/>
    </w:rPr>
  </w:style>
  <w:style w:type="character" w:styleId="ListLabel1432">
    <w:name w:val="ListLabel 1432"/>
    <w:qFormat/>
    <w:rPr>
      <w:rFonts w:cs="Courier New"/>
    </w:rPr>
  </w:style>
  <w:style w:type="character" w:styleId="ListLabel1433">
    <w:name w:val="ListLabel 1433"/>
    <w:qFormat/>
    <w:rPr>
      <w:rFonts w:cs="Wingdings"/>
    </w:rPr>
  </w:style>
  <w:style w:type="character" w:styleId="ListLabel1434">
    <w:name w:val="ListLabel 1434"/>
    <w:qFormat/>
    <w:rPr>
      <w:rFonts w:cs="Symbol"/>
    </w:rPr>
  </w:style>
  <w:style w:type="character" w:styleId="ListLabel1435">
    <w:name w:val="ListLabel 1435"/>
    <w:qFormat/>
    <w:rPr>
      <w:rFonts w:cs="Courier New"/>
    </w:rPr>
  </w:style>
  <w:style w:type="character" w:styleId="ListLabel1436">
    <w:name w:val="ListLabel 1436"/>
    <w:qFormat/>
    <w:rPr>
      <w:rFonts w:cs="Wingdings"/>
    </w:rPr>
  </w:style>
  <w:style w:type="character" w:styleId="ListLabel1437">
    <w:name w:val="ListLabel 1437"/>
    <w:qFormat/>
    <w:rPr>
      <w:rFonts w:cs="Symbol"/>
    </w:rPr>
  </w:style>
  <w:style w:type="character" w:styleId="ListLabel1438">
    <w:name w:val="ListLabel 1438"/>
    <w:qFormat/>
    <w:rPr>
      <w:rFonts w:cs="Courier New"/>
    </w:rPr>
  </w:style>
  <w:style w:type="character" w:styleId="ListLabel1439">
    <w:name w:val="ListLabel 1439"/>
    <w:qFormat/>
    <w:rPr>
      <w:rFonts w:cs="Wingdings"/>
    </w:rPr>
  </w:style>
  <w:style w:type="character" w:styleId="ListLabel1440">
    <w:name w:val="ListLabel 1440"/>
    <w:qFormat/>
    <w:rPr>
      <w:rFonts w:cs="Symbol"/>
    </w:rPr>
  </w:style>
  <w:style w:type="character" w:styleId="ListLabel1441">
    <w:name w:val="ListLabel 1441"/>
    <w:qFormat/>
    <w:rPr>
      <w:rFonts w:cs="Courier New"/>
    </w:rPr>
  </w:style>
  <w:style w:type="character" w:styleId="ListLabel1442">
    <w:name w:val="ListLabel 1442"/>
    <w:qFormat/>
    <w:rPr>
      <w:rFonts w:cs="Wingdings"/>
    </w:rPr>
  </w:style>
  <w:style w:type="character" w:styleId="ListLabel1443">
    <w:name w:val="ListLabel 1443"/>
    <w:qFormat/>
    <w:rPr>
      <w:rFonts w:cs="Symbol"/>
    </w:rPr>
  </w:style>
  <w:style w:type="character" w:styleId="ListLabel1444">
    <w:name w:val="ListLabel 1444"/>
    <w:qFormat/>
    <w:rPr>
      <w:rFonts w:cs="Courier New"/>
    </w:rPr>
  </w:style>
  <w:style w:type="character" w:styleId="ListLabel1445">
    <w:name w:val="ListLabel 1445"/>
    <w:qFormat/>
    <w:rPr>
      <w:rFonts w:cs="Wingdings"/>
    </w:rPr>
  </w:style>
  <w:style w:type="character" w:styleId="ListLabel1446">
    <w:name w:val="ListLabel 1446"/>
    <w:qFormat/>
    <w:rPr>
      <w:rFonts w:cs="Symbol"/>
    </w:rPr>
  </w:style>
  <w:style w:type="character" w:styleId="ListLabel1447">
    <w:name w:val="ListLabel 1447"/>
    <w:qFormat/>
    <w:rPr>
      <w:rFonts w:cs="Courier New"/>
    </w:rPr>
  </w:style>
  <w:style w:type="character" w:styleId="ListLabel1448">
    <w:name w:val="ListLabel 1448"/>
    <w:qFormat/>
    <w:rPr>
      <w:rFonts w:cs="Wingdings"/>
    </w:rPr>
  </w:style>
  <w:style w:type="character" w:styleId="ListLabel1449">
    <w:name w:val="ListLabel 1449"/>
    <w:qFormat/>
    <w:rPr>
      <w:rFonts w:cs="Symbol"/>
    </w:rPr>
  </w:style>
  <w:style w:type="character" w:styleId="ListLabel1450">
    <w:name w:val="ListLabel 1450"/>
    <w:qFormat/>
    <w:rPr>
      <w:rFonts w:cs="Courier New"/>
    </w:rPr>
  </w:style>
  <w:style w:type="character" w:styleId="ListLabel1451">
    <w:name w:val="ListLabel 1451"/>
    <w:qFormat/>
    <w:rPr>
      <w:rFonts w:cs="Wingdings"/>
    </w:rPr>
  </w:style>
  <w:style w:type="character" w:styleId="ListLabel1452">
    <w:name w:val="ListLabel 1452"/>
    <w:qFormat/>
    <w:rPr>
      <w:rFonts w:cs="Symbol"/>
    </w:rPr>
  </w:style>
  <w:style w:type="character" w:styleId="ListLabel1453">
    <w:name w:val="ListLabel 1453"/>
    <w:qFormat/>
    <w:rPr>
      <w:rFonts w:cs="Courier New"/>
    </w:rPr>
  </w:style>
  <w:style w:type="character" w:styleId="ListLabel1454">
    <w:name w:val="ListLabel 1454"/>
    <w:qFormat/>
    <w:rPr>
      <w:rFonts w:cs="Wingdings"/>
    </w:rPr>
  </w:style>
  <w:style w:type="character" w:styleId="ListLabel1455">
    <w:name w:val="ListLabel 1455"/>
    <w:qFormat/>
    <w:rPr>
      <w:rFonts w:cs="Symbol"/>
    </w:rPr>
  </w:style>
  <w:style w:type="character" w:styleId="ListLabel1456">
    <w:name w:val="ListLabel 1456"/>
    <w:qFormat/>
    <w:rPr>
      <w:rFonts w:cs="Courier New"/>
    </w:rPr>
  </w:style>
  <w:style w:type="character" w:styleId="ListLabel1457">
    <w:name w:val="ListLabel 1457"/>
    <w:qFormat/>
    <w:rPr>
      <w:rFonts w:cs="Wingdings"/>
    </w:rPr>
  </w:style>
  <w:style w:type="character" w:styleId="ListLabel1458">
    <w:name w:val="ListLabel 1458"/>
    <w:qFormat/>
    <w:rPr>
      <w:rFonts w:cs="Symbol"/>
    </w:rPr>
  </w:style>
  <w:style w:type="character" w:styleId="ListLabel1459">
    <w:name w:val="ListLabel 1459"/>
    <w:qFormat/>
    <w:rPr>
      <w:rFonts w:cs="Courier New"/>
    </w:rPr>
  </w:style>
  <w:style w:type="character" w:styleId="ListLabel1460">
    <w:name w:val="ListLabel 1460"/>
    <w:qFormat/>
    <w:rPr>
      <w:rFonts w:cs="Wingdings"/>
    </w:rPr>
  </w:style>
  <w:style w:type="character" w:styleId="ListLabel1461">
    <w:name w:val="ListLabel 1461"/>
    <w:qFormat/>
    <w:rPr>
      <w:rFonts w:cs="Symbol"/>
    </w:rPr>
  </w:style>
  <w:style w:type="character" w:styleId="ListLabel1462">
    <w:name w:val="ListLabel 1462"/>
    <w:qFormat/>
    <w:rPr>
      <w:rFonts w:cs="Courier New"/>
    </w:rPr>
  </w:style>
  <w:style w:type="character" w:styleId="ListLabel1463">
    <w:name w:val="ListLabel 1463"/>
    <w:qFormat/>
    <w:rPr>
      <w:rFonts w:cs="Wingdings"/>
    </w:rPr>
  </w:style>
  <w:style w:type="character" w:styleId="ListLabel1464">
    <w:name w:val="ListLabel 1464"/>
    <w:qFormat/>
    <w:rPr>
      <w:rFonts w:cs="Symbol"/>
    </w:rPr>
  </w:style>
  <w:style w:type="character" w:styleId="ListLabel1465">
    <w:name w:val="ListLabel 1465"/>
    <w:qFormat/>
    <w:rPr>
      <w:rFonts w:cs="Courier New"/>
    </w:rPr>
  </w:style>
  <w:style w:type="character" w:styleId="ListLabel1466">
    <w:name w:val="ListLabel 1466"/>
    <w:qFormat/>
    <w:rPr>
      <w:rFonts w:cs="Wingdings"/>
    </w:rPr>
  </w:style>
  <w:style w:type="character" w:styleId="ListLabel1467">
    <w:name w:val="ListLabel 1467"/>
    <w:qFormat/>
    <w:rPr>
      <w:rFonts w:cs="Symbol"/>
    </w:rPr>
  </w:style>
  <w:style w:type="character" w:styleId="ListLabel1468">
    <w:name w:val="ListLabel 1468"/>
    <w:qFormat/>
    <w:rPr>
      <w:rFonts w:cs="Courier New"/>
    </w:rPr>
  </w:style>
  <w:style w:type="character" w:styleId="ListLabel1469">
    <w:name w:val="ListLabel 1469"/>
    <w:qFormat/>
    <w:rPr>
      <w:rFonts w:cs="Wingdings"/>
    </w:rPr>
  </w:style>
  <w:style w:type="character" w:styleId="ListLabel1470">
    <w:name w:val="ListLabel 1470"/>
    <w:qFormat/>
    <w:rPr>
      <w:rFonts w:cs="Symbol"/>
    </w:rPr>
  </w:style>
  <w:style w:type="character" w:styleId="ListLabel1471">
    <w:name w:val="ListLabel 1471"/>
    <w:qFormat/>
    <w:rPr>
      <w:rFonts w:cs="Courier New"/>
    </w:rPr>
  </w:style>
  <w:style w:type="character" w:styleId="ListLabel1472">
    <w:name w:val="ListLabel 1472"/>
    <w:qFormat/>
    <w:rPr>
      <w:rFonts w:cs="Wingdings"/>
    </w:rPr>
  </w:style>
  <w:style w:type="character" w:styleId="ListLabel1473">
    <w:name w:val="ListLabel 1473"/>
    <w:qFormat/>
    <w:rPr>
      <w:rFonts w:cs="Symbol"/>
    </w:rPr>
  </w:style>
  <w:style w:type="character" w:styleId="ListLabel1474">
    <w:name w:val="ListLabel 1474"/>
    <w:qFormat/>
    <w:rPr>
      <w:rFonts w:cs="Courier New"/>
    </w:rPr>
  </w:style>
  <w:style w:type="character" w:styleId="ListLabel1475">
    <w:name w:val="ListLabel 1475"/>
    <w:qFormat/>
    <w:rPr>
      <w:rFonts w:cs="Wingdings"/>
    </w:rPr>
  </w:style>
  <w:style w:type="character" w:styleId="ListLabel1476">
    <w:name w:val="ListLabel 1476"/>
    <w:qFormat/>
    <w:rPr>
      <w:rFonts w:cs="Symbol"/>
    </w:rPr>
  </w:style>
  <w:style w:type="character" w:styleId="ListLabel1477">
    <w:name w:val="ListLabel 1477"/>
    <w:qFormat/>
    <w:rPr>
      <w:rFonts w:cs="Courier New"/>
    </w:rPr>
  </w:style>
  <w:style w:type="character" w:styleId="ListLabel1478">
    <w:name w:val="ListLabel 1478"/>
    <w:qFormat/>
    <w:rPr>
      <w:rFonts w:cs="Wingdings"/>
    </w:rPr>
  </w:style>
  <w:style w:type="character" w:styleId="ListLabel1479">
    <w:name w:val="ListLabel 1479"/>
    <w:qFormat/>
    <w:rPr>
      <w:rFonts w:cs="Symbol"/>
    </w:rPr>
  </w:style>
  <w:style w:type="character" w:styleId="ListLabel1480">
    <w:name w:val="ListLabel 1480"/>
    <w:qFormat/>
    <w:rPr>
      <w:rFonts w:cs="Courier New"/>
    </w:rPr>
  </w:style>
  <w:style w:type="character" w:styleId="ListLabel1481">
    <w:name w:val="ListLabel 1481"/>
    <w:qFormat/>
    <w:rPr>
      <w:rFonts w:cs="Wingdings"/>
    </w:rPr>
  </w:style>
  <w:style w:type="character" w:styleId="ListLabel1482">
    <w:name w:val="ListLabel 1482"/>
    <w:qFormat/>
    <w:rPr>
      <w:rFonts w:cs="Symbol"/>
    </w:rPr>
  </w:style>
  <w:style w:type="character" w:styleId="ListLabel1483">
    <w:name w:val="ListLabel 1483"/>
    <w:qFormat/>
    <w:rPr>
      <w:rFonts w:cs="Courier New"/>
    </w:rPr>
  </w:style>
  <w:style w:type="character" w:styleId="ListLabel1484">
    <w:name w:val="ListLabel 1484"/>
    <w:qFormat/>
    <w:rPr>
      <w:rFonts w:cs="Wingdings"/>
    </w:rPr>
  </w:style>
  <w:style w:type="character" w:styleId="ListLabel1485">
    <w:name w:val="ListLabel 1485"/>
    <w:qFormat/>
    <w:rPr>
      <w:rFonts w:cs="Symbol"/>
    </w:rPr>
  </w:style>
  <w:style w:type="character" w:styleId="ListLabel1486">
    <w:name w:val="ListLabel 1486"/>
    <w:qFormat/>
    <w:rPr>
      <w:rFonts w:cs="Courier New"/>
    </w:rPr>
  </w:style>
  <w:style w:type="character" w:styleId="ListLabel1487">
    <w:name w:val="ListLabel 1487"/>
    <w:qFormat/>
    <w:rPr>
      <w:rFonts w:cs="Wingdings"/>
    </w:rPr>
  </w:style>
  <w:style w:type="character" w:styleId="ListLabel1488">
    <w:name w:val="ListLabel 1488"/>
    <w:qFormat/>
    <w:rPr>
      <w:rFonts w:cs="Symbol"/>
    </w:rPr>
  </w:style>
  <w:style w:type="character" w:styleId="ListLabel1489">
    <w:name w:val="ListLabel 1489"/>
    <w:qFormat/>
    <w:rPr>
      <w:rFonts w:cs="Courier New"/>
    </w:rPr>
  </w:style>
  <w:style w:type="character" w:styleId="ListLabel1490">
    <w:name w:val="ListLabel 1490"/>
    <w:qFormat/>
    <w:rPr>
      <w:rFonts w:cs="Wingdings"/>
    </w:rPr>
  </w:style>
  <w:style w:type="character" w:styleId="ListLabel1491">
    <w:name w:val="ListLabel 1491"/>
    <w:qFormat/>
    <w:rPr>
      <w:rFonts w:cs="Courier New"/>
    </w:rPr>
  </w:style>
  <w:style w:type="character" w:styleId="ListLabel1492">
    <w:name w:val="ListLabel 1492"/>
    <w:qFormat/>
    <w:rPr>
      <w:rFonts w:cs="Wingdings"/>
    </w:rPr>
  </w:style>
  <w:style w:type="character" w:styleId="ListLabel1493">
    <w:name w:val="ListLabel 1493"/>
    <w:qFormat/>
    <w:rPr>
      <w:rFonts w:cs="Symbol"/>
    </w:rPr>
  </w:style>
  <w:style w:type="character" w:styleId="ListLabel1494">
    <w:name w:val="ListLabel 1494"/>
    <w:qFormat/>
    <w:rPr>
      <w:rFonts w:cs="Courier New"/>
    </w:rPr>
  </w:style>
  <w:style w:type="character" w:styleId="ListLabel1495">
    <w:name w:val="ListLabel 1495"/>
    <w:qFormat/>
    <w:rPr>
      <w:rFonts w:cs="Wingdings"/>
    </w:rPr>
  </w:style>
  <w:style w:type="character" w:styleId="ListLabel1496">
    <w:name w:val="ListLabel 1496"/>
    <w:qFormat/>
    <w:rPr>
      <w:rFonts w:cs="Symbol"/>
    </w:rPr>
  </w:style>
  <w:style w:type="character" w:styleId="ListLabel1497">
    <w:name w:val="ListLabel 1497"/>
    <w:qFormat/>
    <w:rPr>
      <w:rFonts w:cs="Courier New"/>
    </w:rPr>
  </w:style>
  <w:style w:type="character" w:styleId="ListLabel1498">
    <w:name w:val="ListLabel 1498"/>
    <w:qFormat/>
    <w:rPr>
      <w:rFonts w:cs="Wingdings"/>
    </w:rPr>
  </w:style>
  <w:style w:type="character" w:styleId="ListLabel1499">
    <w:name w:val="ListLabel 1499"/>
    <w:qFormat/>
    <w:rPr>
      <w:rFonts w:cs="Symbol"/>
    </w:rPr>
  </w:style>
  <w:style w:type="character" w:styleId="ListLabel1500">
    <w:name w:val="ListLabel 1500"/>
    <w:qFormat/>
    <w:rPr>
      <w:rFonts w:cs="Courier New"/>
    </w:rPr>
  </w:style>
  <w:style w:type="character" w:styleId="ListLabel1501">
    <w:name w:val="ListLabel 1501"/>
    <w:qFormat/>
    <w:rPr>
      <w:rFonts w:cs="Wingdings"/>
    </w:rPr>
  </w:style>
  <w:style w:type="character" w:styleId="ListLabel1502">
    <w:name w:val="ListLabel 1502"/>
    <w:qFormat/>
    <w:rPr>
      <w:rFonts w:cs="Symbol"/>
    </w:rPr>
  </w:style>
  <w:style w:type="character" w:styleId="ListLabel1503">
    <w:name w:val="ListLabel 1503"/>
    <w:qFormat/>
    <w:rPr>
      <w:rFonts w:cs="Courier New"/>
    </w:rPr>
  </w:style>
  <w:style w:type="character" w:styleId="ListLabel1504">
    <w:name w:val="ListLabel 1504"/>
    <w:qFormat/>
    <w:rPr>
      <w:rFonts w:cs="Wingdings"/>
    </w:rPr>
  </w:style>
  <w:style w:type="character" w:styleId="ListLabel1505">
    <w:name w:val="ListLabel 1505"/>
    <w:qFormat/>
    <w:rPr>
      <w:rFonts w:cs="Symbol"/>
    </w:rPr>
  </w:style>
  <w:style w:type="character" w:styleId="ListLabel1506">
    <w:name w:val="ListLabel 1506"/>
    <w:qFormat/>
    <w:rPr>
      <w:rFonts w:cs="Courier New"/>
    </w:rPr>
  </w:style>
  <w:style w:type="character" w:styleId="ListLabel1507">
    <w:name w:val="ListLabel 1507"/>
    <w:qFormat/>
    <w:rPr>
      <w:rFonts w:cs="Wingdings"/>
    </w:rPr>
  </w:style>
  <w:style w:type="character" w:styleId="ListLabel1508">
    <w:name w:val="ListLabel 1508"/>
    <w:qFormat/>
    <w:rPr>
      <w:i w:val="false"/>
    </w:rPr>
  </w:style>
  <w:style w:type="character" w:styleId="ListLabel1509">
    <w:name w:val="ListLabel 1509"/>
    <w:qFormat/>
    <w:rPr>
      <w:i w:val="false"/>
    </w:rPr>
  </w:style>
  <w:style w:type="character" w:styleId="ListLabel1510">
    <w:name w:val="ListLabel 1510"/>
    <w:qFormat/>
    <w:rPr>
      <w:i w:val="false"/>
    </w:rPr>
  </w:style>
  <w:style w:type="character" w:styleId="ListLabel1511">
    <w:name w:val="ListLabel 1511"/>
    <w:qFormat/>
    <w:rPr>
      <w:i w:val="false"/>
    </w:rPr>
  </w:style>
  <w:style w:type="character" w:styleId="ListLabel1512">
    <w:name w:val="ListLabel 1512"/>
    <w:qFormat/>
    <w:rPr>
      <w:lang w:val="es-ES"/>
    </w:rPr>
  </w:style>
  <w:style w:type="character" w:styleId="ListLabel1513">
    <w:name w:val="ListLabel 1513"/>
    <w:qFormat/>
    <w:rPr>
      <w:i w:val="false"/>
    </w:rPr>
  </w:style>
  <w:style w:type="character" w:styleId="ListLabel1514">
    <w:name w:val="ListLabel 1514"/>
    <w:qFormat/>
    <w:rPr>
      <w:i w:val="false"/>
    </w:rPr>
  </w:style>
  <w:style w:type="character" w:styleId="ListLabel1515">
    <w:name w:val="ListLabel 1515"/>
    <w:qFormat/>
    <w:rPr>
      <w:i w:val="false"/>
    </w:rPr>
  </w:style>
  <w:style w:type="character" w:styleId="ListLabel1516">
    <w:name w:val="ListLabel 1516"/>
    <w:qFormat/>
    <w:rPr>
      <w:lang w:val="es-ES"/>
    </w:rPr>
  </w:style>
  <w:style w:type="character" w:styleId="ListLabel1517">
    <w:name w:val="ListLabel 1517"/>
    <w:qFormat/>
    <w:rPr>
      <w:sz w:val="22"/>
    </w:rPr>
  </w:style>
  <w:style w:type="character" w:styleId="ListLabel1518">
    <w:name w:val="ListLabel 1518"/>
    <w:qFormat/>
    <w:rPr>
      <w:rFonts w:cs="Symbol"/>
    </w:rPr>
  </w:style>
  <w:style w:type="character" w:styleId="ListLabel1519">
    <w:name w:val="ListLabel 1519"/>
    <w:qFormat/>
    <w:rPr>
      <w:rFonts w:cs="Symbol"/>
    </w:rPr>
  </w:style>
  <w:style w:type="character" w:styleId="ListLabel1520">
    <w:name w:val="ListLabel 1520"/>
    <w:qFormat/>
    <w:rPr>
      <w:rFonts w:cs="Courier New"/>
    </w:rPr>
  </w:style>
  <w:style w:type="character" w:styleId="ListLabel1521">
    <w:name w:val="ListLabel 1521"/>
    <w:qFormat/>
    <w:rPr>
      <w:rFonts w:cs="Wingdings"/>
    </w:rPr>
  </w:style>
  <w:style w:type="character" w:styleId="ListLabel1522">
    <w:name w:val="ListLabel 1522"/>
    <w:qFormat/>
    <w:rPr>
      <w:rFonts w:cs="Symbol"/>
    </w:rPr>
  </w:style>
  <w:style w:type="character" w:styleId="ListLabel1523">
    <w:name w:val="ListLabel 1523"/>
    <w:qFormat/>
    <w:rPr>
      <w:rFonts w:cs="Courier New"/>
    </w:rPr>
  </w:style>
  <w:style w:type="character" w:styleId="ListLabel1524">
    <w:name w:val="ListLabel 1524"/>
    <w:qFormat/>
    <w:rPr>
      <w:rFonts w:cs="Wingdings"/>
    </w:rPr>
  </w:style>
  <w:style w:type="character" w:styleId="ListLabel1525">
    <w:name w:val="ListLabel 1525"/>
    <w:qFormat/>
    <w:rPr>
      <w:rFonts w:cs="Symbol"/>
    </w:rPr>
  </w:style>
  <w:style w:type="character" w:styleId="ListLabel1526">
    <w:name w:val="ListLabel 1526"/>
    <w:qFormat/>
    <w:rPr>
      <w:rFonts w:cs="Courier New"/>
    </w:rPr>
  </w:style>
  <w:style w:type="character" w:styleId="ListLabel1527">
    <w:name w:val="ListLabel 1527"/>
    <w:qFormat/>
    <w:rPr>
      <w:rFonts w:cs="Wingdings"/>
    </w:rPr>
  </w:style>
  <w:style w:type="character" w:styleId="ListLabel1528">
    <w:name w:val="ListLabel 1528"/>
    <w:qFormat/>
    <w:rPr>
      <w:rFonts w:cs="Symbol"/>
    </w:rPr>
  </w:style>
  <w:style w:type="character" w:styleId="ListLabel1529">
    <w:name w:val="ListLabel 1529"/>
    <w:qFormat/>
    <w:rPr>
      <w:rFonts w:cs="Courier New"/>
    </w:rPr>
  </w:style>
  <w:style w:type="character" w:styleId="ListLabel1530">
    <w:name w:val="ListLabel 1530"/>
    <w:qFormat/>
    <w:rPr>
      <w:rFonts w:cs="Wingdings"/>
    </w:rPr>
  </w:style>
  <w:style w:type="character" w:styleId="ListLabel1531">
    <w:name w:val="ListLabel 1531"/>
    <w:qFormat/>
    <w:rPr>
      <w:rFonts w:cs="Symbol"/>
    </w:rPr>
  </w:style>
  <w:style w:type="character" w:styleId="ListLabel1532">
    <w:name w:val="ListLabel 1532"/>
    <w:qFormat/>
    <w:rPr>
      <w:rFonts w:cs="Courier New"/>
    </w:rPr>
  </w:style>
  <w:style w:type="character" w:styleId="ListLabel1533">
    <w:name w:val="ListLabel 1533"/>
    <w:qFormat/>
    <w:rPr>
      <w:rFonts w:cs="Wingdings"/>
    </w:rPr>
  </w:style>
  <w:style w:type="character" w:styleId="ListLabel1534">
    <w:name w:val="ListLabel 1534"/>
    <w:qFormat/>
    <w:rPr>
      <w:rFonts w:cs="Symbol"/>
    </w:rPr>
  </w:style>
  <w:style w:type="character" w:styleId="ListLabel1535">
    <w:name w:val="ListLabel 1535"/>
    <w:qFormat/>
    <w:rPr>
      <w:rFonts w:cs="Courier New"/>
    </w:rPr>
  </w:style>
  <w:style w:type="character" w:styleId="ListLabel1536">
    <w:name w:val="ListLabel 1536"/>
    <w:qFormat/>
    <w:rPr>
      <w:rFonts w:cs="Wingdings"/>
    </w:rPr>
  </w:style>
  <w:style w:type="character" w:styleId="ListLabel1537">
    <w:name w:val="ListLabel 1537"/>
    <w:qFormat/>
    <w:rPr>
      <w:rFonts w:cs="Symbol"/>
    </w:rPr>
  </w:style>
  <w:style w:type="character" w:styleId="ListLabel1538">
    <w:name w:val="ListLabel 1538"/>
    <w:qFormat/>
    <w:rPr>
      <w:rFonts w:cs="Courier New"/>
    </w:rPr>
  </w:style>
  <w:style w:type="character" w:styleId="ListLabel1539">
    <w:name w:val="ListLabel 1539"/>
    <w:qFormat/>
    <w:rPr>
      <w:rFonts w:cs="Wingdings"/>
    </w:rPr>
  </w:style>
  <w:style w:type="character" w:styleId="ListLabel1540">
    <w:name w:val="ListLabel 1540"/>
    <w:qFormat/>
    <w:rPr>
      <w:rFonts w:cs="Symbol"/>
    </w:rPr>
  </w:style>
  <w:style w:type="character" w:styleId="ListLabel1541">
    <w:name w:val="ListLabel 1541"/>
    <w:qFormat/>
    <w:rPr>
      <w:rFonts w:cs="Courier New"/>
    </w:rPr>
  </w:style>
  <w:style w:type="character" w:styleId="ListLabel1542">
    <w:name w:val="ListLabel 1542"/>
    <w:qFormat/>
    <w:rPr>
      <w:rFonts w:cs="Wingdings"/>
    </w:rPr>
  </w:style>
  <w:style w:type="character" w:styleId="ListLabel1543">
    <w:name w:val="ListLabel 1543"/>
    <w:qFormat/>
    <w:rPr>
      <w:rFonts w:cs="Symbol"/>
    </w:rPr>
  </w:style>
  <w:style w:type="character" w:styleId="ListLabel1544">
    <w:name w:val="ListLabel 1544"/>
    <w:qFormat/>
    <w:rPr>
      <w:rFonts w:cs="Courier New"/>
    </w:rPr>
  </w:style>
  <w:style w:type="character" w:styleId="ListLabel1545">
    <w:name w:val="ListLabel 1545"/>
    <w:qFormat/>
    <w:rPr>
      <w:rFonts w:cs="Wingdings"/>
    </w:rPr>
  </w:style>
  <w:style w:type="character" w:styleId="ListLabel1546">
    <w:name w:val="ListLabel 1546"/>
    <w:qFormat/>
    <w:rPr>
      <w:rFonts w:cs="Symbol"/>
    </w:rPr>
  </w:style>
  <w:style w:type="character" w:styleId="ListLabel1547">
    <w:name w:val="ListLabel 1547"/>
    <w:qFormat/>
    <w:rPr>
      <w:rFonts w:cs="Courier New"/>
    </w:rPr>
  </w:style>
  <w:style w:type="character" w:styleId="ListLabel1548">
    <w:name w:val="ListLabel 1548"/>
    <w:qFormat/>
    <w:rPr>
      <w:rFonts w:cs="Wingdings"/>
    </w:rPr>
  </w:style>
  <w:style w:type="character" w:styleId="ListLabel1549">
    <w:name w:val="ListLabel 1549"/>
    <w:qFormat/>
    <w:rPr>
      <w:rFonts w:cs="Symbol"/>
    </w:rPr>
  </w:style>
  <w:style w:type="character" w:styleId="ListLabel1550">
    <w:name w:val="ListLabel 1550"/>
    <w:qFormat/>
    <w:rPr>
      <w:rFonts w:cs="Courier New"/>
    </w:rPr>
  </w:style>
  <w:style w:type="character" w:styleId="ListLabel1551">
    <w:name w:val="ListLabel 1551"/>
    <w:qFormat/>
    <w:rPr>
      <w:rFonts w:cs="Wingdings"/>
    </w:rPr>
  </w:style>
  <w:style w:type="character" w:styleId="ListLabel1552">
    <w:name w:val="ListLabel 1552"/>
    <w:qFormat/>
    <w:rPr>
      <w:rFonts w:cs="Symbol"/>
    </w:rPr>
  </w:style>
  <w:style w:type="character" w:styleId="ListLabel1553">
    <w:name w:val="ListLabel 1553"/>
    <w:qFormat/>
    <w:rPr>
      <w:rFonts w:cs="Courier New"/>
    </w:rPr>
  </w:style>
  <w:style w:type="character" w:styleId="ListLabel1554">
    <w:name w:val="ListLabel 1554"/>
    <w:qFormat/>
    <w:rPr>
      <w:rFonts w:cs="Wingdings"/>
    </w:rPr>
  </w:style>
  <w:style w:type="character" w:styleId="ListLabel1555">
    <w:name w:val="ListLabel 1555"/>
    <w:qFormat/>
    <w:rPr>
      <w:rFonts w:cs="Symbol"/>
      <w:sz w:val="21"/>
    </w:rPr>
  </w:style>
  <w:style w:type="character" w:styleId="ListLabel1556">
    <w:name w:val="ListLabel 1556"/>
    <w:qFormat/>
    <w:rPr>
      <w:rFonts w:cs="Courier New"/>
    </w:rPr>
  </w:style>
  <w:style w:type="character" w:styleId="ListLabel1557">
    <w:name w:val="ListLabel 1557"/>
    <w:qFormat/>
    <w:rPr>
      <w:rFonts w:cs="Wingdings"/>
    </w:rPr>
  </w:style>
  <w:style w:type="character" w:styleId="ListLabel1558">
    <w:name w:val="ListLabel 1558"/>
    <w:qFormat/>
    <w:rPr>
      <w:rFonts w:cs="Symbol"/>
    </w:rPr>
  </w:style>
  <w:style w:type="character" w:styleId="ListLabel1559">
    <w:name w:val="ListLabel 1559"/>
    <w:qFormat/>
    <w:rPr>
      <w:rFonts w:cs="Courier New"/>
    </w:rPr>
  </w:style>
  <w:style w:type="character" w:styleId="ListLabel1560">
    <w:name w:val="ListLabel 1560"/>
    <w:qFormat/>
    <w:rPr>
      <w:rFonts w:cs="Wingdings"/>
    </w:rPr>
  </w:style>
  <w:style w:type="character" w:styleId="ListLabel1561">
    <w:name w:val="ListLabel 1561"/>
    <w:qFormat/>
    <w:rPr>
      <w:rFonts w:cs="Symbol"/>
    </w:rPr>
  </w:style>
  <w:style w:type="character" w:styleId="ListLabel1562">
    <w:name w:val="ListLabel 1562"/>
    <w:qFormat/>
    <w:rPr>
      <w:rFonts w:cs="Courier New"/>
    </w:rPr>
  </w:style>
  <w:style w:type="character" w:styleId="ListLabel1563">
    <w:name w:val="ListLabel 1563"/>
    <w:qFormat/>
    <w:rPr>
      <w:rFonts w:cs="Wingdings"/>
    </w:rPr>
  </w:style>
  <w:style w:type="character" w:styleId="ListLabel1564">
    <w:name w:val="ListLabel 1564"/>
    <w:qFormat/>
    <w:rPr>
      <w:rFonts w:cs="Symbol"/>
      <w:sz w:val="21"/>
    </w:rPr>
  </w:style>
  <w:style w:type="character" w:styleId="ListLabel1565">
    <w:name w:val="ListLabel 1565"/>
    <w:qFormat/>
    <w:rPr>
      <w:rFonts w:cs="Courier New"/>
    </w:rPr>
  </w:style>
  <w:style w:type="character" w:styleId="ListLabel1566">
    <w:name w:val="ListLabel 1566"/>
    <w:qFormat/>
    <w:rPr>
      <w:rFonts w:cs="Wingdings"/>
    </w:rPr>
  </w:style>
  <w:style w:type="character" w:styleId="ListLabel1567">
    <w:name w:val="ListLabel 1567"/>
    <w:qFormat/>
    <w:rPr>
      <w:rFonts w:cs="Symbol"/>
    </w:rPr>
  </w:style>
  <w:style w:type="character" w:styleId="ListLabel1568">
    <w:name w:val="ListLabel 1568"/>
    <w:qFormat/>
    <w:rPr>
      <w:rFonts w:cs="Courier New"/>
    </w:rPr>
  </w:style>
  <w:style w:type="character" w:styleId="ListLabel1569">
    <w:name w:val="ListLabel 1569"/>
    <w:qFormat/>
    <w:rPr>
      <w:rFonts w:cs="Wingdings"/>
    </w:rPr>
  </w:style>
  <w:style w:type="character" w:styleId="ListLabel1570">
    <w:name w:val="ListLabel 1570"/>
    <w:qFormat/>
    <w:rPr>
      <w:rFonts w:cs="Symbol"/>
    </w:rPr>
  </w:style>
  <w:style w:type="character" w:styleId="ListLabel1571">
    <w:name w:val="ListLabel 1571"/>
    <w:qFormat/>
    <w:rPr>
      <w:rFonts w:cs="Courier New"/>
    </w:rPr>
  </w:style>
  <w:style w:type="character" w:styleId="ListLabel1572">
    <w:name w:val="ListLabel 1572"/>
    <w:qFormat/>
    <w:rPr>
      <w:rFonts w:cs="Wingdings"/>
    </w:rPr>
  </w:style>
  <w:style w:type="character" w:styleId="ListLabel1573">
    <w:name w:val="ListLabel 1573"/>
    <w:qFormat/>
    <w:rPr>
      <w:i w:val="false"/>
    </w:rPr>
  </w:style>
  <w:style w:type="character" w:styleId="ListLabel1574">
    <w:name w:val="ListLabel 1574"/>
    <w:qFormat/>
    <w:rPr>
      <w:rFonts w:cs="Symbol"/>
    </w:rPr>
  </w:style>
  <w:style w:type="character" w:styleId="ListLabel1575">
    <w:name w:val="ListLabel 1575"/>
    <w:qFormat/>
    <w:rPr>
      <w:rFonts w:cs="Courier New"/>
    </w:rPr>
  </w:style>
  <w:style w:type="character" w:styleId="ListLabel1576">
    <w:name w:val="ListLabel 1576"/>
    <w:qFormat/>
    <w:rPr>
      <w:rFonts w:cs="Wingdings"/>
    </w:rPr>
  </w:style>
  <w:style w:type="character" w:styleId="ListLabel1577">
    <w:name w:val="ListLabel 1577"/>
    <w:qFormat/>
    <w:rPr>
      <w:rFonts w:cs="Symbol"/>
    </w:rPr>
  </w:style>
  <w:style w:type="character" w:styleId="ListLabel1578">
    <w:name w:val="ListLabel 1578"/>
    <w:qFormat/>
    <w:rPr>
      <w:rFonts w:cs="Courier New"/>
    </w:rPr>
  </w:style>
  <w:style w:type="character" w:styleId="ListLabel1579">
    <w:name w:val="ListLabel 1579"/>
    <w:qFormat/>
    <w:rPr>
      <w:rFonts w:cs="Wingdings"/>
    </w:rPr>
  </w:style>
  <w:style w:type="character" w:styleId="ListLabel1580">
    <w:name w:val="ListLabel 1580"/>
    <w:qFormat/>
    <w:rPr>
      <w:rFonts w:cs="Symbol"/>
    </w:rPr>
  </w:style>
  <w:style w:type="character" w:styleId="ListLabel1581">
    <w:name w:val="ListLabel 1581"/>
    <w:qFormat/>
    <w:rPr>
      <w:rFonts w:cs="Courier New"/>
    </w:rPr>
  </w:style>
  <w:style w:type="character" w:styleId="ListLabel1582">
    <w:name w:val="ListLabel 1582"/>
    <w:qFormat/>
    <w:rPr>
      <w:rFonts w:cs="Wingdings"/>
    </w:rPr>
  </w:style>
  <w:style w:type="character" w:styleId="ListLabel1583">
    <w:name w:val="ListLabel 1583"/>
    <w:qFormat/>
    <w:rPr>
      <w:rFonts w:cs="Symbol"/>
    </w:rPr>
  </w:style>
  <w:style w:type="character" w:styleId="ListLabel1584">
    <w:name w:val="ListLabel 1584"/>
    <w:qFormat/>
    <w:rPr>
      <w:rFonts w:cs="Courier New"/>
    </w:rPr>
  </w:style>
  <w:style w:type="character" w:styleId="ListLabel1585">
    <w:name w:val="ListLabel 1585"/>
    <w:qFormat/>
    <w:rPr>
      <w:rFonts w:cs="Wingdings"/>
    </w:rPr>
  </w:style>
  <w:style w:type="character" w:styleId="ListLabel1586">
    <w:name w:val="ListLabel 1586"/>
    <w:qFormat/>
    <w:rPr>
      <w:rFonts w:cs="Symbol"/>
    </w:rPr>
  </w:style>
  <w:style w:type="character" w:styleId="ListLabel1587">
    <w:name w:val="ListLabel 1587"/>
    <w:qFormat/>
    <w:rPr>
      <w:rFonts w:cs="Courier New"/>
    </w:rPr>
  </w:style>
  <w:style w:type="character" w:styleId="ListLabel1588">
    <w:name w:val="ListLabel 1588"/>
    <w:qFormat/>
    <w:rPr>
      <w:rFonts w:cs="Wingdings"/>
    </w:rPr>
  </w:style>
  <w:style w:type="character" w:styleId="ListLabel1589">
    <w:name w:val="ListLabel 1589"/>
    <w:qFormat/>
    <w:rPr>
      <w:rFonts w:cs="Symbol"/>
    </w:rPr>
  </w:style>
  <w:style w:type="character" w:styleId="ListLabel1590">
    <w:name w:val="ListLabel 1590"/>
    <w:qFormat/>
    <w:rPr>
      <w:rFonts w:cs="Courier New"/>
    </w:rPr>
  </w:style>
  <w:style w:type="character" w:styleId="ListLabel1591">
    <w:name w:val="ListLabel 1591"/>
    <w:qFormat/>
    <w:rPr>
      <w:rFonts w:cs="Wingdings"/>
    </w:rPr>
  </w:style>
  <w:style w:type="character" w:styleId="ListLabel1592">
    <w:name w:val="ListLabel 1592"/>
    <w:qFormat/>
    <w:rPr>
      <w:rFonts w:cs="Symbol"/>
    </w:rPr>
  </w:style>
  <w:style w:type="character" w:styleId="ListLabel1593">
    <w:name w:val="ListLabel 1593"/>
    <w:qFormat/>
    <w:rPr>
      <w:rFonts w:cs="Courier New"/>
    </w:rPr>
  </w:style>
  <w:style w:type="character" w:styleId="ListLabel1594">
    <w:name w:val="ListLabel 1594"/>
    <w:qFormat/>
    <w:rPr>
      <w:rFonts w:cs="Wingdings"/>
    </w:rPr>
  </w:style>
  <w:style w:type="character" w:styleId="ListLabel1595">
    <w:name w:val="ListLabel 1595"/>
    <w:qFormat/>
    <w:rPr>
      <w:rFonts w:cs="Symbol"/>
    </w:rPr>
  </w:style>
  <w:style w:type="character" w:styleId="ListLabel1596">
    <w:name w:val="ListLabel 1596"/>
    <w:qFormat/>
    <w:rPr>
      <w:rFonts w:cs="Courier New"/>
    </w:rPr>
  </w:style>
  <w:style w:type="character" w:styleId="ListLabel1597">
    <w:name w:val="ListLabel 1597"/>
    <w:qFormat/>
    <w:rPr>
      <w:rFonts w:cs="Wingdings"/>
    </w:rPr>
  </w:style>
  <w:style w:type="character" w:styleId="ListLabel1598">
    <w:name w:val="ListLabel 1598"/>
    <w:qFormat/>
    <w:rPr>
      <w:rFonts w:cs="Symbol"/>
    </w:rPr>
  </w:style>
  <w:style w:type="character" w:styleId="ListLabel1599">
    <w:name w:val="ListLabel 1599"/>
    <w:qFormat/>
    <w:rPr>
      <w:rFonts w:cs="Courier New"/>
    </w:rPr>
  </w:style>
  <w:style w:type="character" w:styleId="ListLabel1600">
    <w:name w:val="ListLabel 1600"/>
    <w:qFormat/>
    <w:rPr>
      <w:rFonts w:cs="Wingdings"/>
    </w:rPr>
  </w:style>
  <w:style w:type="character" w:styleId="ListLabel1601">
    <w:name w:val="ListLabel 1601"/>
    <w:qFormat/>
    <w:rPr>
      <w:rFonts w:cs="Courier New"/>
    </w:rPr>
  </w:style>
  <w:style w:type="character" w:styleId="ListLabel1602">
    <w:name w:val="ListLabel 1602"/>
    <w:qFormat/>
    <w:rPr>
      <w:rFonts w:cs="Courier New"/>
    </w:rPr>
  </w:style>
  <w:style w:type="character" w:styleId="ListLabel1603">
    <w:name w:val="ListLabel 1603"/>
    <w:qFormat/>
    <w:rPr>
      <w:rFonts w:cs="Wingdings"/>
    </w:rPr>
  </w:style>
  <w:style w:type="character" w:styleId="ListLabel1604">
    <w:name w:val="ListLabel 1604"/>
    <w:qFormat/>
    <w:rPr>
      <w:rFonts w:cs="Symbol"/>
    </w:rPr>
  </w:style>
  <w:style w:type="character" w:styleId="ListLabel1605">
    <w:name w:val="ListLabel 1605"/>
    <w:qFormat/>
    <w:rPr>
      <w:rFonts w:cs="Courier New"/>
    </w:rPr>
  </w:style>
  <w:style w:type="character" w:styleId="ListLabel1606">
    <w:name w:val="ListLabel 1606"/>
    <w:qFormat/>
    <w:rPr>
      <w:rFonts w:cs="Wingdings"/>
    </w:rPr>
  </w:style>
  <w:style w:type="character" w:styleId="ListLabel1607">
    <w:name w:val="ListLabel 1607"/>
    <w:qFormat/>
    <w:rPr>
      <w:rFonts w:cs="Symbol"/>
    </w:rPr>
  </w:style>
  <w:style w:type="character" w:styleId="ListLabel1608">
    <w:name w:val="ListLabel 1608"/>
    <w:qFormat/>
    <w:rPr>
      <w:rFonts w:cs="Courier New"/>
    </w:rPr>
  </w:style>
  <w:style w:type="character" w:styleId="ListLabel1609">
    <w:name w:val="ListLabel 1609"/>
    <w:qFormat/>
    <w:rPr>
      <w:rFonts w:cs="Wingdings"/>
    </w:rPr>
  </w:style>
  <w:style w:type="character" w:styleId="ListLabel1610">
    <w:name w:val="ListLabel 1610"/>
    <w:qFormat/>
    <w:rPr>
      <w:rFonts w:cs="Courier New"/>
    </w:rPr>
  </w:style>
  <w:style w:type="character" w:styleId="ListLabel1611">
    <w:name w:val="ListLabel 1611"/>
    <w:qFormat/>
    <w:rPr>
      <w:rFonts w:cs="Courier New"/>
    </w:rPr>
  </w:style>
  <w:style w:type="character" w:styleId="ListLabel1612">
    <w:name w:val="ListLabel 1612"/>
    <w:qFormat/>
    <w:rPr>
      <w:rFonts w:cs="Wingdings"/>
    </w:rPr>
  </w:style>
  <w:style w:type="character" w:styleId="ListLabel1613">
    <w:name w:val="ListLabel 1613"/>
    <w:qFormat/>
    <w:rPr>
      <w:rFonts w:cs="Symbol"/>
    </w:rPr>
  </w:style>
  <w:style w:type="character" w:styleId="ListLabel1614">
    <w:name w:val="ListLabel 1614"/>
    <w:qFormat/>
    <w:rPr>
      <w:rFonts w:cs="Courier New"/>
    </w:rPr>
  </w:style>
  <w:style w:type="character" w:styleId="ListLabel1615">
    <w:name w:val="ListLabel 1615"/>
    <w:qFormat/>
    <w:rPr>
      <w:rFonts w:cs="Wingdings"/>
    </w:rPr>
  </w:style>
  <w:style w:type="character" w:styleId="ListLabel1616">
    <w:name w:val="ListLabel 1616"/>
    <w:qFormat/>
    <w:rPr>
      <w:rFonts w:cs="Symbol"/>
    </w:rPr>
  </w:style>
  <w:style w:type="character" w:styleId="ListLabel1617">
    <w:name w:val="ListLabel 1617"/>
    <w:qFormat/>
    <w:rPr>
      <w:rFonts w:cs="Courier New"/>
    </w:rPr>
  </w:style>
  <w:style w:type="character" w:styleId="ListLabel1618">
    <w:name w:val="ListLabel 1618"/>
    <w:qFormat/>
    <w:rPr>
      <w:rFonts w:cs="Wingdings"/>
    </w:rPr>
  </w:style>
  <w:style w:type="character" w:styleId="ListLabel1619">
    <w:name w:val="ListLabel 1619"/>
    <w:qFormat/>
    <w:rPr>
      <w:rFonts w:cs="Courier New"/>
    </w:rPr>
  </w:style>
  <w:style w:type="character" w:styleId="ListLabel1620">
    <w:name w:val="ListLabel 1620"/>
    <w:qFormat/>
    <w:rPr>
      <w:rFonts w:cs="Courier New"/>
    </w:rPr>
  </w:style>
  <w:style w:type="character" w:styleId="ListLabel1621">
    <w:name w:val="ListLabel 1621"/>
    <w:qFormat/>
    <w:rPr>
      <w:rFonts w:cs="Wingdings"/>
    </w:rPr>
  </w:style>
  <w:style w:type="character" w:styleId="ListLabel1622">
    <w:name w:val="ListLabel 1622"/>
    <w:qFormat/>
    <w:rPr>
      <w:rFonts w:cs="Symbol"/>
    </w:rPr>
  </w:style>
  <w:style w:type="character" w:styleId="ListLabel1623">
    <w:name w:val="ListLabel 1623"/>
    <w:qFormat/>
    <w:rPr>
      <w:rFonts w:cs="Courier New"/>
    </w:rPr>
  </w:style>
  <w:style w:type="character" w:styleId="ListLabel1624">
    <w:name w:val="ListLabel 1624"/>
    <w:qFormat/>
    <w:rPr>
      <w:rFonts w:cs="Wingdings"/>
    </w:rPr>
  </w:style>
  <w:style w:type="character" w:styleId="ListLabel1625">
    <w:name w:val="ListLabel 1625"/>
    <w:qFormat/>
    <w:rPr>
      <w:rFonts w:cs="Symbol"/>
    </w:rPr>
  </w:style>
  <w:style w:type="character" w:styleId="ListLabel1626">
    <w:name w:val="ListLabel 1626"/>
    <w:qFormat/>
    <w:rPr>
      <w:rFonts w:cs="Courier New"/>
    </w:rPr>
  </w:style>
  <w:style w:type="character" w:styleId="ListLabel1627">
    <w:name w:val="ListLabel 1627"/>
    <w:qFormat/>
    <w:rPr>
      <w:rFonts w:cs="Wingdings"/>
    </w:rPr>
  </w:style>
  <w:style w:type="character" w:styleId="ListLabel1628">
    <w:name w:val="ListLabel 1628"/>
    <w:qFormat/>
    <w:rPr>
      <w:rFonts w:cs="Courier New"/>
    </w:rPr>
  </w:style>
  <w:style w:type="character" w:styleId="ListLabel1629">
    <w:name w:val="ListLabel 1629"/>
    <w:qFormat/>
    <w:rPr>
      <w:rFonts w:cs="Courier New"/>
    </w:rPr>
  </w:style>
  <w:style w:type="character" w:styleId="ListLabel1630">
    <w:name w:val="ListLabel 1630"/>
    <w:qFormat/>
    <w:rPr>
      <w:rFonts w:cs="Wingdings"/>
    </w:rPr>
  </w:style>
  <w:style w:type="character" w:styleId="ListLabel1631">
    <w:name w:val="ListLabel 1631"/>
    <w:qFormat/>
    <w:rPr>
      <w:rFonts w:cs="Symbol"/>
    </w:rPr>
  </w:style>
  <w:style w:type="character" w:styleId="ListLabel1632">
    <w:name w:val="ListLabel 1632"/>
    <w:qFormat/>
    <w:rPr>
      <w:rFonts w:cs="Courier New"/>
    </w:rPr>
  </w:style>
  <w:style w:type="character" w:styleId="ListLabel1633">
    <w:name w:val="ListLabel 1633"/>
    <w:qFormat/>
    <w:rPr>
      <w:rFonts w:cs="Wingdings"/>
    </w:rPr>
  </w:style>
  <w:style w:type="character" w:styleId="ListLabel1634">
    <w:name w:val="ListLabel 1634"/>
    <w:qFormat/>
    <w:rPr>
      <w:rFonts w:cs="Symbol"/>
    </w:rPr>
  </w:style>
  <w:style w:type="character" w:styleId="ListLabel1635">
    <w:name w:val="ListLabel 1635"/>
    <w:qFormat/>
    <w:rPr>
      <w:rFonts w:cs="Courier New"/>
    </w:rPr>
  </w:style>
  <w:style w:type="character" w:styleId="ListLabel1636">
    <w:name w:val="ListLabel 1636"/>
    <w:qFormat/>
    <w:rPr>
      <w:rFonts w:cs="Wingdings"/>
    </w:rPr>
  </w:style>
  <w:style w:type="character" w:styleId="ListLabel1637">
    <w:name w:val="ListLabel 1637"/>
    <w:qFormat/>
    <w:rPr>
      <w:rFonts w:cs="Courier New"/>
    </w:rPr>
  </w:style>
  <w:style w:type="character" w:styleId="ListLabel1638">
    <w:name w:val="ListLabel 1638"/>
    <w:qFormat/>
    <w:rPr>
      <w:rFonts w:cs="Courier New"/>
    </w:rPr>
  </w:style>
  <w:style w:type="character" w:styleId="ListLabel1639">
    <w:name w:val="ListLabel 1639"/>
    <w:qFormat/>
    <w:rPr>
      <w:rFonts w:cs="Wingdings"/>
    </w:rPr>
  </w:style>
  <w:style w:type="character" w:styleId="ListLabel1640">
    <w:name w:val="ListLabel 1640"/>
    <w:qFormat/>
    <w:rPr>
      <w:rFonts w:cs="Symbol"/>
    </w:rPr>
  </w:style>
  <w:style w:type="character" w:styleId="ListLabel1641">
    <w:name w:val="ListLabel 1641"/>
    <w:qFormat/>
    <w:rPr>
      <w:rFonts w:cs="Courier New"/>
    </w:rPr>
  </w:style>
  <w:style w:type="character" w:styleId="ListLabel1642">
    <w:name w:val="ListLabel 1642"/>
    <w:qFormat/>
    <w:rPr>
      <w:rFonts w:cs="Wingdings"/>
    </w:rPr>
  </w:style>
  <w:style w:type="character" w:styleId="ListLabel1643">
    <w:name w:val="ListLabel 1643"/>
    <w:qFormat/>
    <w:rPr>
      <w:rFonts w:cs="Symbol"/>
    </w:rPr>
  </w:style>
  <w:style w:type="character" w:styleId="ListLabel1644">
    <w:name w:val="ListLabel 1644"/>
    <w:qFormat/>
    <w:rPr>
      <w:rFonts w:cs="Courier New"/>
    </w:rPr>
  </w:style>
  <w:style w:type="character" w:styleId="ListLabel1645">
    <w:name w:val="ListLabel 1645"/>
    <w:qFormat/>
    <w:rPr>
      <w:rFonts w:cs="Wingdings"/>
    </w:rPr>
  </w:style>
  <w:style w:type="character" w:styleId="ListLabel1646">
    <w:name w:val="ListLabel 1646"/>
    <w:qFormat/>
    <w:rPr>
      <w:rFonts w:cs="Symbol"/>
    </w:rPr>
  </w:style>
  <w:style w:type="character" w:styleId="ListLabel1647">
    <w:name w:val="ListLabel 1647"/>
    <w:qFormat/>
    <w:rPr>
      <w:rFonts w:cs="Courier New"/>
    </w:rPr>
  </w:style>
  <w:style w:type="character" w:styleId="ListLabel1648">
    <w:name w:val="ListLabel 1648"/>
    <w:qFormat/>
    <w:rPr>
      <w:rFonts w:cs="Wingdings"/>
    </w:rPr>
  </w:style>
  <w:style w:type="character" w:styleId="ListLabel1649">
    <w:name w:val="ListLabel 1649"/>
    <w:qFormat/>
    <w:rPr>
      <w:rFonts w:cs="Symbol"/>
    </w:rPr>
  </w:style>
  <w:style w:type="character" w:styleId="ListLabel1650">
    <w:name w:val="ListLabel 1650"/>
    <w:qFormat/>
    <w:rPr>
      <w:rFonts w:cs="Courier New"/>
    </w:rPr>
  </w:style>
  <w:style w:type="character" w:styleId="ListLabel1651">
    <w:name w:val="ListLabel 1651"/>
    <w:qFormat/>
    <w:rPr>
      <w:rFonts w:cs="Wingdings"/>
    </w:rPr>
  </w:style>
  <w:style w:type="character" w:styleId="ListLabel1652">
    <w:name w:val="ListLabel 1652"/>
    <w:qFormat/>
    <w:rPr>
      <w:rFonts w:cs="Symbol"/>
    </w:rPr>
  </w:style>
  <w:style w:type="character" w:styleId="ListLabel1653">
    <w:name w:val="ListLabel 1653"/>
    <w:qFormat/>
    <w:rPr>
      <w:rFonts w:cs="Courier New"/>
    </w:rPr>
  </w:style>
  <w:style w:type="character" w:styleId="ListLabel1654">
    <w:name w:val="ListLabel 1654"/>
    <w:qFormat/>
    <w:rPr>
      <w:rFonts w:cs="Wingdings"/>
    </w:rPr>
  </w:style>
  <w:style w:type="character" w:styleId="ListLabel1655">
    <w:name w:val="ListLabel 1655"/>
    <w:qFormat/>
    <w:rPr>
      <w:i w:val="false"/>
    </w:rPr>
  </w:style>
  <w:style w:type="character" w:styleId="ListLabel1656">
    <w:name w:val="ListLabel 1656"/>
    <w:qFormat/>
    <w:rPr>
      <w:rFonts w:cs="Symbol"/>
    </w:rPr>
  </w:style>
  <w:style w:type="character" w:styleId="ListLabel1657">
    <w:name w:val="ListLabel 1657"/>
    <w:qFormat/>
    <w:rPr>
      <w:rFonts w:cs="Courier New"/>
    </w:rPr>
  </w:style>
  <w:style w:type="character" w:styleId="ListLabel1658">
    <w:name w:val="ListLabel 1658"/>
    <w:qFormat/>
    <w:rPr>
      <w:rFonts w:cs="Wingdings"/>
    </w:rPr>
  </w:style>
  <w:style w:type="character" w:styleId="ListLabel1659">
    <w:name w:val="ListLabel 1659"/>
    <w:qFormat/>
    <w:rPr>
      <w:rFonts w:cs="Symbol"/>
    </w:rPr>
  </w:style>
  <w:style w:type="character" w:styleId="ListLabel1660">
    <w:name w:val="ListLabel 1660"/>
    <w:qFormat/>
    <w:rPr>
      <w:rFonts w:cs="Courier New"/>
    </w:rPr>
  </w:style>
  <w:style w:type="character" w:styleId="ListLabel1661">
    <w:name w:val="ListLabel 1661"/>
    <w:qFormat/>
    <w:rPr>
      <w:rFonts w:cs="Wingdings"/>
    </w:rPr>
  </w:style>
  <w:style w:type="character" w:styleId="ListLabel1662">
    <w:name w:val="ListLabel 1662"/>
    <w:qFormat/>
    <w:rPr>
      <w:rFonts w:cs="Symbol"/>
    </w:rPr>
  </w:style>
  <w:style w:type="character" w:styleId="ListLabel1663">
    <w:name w:val="ListLabel 1663"/>
    <w:qFormat/>
    <w:rPr>
      <w:rFonts w:cs="Courier New"/>
    </w:rPr>
  </w:style>
  <w:style w:type="character" w:styleId="ListLabel1664">
    <w:name w:val="ListLabel 1664"/>
    <w:qFormat/>
    <w:rPr>
      <w:rFonts w:cs="Wingdings"/>
    </w:rPr>
  </w:style>
  <w:style w:type="character" w:styleId="ListLabel1665">
    <w:name w:val="ListLabel 1665"/>
    <w:qFormat/>
    <w:rPr>
      <w:rFonts w:cs="Courier New"/>
    </w:rPr>
  </w:style>
  <w:style w:type="character" w:styleId="ListLabel1666">
    <w:name w:val="ListLabel 1666"/>
    <w:qFormat/>
    <w:rPr>
      <w:rFonts w:cs="Wingdings"/>
    </w:rPr>
  </w:style>
  <w:style w:type="character" w:styleId="ListLabel1667">
    <w:name w:val="ListLabel 1667"/>
    <w:qFormat/>
    <w:rPr>
      <w:rFonts w:cs="Symbol"/>
    </w:rPr>
  </w:style>
  <w:style w:type="character" w:styleId="ListLabel1668">
    <w:name w:val="ListLabel 1668"/>
    <w:qFormat/>
    <w:rPr>
      <w:rFonts w:cs="Courier New"/>
    </w:rPr>
  </w:style>
  <w:style w:type="character" w:styleId="ListLabel1669">
    <w:name w:val="ListLabel 1669"/>
    <w:qFormat/>
    <w:rPr>
      <w:rFonts w:cs="Wingdings"/>
    </w:rPr>
  </w:style>
  <w:style w:type="character" w:styleId="ListLabel1670">
    <w:name w:val="ListLabel 1670"/>
    <w:qFormat/>
    <w:rPr>
      <w:rFonts w:cs="Symbol"/>
    </w:rPr>
  </w:style>
  <w:style w:type="character" w:styleId="ListLabel1671">
    <w:name w:val="ListLabel 1671"/>
    <w:qFormat/>
    <w:rPr>
      <w:rFonts w:cs="Courier New"/>
    </w:rPr>
  </w:style>
  <w:style w:type="character" w:styleId="ListLabel1672">
    <w:name w:val="ListLabel 1672"/>
    <w:qFormat/>
    <w:rPr>
      <w:rFonts w:cs="Wingdings"/>
    </w:rPr>
  </w:style>
  <w:style w:type="character" w:styleId="ListLabel1673">
    <w:name w:val="ListLabel 1673"/>
    <w:qFormat/>
    <w:rPr>
      <w:i w:val="false"/>
    </w:rPr>
  </w:style>
  <w:style w:type="character" w:styleId="ListLabel1674">
    <w:name w:val="ListLabel 1674"/>
    <w:qFormat/>
    <w:rPr>
      <w:rFonts w:cs="Symbol"/>
    </w:rPr>
  </w:style>
  <w:style w:type="character" w:styleId="ListLabel1675">
    <w:name w:val="ListLabel 1675"/>
    <w:qFormat/>
    <w:rPr>
      <w:rFonts w:cs="Courier New"/>
    </w:rPr>
  </w:style>
  <w:style w:type="character" w:styleId="ListLabel1676">
    <w:name w:val="ListLabel 1676"/>
    <w:qFormat/>
    <w:rPr>
      <w:rFonts w:cs="Wingdings"/>
    </w:rPr>
  </w:style>
  <w:style w:type="character" w:styleId="ListLabel1677">
    <w:name w:val="ListLabel 1677"/>
    <w:qFormat/>
    <w:rPr>
      <w:rFonts w:cs="Symbol"/>
    </w:rPr>
  </w:style>
  <w:style w:type="character" w:styleId="ListLabel1678">
    <w:name w:val="ListLabel 1678"/>
    <w:qFormat/>
    <w:rPr>
      <w:rFonts w:cs="Courier New"/>
    </w:rPr>
  </w:style>
  <w:style w:type="character" w:styleId="ListLabel1679">
    <w:name w:val="ListLabel 1679"/>
    <w:qFormat/>
    <w:rPr>
      <w:rFonts w:cs="Wingdings"/>
    </w:rPr>
  </w:style>
  <w:style w:type="character" w:styleId="ListLabel1680">
    <w:name w:val="ListLabel 1680"/>
    <w:qFormat/>
    <w:rPr>
      <w:rFonts w:cs="Symbol"/>
    </w:rPr>
  </w:style>
  <w:style w:type="character" w:styleId="ListLabel1681">
    <w:name w:val="ListLabel 1681"/>
    <w:qFormat/>
    <w:rPr>
      <w:rFonts w:cs="Courier New"/>
    </w:rPr>
  </w:style>
  <w:style w:type="character" w:styleId="ListLabel1682">
    <w:name w:val="ListLabel 1682"/>
    <w:qFormat/>
    <w:rPr>
      <w:rFonts w:cs="Wingdings"/>
    </w:rPr>
  </w:style>
  <w:style w:type="character" w:styleId="ListLabel1683">
    <w:name w:val="ListLabel 1683"/>
    <w:qFormat/>
    <w:rPr>
      <w:rFonts w:cs="Symbol"/>
      <w:i w:val="false"/>
    </w:rPr>
  </w:style>
  <w:style w:type="character" w:styleId="ListLabel1684">
    <w:name w:val="ListLabel 1684"/>
    <w:qFormat/>
    <w:rPr>
      <w:rFonts w:cs="Symbol"/>
    </w:rPr>
  </w:style>
  <w:style w:type="character" w:styleId="ListLabel1685">
    <w:name w:val="ListLabel 1685"/>
    <w:qFormat/>
    <w:rPr>
      <w:rFonts w:cs="Courier New"/>
    </w:rPr>
  </w:style>
  <w:style w:type="character" w:styleId="ListLabel1686">
    <w:name w:val="ListLabel 1686"/>
    <w:qFormat/>
    <w:rPr>
      <w:rFonts w:cs="Wingdings"/>
    </w:rPr>
  </w:style>
  <w:style w:type="character" w:styleId="ListLabel1687">
    <w:name w:val="ListLabel 1687"/>
    <w:qFormat/>
    <w:rPr>
      <w:rFonts w:cs="Symbol"/>
    </w:rPr>
  </w:style>
  <w:style w:type="character" w:styleId="ListLabel1688">
    <w:name w:val="ListLabel 1688"/>
    <w:qFormat/>
    <w:rPr>
      <w:rFonts w:cs="Courier New"/>
    </w:rPr>
  </w:style>
  <w:style w:type="character" w:styleId="ListLabel1689">
    <w:name w:val="ListLabel 1689"/>
    <w:qFormat/>
    <w:rPr>
      <w:rFonts w:cs="Wingdings"/>
    </w:rPr>
  </w:style>
  <w:style w:type="character" w:styleId="ListLabel1690">
    <w:name w:val="ListLabel 1690"/>
    <w:qFormat/>
    <w:rPr>
      <w:rFonts w:cs="Symbol"/>
    </w:rPr>
  </w:style>
  <w:style w:type="character" w:styleId="ListLabel1691">
    <w:name w:val="ListLabel 1691"/>
    <w:qFormat/>
    <w:rPr>
      <w:rFonts w:cs="Courier New"/>
    </w:rPr>
  </w:style>
  <w:style w:type="character" w:styleId="ListLabel1692">
    <w:name w:val="ListLabel 1692"/>
    <w:qFormat/>
    <w:rPr>
      <w:rFonts w:cs="Wingdings"/>
    </w:rPr>
  </w:style>
  <w:style w:type="character" w:styleId="ListLabel1693">
    <w:name w:val="ListLabel 1693"/>
    <w:qFormat/>
    <w:rPr>
      <w:color w:val="FFFFFF"/>
    </w:rPr>
  </w:style>
  <w:style w:type="character" w:styleId="ListLabel1694">
    <w:name w:val="ListLabel 1694"/>
    <w:qFormat/>
    <w:rPr>
      <w:rFonts w:cs="Symbol"/>
    </w:rPr>
  </w:style>
  <w:style w:type="character" w:styleId="ListLabel1695">
    <w:name w:val="ListLabel 1695"/>
    <w:qFormat/>
    <w:rPr>
      <w:rFonts w:cs="Courier New"/>
    </w:rPr>
  </w:style>
  <w:style w:type="character" w:styleId="ListLabel1696">
    <w:name w:val="ListLabel 1696"/>
    <w:qFormat/>
    <w:rPr>
      <w:rFonts w:cs="Wingdings"/>
    </w:rPr>
  </w:style>
  <w:style w:type="character" w:styleId="ListLabel1697">
    <w:name w:val="ListLabel 1697"/>
    <w:qFormat/>
    <w:rPr>
      <w:rFonts w:cs="Symbol"/>
    </w:rPr>
  </w:style>
  <w:style w:type="character" w:styleId="ListLabel1698">
    <w:name w:val="ListLabel 1698"/>
    <w:qFormat/>
    <w:rPr>
      <w:rFonts w:cs="Courier New"/>
    </w:rPr>
  </w:style>
  <w:style w:type="character" w:styleId="ListLabel1699">
    <w:name w:val="ListLabel 1699"/>
    <w:qFormat/>
    <w:rPr>
      <w:rFonts w:cs="Wingdings"/>
    </w:rPr>
  </w:style>
  <w:style w:type="character" w:styleId="ListLabel1700">
    <w:name w:val="ListLabel 1700"/>
    <w:qFormat/>
    <w:rPr>
      <w:rFonts w:cs="Symbol"/>
    </w:rPr>
  </w:style>
  <w:style w:type="character" w:styleId="ListLabel1701">
    <w:name w:val="ListLabel 1701"/>
    <w:qFormat/>
    <w:rPr>
      <w:rFonts w:cs="Courier New"/>
    </w:rPr>
  </w:style>
  <w:style w:type="character" w:styleId="ListLabel1702">
    <w:name w:val="ListLabel 1702"/>
    <w:qFormat/>
    <w:rPr>
      <w:rFonts w:cs="Wingdings"/>
    </w:rPr>
  </w:style>
  <w:style w:type="character" w:styleId="ListLabel1703">
    <w:name w:val="ListLabel 1703"/>
    <w:qFormat/>
    <w:rPr>
      <w:rFonts w:cs="Symbol"/>
    </w:rPr>
  </w:style>
  <w:style w:type="character" w:styleId="ListLabel1704">
    <w:name w:val="ListLabel 1704"/>
    <w:qFormat/>
    <w:rPr>
      <w:rFonts w:cs="Courier New"/>
    </w:rPr>
  </w:style>
  <w:style w:type="character" w:styleId="ListLabel1705">
    <w:name w:val="ListLabel 1705"/>
    <w:qFormat/>
    <w:rPr>
      <w:rFonts w:cs="Wingdings"/>
    </w:rPr>
  </w:style>
  <w:style w:type="character" w:styleId="ListLabel1706">
    <w:name w:val="ListLabel 1706"/>
    <w:qFormat/>
    <w:rPr>
      <w:rFonts w:cs="Symbol"/>
    </w:rPr>
  </w:style>
  <w:style w:type="character" w:styleId="ListLabel1707">
    <w:name w:val="ListLabel 1707"/>
    <w:qFormat/>
    <w:rPr>
      <w:rFonts w:cs="Courier New"/>
    </w:rPr>
  </w:style>
  <w:style w:type="character" w:styleId="ListLabel1708">
    <w:name w:val="ListLabel 1708"/>
    <w:qFormat/>
    <w:rPr>
      <w:rFonts w:cs="Wingdings"/>
    </w:rPr>
  </w:style>
  <w:style w:type="character" w:styleId="ListLabel1709">
    <w:name w:val="ListLabel 1709"/>
    <w:qFormat/>
    <w:rPr>
      <w:rFonts w:cs="Symbol"/>
    </w:rPr>
  </w:style>
  <w:style w:type="character" w:styleId="ListLabel1710">
    <w:name w:val="ListLabel 1710"/>
    <w:qFormat/>
    <w:rPr>
      <w:rFonts w:cs="Courier New"/>
    </w:rPr>
  </w:style>
  <w:style w:type="character" w:styleId="ListLabel1711">
    <w:name w:val="ListLabel 1711"/>
    <w:qFormat/>
    <w:rPr>
      <w:rFonts w:cs="Wingdings"/>
    </w:rPr>
  </w:style>
  <w:style w:type="character" w:styleId="ListLabel1712">
    <w:name w:val="ListLabel 1712"/>
    <w:qFormat/>
    <w:rPr>
      <w:rFonts w:cs="Symbol"/>
      <w:sz w:val="21"/>
    </w:rPr>
  </w:style>
  <w:style w:type="character" w:styleId="ListLabel1713">
    <w:name w:val="ListLabel 1713"/>
    <w:qFormat/>
    <w:rPr>
      <w:rFonts w:cs="Courier New"/>
    </w:rPr>
  </w:style>
  <w:style w:type="character" w:styleId="ListLabel1714">
    <w:name w:val="ListLabel 1714"/>
    <w:qFormat/>
    <w:rPr>
      <w:rFonts w:cs="Wingdings"/>
    </w:rPr>
  </w:style>
  <w:style w:type="character" w:styleId="ListLabel1715">
    <w:name w:val="ListLabel 1715"/>
    <w:qFormat/>
    <w:rPr>
      <w:rFonts w:cs="Symbol"/>
    </w:rPr>
  </w:style>
  <w:style w:type="character" w:styleId="ListLabel1716">
    <w:name w:val="ListLabel 1716"/>
    <w:qFormat/>
    <w:rPr>
      <w:rFonts w:cs="Courier New"/>
    </w:rPr>
  </w:style>
  <w:style w:type="character" w:styleId="ListLabel1717">
    <w:name w:val="ListLabel 1717"/>
    <w:qFormat/>
    <w:rPr>
      <w:rFonts w:cs="Wingdings"/>
    </w:rPr>
  </w:style>
  <w:style w:type="character" w:styleId="ListLabel1718">
    <w:name w:val="ListLabel 1718"/>
    <w:qFormat/>
    <w:rPr>
      <w:rFonts w:cs="Symbol"/>
    </w:rPr>
  </w:style>
  <w:style w:type="character" w:styleId="ListLabel1719">
    <w:name w:val="ListLabel 1719"/>
    <w:qFormat/>
    <w:rPr>
      <w:rFonts w:cs="Courier New"/>
    </w:rPr>
  </w:style>
  <w:style w:type="character" w:styleId="ListLabel1720">
    <w:name w:val="ListLabel 1720"/>
    <w:qFormat/>
    <w:rPr>
      <w:rFonts w:cs="Wingdings"/>
    </w:rPr>
  </w:style>
  <w:style w:type="character" w:styleId="ListLabel1721">
    <w:name w:val="ListLabel 1721"/>
    <w:qFormat/>
    <w:rPr>
      <w:rFonts w:cs="Courier New"/>
    </w:rPr>
  </w:style>
  <w:style w:type="character" w:styleId="ListLabel1722">
    <w:name w:val="ListLabel 1722"/>
    <w:qFormat/>
    <w:rPr>
      <w:rFonts w:cs="Courier New"/>
    </w:rPr>
  </w:style>
  <w:style w:type="character" w:styleId="ListLabel1723">
    <w:name w:val="ListLabel 1723"/>
    <w:qFormat/>
    <w:rPr>
      <w:rFonts w:cs="Wingdings"/>
    </w:rPr>
  </w:style>
  <w:style w:type="character" w:styleId="ListLabel1724">
    <w:name w:val="ListLabel 1724"/>
    <w:qFormat/>
    <w:rPr>
      <w:rFonts w:cs="Symbol"/>
    </w:rPr>
  </w:style>
  <w:style w:type="character" w:styleId="ListLabel1725">
    <w:name w:val="ListLabel 1725"/>
    <w:qFormat/>
    <w:rPr>
      <w:rFonts w:cs="Courier New"/>
    </w:rPr>
  </w:style>
  <w:style w:type="character" w:styleId="ListLabel1726">
    <w:name w:val="ListLabel 1726"/>
    <w:qFormat/>
    <w:rPr>
      <w:rFonts w:cs="Wingdings"/>
    </w:rPr>
  </w:style>
  <w:style w:type="character" w:styleId="ListLabel1727">
    <w:name w:val="ListLabel 1727"/>
    <w:qFormat/>
    <w:rPr>
      <w:rFonts w:cs="Symbol"/>
    </w:rPr>
  </w:style>
  <w:style w:type="character" w:styleId="ListLabel1728">
    <w:name w:val="ListLabel 1728"/>
    <w:qFormat/>
    <w:rPr>
      <w:rFonts w:cs="Courier New"/>
    </w:rPr>
  </w:style>
  <w:style w:type="character" w:styleId="ListLabel1729">
    <w:name w:val="ListLabel 1729"/>
    <w:qFormat/>
    <w:rPr>
      <w:rFonts w:cs="Wingdings"/>
    </w:rPr>
  </w:style>
  <w:style w:type="character" w:styleId="ListLabel1730">
    <w:name w:val="ListLabel 1730"/>
    <w:qFormat/>
    <w:rPr>
      <w:rFonts w:cs="Symbol"/>
    </w:rPr>
  </w:style>
  <w:style w:type="character" w:styleId="ListLabel1731">
    <w:name w:val="ListLabel 1731"/>
    <w:qFormat/>
    <w:rPr>
      <w:rFonts w:cs="Courier New"/>
    </w:rPr>
  </w:style>
  <w:style w:type="character" w:styleId="ListLabel1732">
    <w:name w:val="ListLabel 1732"/>
    <w:qFormat/>
    <w:rPr>
      <w:rFonts w:cs="Wingdings"/>
    </w:rPr>
  </w:style>
  <w:style w:type="character" w:styleId="ListLabel1733">
    <w:name w:val="ListLabel 1733"/>
    <w:qFormat/>
    <w:rPr>
      <w:rFonts w:cs="Symbol"/>
    </w:rPr>
  </w:style>
  <w:style w:type="character" w:styleId="ListLabel1734">
    <w:name w:val="ListLabel 1734"/>
    <w:qFormat/>
    <w:rPr>
      <w:rFonts w:cs="Courier New"/>
    </w:rPr>
  </w:style>
  <w:style w:type="character" w:styleId="ListLabel1735">
    <w:name w:val="ListLabel 1735"/>
    <w:qFormat/>
    <w:rPr>
      <w:rFonts w:cs="Wingdings"/>
    </w:rPr>
  </w:style>
  <w:style w:type="character" w:styleId="ListLabel1736">
    <w:name w:val="ListLabel 1736"/>
    <w:qFormat/>
    <w:rPr>
      <w:rFonts w:cs="Symbol"/>
    </w:rPr>
  </w:style>
  <w:style w:type="character" w:styleId="ListLabel1737">
    <w:name w:val="ListLabel 1737"/>
    <w:qFormat/>
    <w:rPr>
      <w:rFonts w:cs="Courier New"/>
    </w:rPr>
  </w:style>
  <w:style w:type="character" w:styleId="ListLabel1738">
    <w:name w:val="ListLabel 1738"/>
    <w:qFormat/>
    <w:rPr>
      <w:rFonts w:cs="Wingdings"/>
    </w:rPr>
  </w:style>
  <w:style w:type="character" w:styleId="ListLabel1739">
    <w:name w:val="ListLabel 1739"/>
    <w:qFormat/>
    <w:rPr>
      <w:rFonts w:cs="Symbol"/>
    </w:rPr>
  </w:style>
  <w:style w:type="character" w:styleId="ListLabel1740">
    <w:name w:val="ListLabel 1740"/>
    <w:qFormat/>
    <w:rPr>
      <w:rFonts w:cs="Courier New"/>
    </w:rPr>
  </w:style>
  <w:style w:type="character" w:styleId="ListLabel1741">
    <w:name w:val="ListLabel 1741"/>
    <w:qFormat/>
    <w:rPr>
      <w:rFonts w:cs="Wingdings"/>
    </w:rPr>
  </w:style>
  <w:style w:type="character" w:styleId="ListLabel1742">
    <w:name w:val="ListLabel 1742"/>
    <w:qFormat/>
    <w:rPr>
      <w:rFonts w:cs="Symbol"/>
    </w:rPr>
  </w:style>
  <w:style w:type="character" w:styleId="ListLabel1743">
    <w:name w:val="ListLabel 1743"/>
    <w:qFormat/>
    <w:rPr>
      <w:rFonts w:cs="Courier New"/>
    </w:rPr>
  </w:style>
  <w:style w:type="character" w:styleId="ListLabel1744">
    <w:name w:val="ListLabel 1744"/>
    <w:qFormat/>
    <w:rPr>
      <w:rFonts w:cs="Wingdings"/>
    </w:rPr>
  </w:style>
  <w:style w:type="character" w:styleId="ListLabel1745">
    <w:name w:val="ListLabel 1745"/>
    <w:qFormat/>
    <w:rPr>
      <w:rFonts w:cs="Symbol"/>
    </w:rPr>
  </w:style>
  <w:style w:type="character" w:styleId="ListLabel1746">
    <w:name w:val="ListLabel 1746"/>
    <w:qFormat/>
    <w:rPr>
      <w:rFonts w:cs="Courier New"/>
    </w:rPr>
  </w:style>
  <w:style w:type="character" w:styleId="ListLabel1747">
    <w:name w:val="ListLabel 1747"/>
    <w:qFormat/>
    <w:rPr>
      <w:rFonts w:cs="Wingdings"/>
    </w:rPr>
  </w:style>
  <w:style w:type="character" w:styleId="ListLabel1748">
    <w:name w:val="ListLabel 1748"/>
    <w:qFormat/>
    <w:rPr>
      <w:rFonts w:cs="Symbol"/>
    </w:rPr>
  </w:style>
  <w:style w:type="character" w:styleId="ListLabel1749">
    <w:name w:val="ListLabel 1749"/>
    <w:qFormat/>
    <w:rPr>
      <w:rFonts w:cs="Courier New"/>
    </w:rPr>
  </w:style>
  <w:style w:type="character" w:styleId="ListLabel1750">
    <w:name w:val="ListLabel 1750"/>
    <w:qFormat/>
    <w:rPr>
      <w:rFonts w:cs="Wingdings"/>
    </w:rPr>
  </w:style>
  <w:style w:type="character" w:styleId="ListLabel1751">
    <w:name w:val="ListLabel 1751"/>
    <w:qFormat/>
    <w:rPr>
      <w:rFonts w:cs="Symbol"/>
    </w:rPr>
  </w:style>
  <w:style w:type="character" w:styleId="ListLabel1752">
    <w:name w:val="ListLabel 1752"/>
    <w:qFormat/>
    <w:rPr>
      <w:rFonts w:cs="Courier New"/>
    </w:rPr>
  </w:style>
  <w:style w:type="character" w:styleId="ListLabel1753">
    <w:name w:val="ListLabel 1753"/>
    <w:qFormat/>
    <w:rPr>
      <w:rFonts w:cs="Wingdings"/>
    </w:rPr>
  </w:style>
  <w:style w:type="character" w:styleId="ListLabel1754">
    <w:name w:val="ListLabel 1754"/>
    <w:qFormat/>
    <w:rPr>
      <w:rFonts w:cs="Symbol"/>
    </w:rPr>
  </w:style>
  <w:style w:type="character" w:styleId="ListLabel1755">
    <w:name w:val="ListLabel 1755"/>
    <w:qFormat/>
    <w:rPr>
      <w:rFonts w:cs="Courier New"/>
    </w:rPr>
  </w:style>
  <w:style w:type="character" w:styleId="ListLabel1756">
    <w:name w:val="ListLabel 1756"/>
    <w:qFormat/>
    <w:rPr>
      <w:rFonts w:cs="Wingdings"/>
    </w:rPr>
  </w:style>
  <w:style w:type="paragraph" w:styleId="Heading" w:customStyle="1">
    <w:name w:val="Heading"/>
    <w:basedOn w:val="Normal"/>
    <w:next w:val="Normal"/>
    <w:qFormat/>
    <w:pPr>
      <w:spacing w:lineRule="auto" w:line="240" w:before="80" w:after="300"/>
    </w:pPr>
    <w:rPr>
      <w:rFonts w:ascii="Cambria" w:hAnsi="Cambria" w:eastAsia="MS Gothic" w:cs="Times New Roman"/>
      <w:spacing w:val="5"/>
      <w:sz w:val="52"/>
      <w:szCs w:val="52"/>
    </w:rPr>
  </w:style>
  <w:style w:type="paragraph" w:styleId="TextBody">
    <w:name w:val="Body Text"/>
    <w:basedOn w:val="Normal"/>
    <w:link w:val="TextoindependienteCar"/>
    <w:pPr>
      <w:overflowPunct w:val="true"/>
      <w:spacing w:lineRule="auto" w:line="276"/>
      <w:jc w:val="left"/>
      <w:textAlignment w:val="auto"/>
    </w:pPr>
    <w:rPr>
      <w:rFonts w:ascii="Calibri" w:hAnsi="Calibri" w:eastAsia="Calibri" w:cs="Calibri"/>
      <w:bCs w:val="false"/>
    </w:rPr>
  </w:style>
  <w:style w:type="paragraph" w:styleId="List">
    <w:name w:val="List"/>
    <w:basedOn w:val="TextBody"/>
    <w:pPr/>
    <w:rPr>
      <w:rFonts w:cs="Lohit Hindi"/>
    </w:rPr>
  </w:style>
  <w:style w:type="paragraph" w:styleId="Caption">
    <w:name w:val="Caption"/>
    <w:basedOn w:val="Normal"/>
    <w:qFormat/>
    <w:pPr>
      <w:suppressLineNumbers/>
      <w:spacing w:before="120" w:after="120"/>
    </w:pPr>
    <w:rPr>
      <w:rFonts w:cs="FreeSans"/>
      <w:i/>
      <w:iCs/>
      <w:sz w:val="24"/>
      <w:szCs w:val="24"/>
    </w:rPr>
  </w:style>
  <w:style w:type="paragraph" w:styleId="Index" w:customStyle="1">
    <w:name w:val="Index"/>
    <w:basedOn w:val="Normal"/>
    <w:qFormat/>
    <w:pPr>
      <w:suppressLineNumbers/>
    </w:pPr>
    <w:rPr>
      <w:rFonts w:cs="Lohit Hindi"/>
    </w:rPr>
  </w:style>
  <w:style w:type="paragraph" w:styleId="Caption1">
    <w:name w:val="caption"/>
    <w:basedOn w:val="Normal"/>
    <w:next w:val="Normal"/>
    <w:link w:val="DescripcinCar"/>
    <w:uiPriority w:val="35"/>
    <w:qFormat/>
    <w:rsid w:val="00707ff6"/>
    <w:pPr>
      <w:overflowPunct w:val="true"/>
      <w:spacing w:before="0" w:after="60"/>
      <w:ind w:left="170" w:hanging="170"/>
      <w:jc w:val="center"/>
      <w:textAlignment w:val="auto"/>
    </w:pPr>
    <w:rPr>
      <w:rFonts w:cs="Verdana"/>
      <w:sz w:val="20"/>
    </w:rPr>
  </w:style>
  <w:style w:type="paragraph" w:styleId="Encabezado1" w:customStyle="1">
    <w:name w:val="Encabezado1"/>
    <w:basedOn w:val="Normal"/>
    <w:qFormat/>
    <w:pPr>
      <w:keepNext/>
      <w:spacing w:before="240" w:after="60"/>
    </w:pPr>
    <w:rPr>
      <w:rFonts w:ascii="Liberation Sans" w:hAnsi="Liberation Sans" w:eastAsia="Droid Sans Fallback" w:cs="FreeSans"/>
      <w:sz w:val="28"/>
      <w:szCs w:val="28"/>
    </w:rPr>
  </w:style>
  <w:style w:type="paragraph" w:styleId="Pie" w:customStyle="1">
    <w:name w:val="Pie"/>
    <w:basedOn w:val="Normal"/>
    <w:qFormat/>
    <w:pPr>
      <w:suppressLineNumbers/>
    </w:pPr>
    <w:rPr>
      <w:rFonts w:cs="FreeSans"/>
      <w:i/>
      <w:iCs/>
      <w:szCs w:val="24"/>
    </w:rPr>
  </w:style>
  <w:style w:type="paragraph" w:styleId="Ndice" w:customStyle="1">
    <w:name w:val="Índice"/>
    <w:basedOn w:val="Normal"/>
    <w:qFormat/>
    <w:pPr>
      <w:suppressLineNumbers/>
    </w:pPr>
    <w:rPr>
      <w:rFonts w:cs="FreeSans"/>
    </w:rPr>
  </w:style>
  <w:style w:type="paragraph" w:styleId="ListParagraph">
    <w:name w:val="List Paragraph"/>
    <w:basedOn w:val="Normal"/>
    <w:link w:val="PrrafodelistaCar"/>
    <w:uiPriority w:val="34"/>
    <w:qFormat/>
    <w:pPr>
      <w:spacing w:before="80" w:after="85"/>
      <w:ind w:left="720" w:hanging="0"/>
    </w:pPr>
    <w:rPr>
      <w:rFonts w:cs="Times New Roman"/>
      <w:lang w:val="x-none"/>
    </w:rPr>
  </w:style>
  <w:style w:type="paragraph" w:styleId="Titulo2" w:customStyle="1">
    <w:name w:val="Titulo 2"/>
    <w:basedOn w:val="ListParagraph"/>
    <w:qFormat/>
    <w:pPr/>
    <w:rPr>
      <w:b/>
      <w:sz w:val="28"/>
      <w:szCs w:val="28"/>
    </w:rPr>
  </w:style>
  <w:style w:type="paragraph" w:styleId="Titulo3" w:customStyle="1">
    <w:name w:val="Titulo 3"/>
    <w:basedOn w:val="Titulo2"/>
    <w:qFormat/>
    <w:pPr>
      <w:spacing w:lineRule="auto" w:line="288" w:before="80" w:after="120"/>
    </w:pPr>
    <w:rPr>
      <w:sz w:val="24"/>
      <w:szCs w:val="24"/>
    </w:rPr>
  </w:style>
  <w:style w:type="paragraph" w:styleId="Titulo4" w:customStyle="1">
    <w:name w:val="Titulo 4"/>
    <w:basedOn w:val="Titulo3"/>
    <w:qFormat/>
    <w:pPr/>
    <w:rPr>
      <w:sz w:val="22"/>
      <w:szCs w:val="22"/>
    </w:rPr>
  </w:style>
  <w:style w:type="paragraph" w:styleId="Contents1">
    <w:name w:val="TOC 1"/>
    <w:basedOn w:val="Normal"/>
    <w:next w:val="Normal"/>
    <w:uiPriority w:val="39"/>
    <w:qFormat/>
    <w:pPr>
      <w:jc w:val="left"/>
    </w:pPr>
    <w:rPr>
      <w:rFonts w:ascii="Calibri" w:hAnsi="Calibri"/>
      <w:b/>
      <w:caps/>
      <w:sz w:val="20"/>
      <w:szCs w:val="20"/>
    </w:rPr>
  </w:style>
  <w:style w:type="paragraph" w:styleId="Contents2">
    <w:name w:val="TOC 2"/>
    <w:basedOn w:val="Normal"/>
    <w:next w:val="Normal"/>
    <w:uiPriority w:val="39"/>
    <w:qFormat/>
    <w:rsid w:val="004c7ff1"/>
    <w:pPr>
      <w:spacing w:before="80" w:after="0"/>
      <w:ind w:left="220" w:hanging="0"/>
      <w:jc w:val="left"/>
    </w:pPr>
    <w:rPr>
      <w:rFonts w:ascii="Calibri" w:hAnsi="Calibri"/>
      <w:bCs w:val="false"/>
      <w:smallCaps/>
      <w:sz w:val="20"/>
      <w:szCs w:val="20"/>
    </w:rPr>
  </w:style>
  <w:style w:type="paragraph" w:styleId="Contents3">
    <w:name w:val="TOC 3"/>
    <w:basedOn w:val="Normal"/>
    <w:next w:val="Normal"/>
    <w:uiPriority w:val="39"/>
    <w:qFormat/>
    <w:rsid w:val="004c7ff1"/>
    <w:pPr>
      <w:spacing w:before="80" w:after="0"/>
      <w:ind w:left="440" w:hanging="0"/>
      <w:jc w:val="left"/>
    </w:pPr>
    <w:rPr>
      <w:rFonts w:ascii="Calibri" w:hAnsi="Calibri"/>
      <w:bCs w:val="false"/>
      <w:i/>
      <w:iCs/>
      <w:sz w:val="20"/>
      <w:szCs w:val="20"/>
    </w:rPr>
  </w:style>
  <w:style w:type="paragraph" w:styleId="Contents4">
    <w:name w:val="TOC 4"/>
    <w:basedOn w:val="Normal"/>
    <w:next w:val="Normal"/>
    <w:uiPriority w:val="39"/>
    <w:pPr>
      <w:spacing w:before="80" w:after="0"/>
      <w:ind w:left="660" w:hanging="0"/>
      <w:jc w:val="left"/>
    </w:pPr>
    <w:rPr>
      <w:rFonts w:ascii="Calibri" w:hAnsi="Calibri"/>
      <w:bCs w:val="false"/>
      <w:sz w:val="18"/>
      <w:szCs w:val="18"/>
    </w:rPr>
  </w:style>
  <w:style w:type="paragraph" w:styleId="Contents5">
    <w:name w:val="TOC 5"/>
    <w:basedOn w:val="Normal"/>
    <w:next w:val="Normal"/>
    <w:uiPriority w:val="39"/>
    <w:pPr>
      <w:spacing w:before="80" w:after="0"/>
      <w:ind w:left="880" w:hanging="0"/>
      <w:jc w:val="left"/>
    </w:pPr>
    <w:rPr>
      <w:rFonts w:ascii="Calibri" w:hAnsi="Calibri"/>
      <w:bCs w:val="false"/>
      <w:sz w:val="18"/>
      <w:szCs w:val="18"/>
    </w:rPr>
  </w:style>
  <w:style w:type="paragraph" w:styleId="Contents6">
    <w:name w:val="TOC 6"/>
    <w:basedOn w:val="Normal"/>
    <w:next w:val="Normal"/>
    <w:uiPriority w:val="39"/>
    <w:pPr>
      <w:spacing w:before="80" w:after="0"/>
      <w:ind w:left="1100" w:hanging="0"/>
      <w:jc w:val="left"/>
    </w:pPr>
    <w:rPr>
      <w:rFonts w:ascii="Calibri" w:hAnsi="Calibri"/>
      <w:bCs w:val="false"/>
      <w:sz w:val="18"/>
      <w:szCs w:val="18"/>
    </w:rPr>
  </w:style>
  <w:style w:type="paragraph" w:styleId="Contents7">
    <w:name w:val="TOC 7"/>
    <w:basedOn w:val="Normal"/>
    <w:next w:val="Normal"/>
    <w:uiPriority w:val="39"/>
    <w:pPr>
      <w:spacing w:before="80" w:after="0"/>
      <w:ind w:left="1320" w:hanging="0"/>
      <w:jc w:val="left"/>
    </w:pPr>
    <w:rPr>
      <w:rFonts w:ascii="Calibri" w:hAnsi="Calibri"/>
      <w:bCs w:val="false"/>
      <w:sz w:val="18"/>
      <w:szCs w:val="18"/>
    </w:rPr>
  </w:style>
  <w:style w:type="paragraph" w:styleId="Contents8">
    <w:name w:val="TOC 8"/>
    <w:basedOn w:val="Normal"/>
    <w:next w:val="Normal"/>
    <w:uiPriority w:val="39"/>
    <w:pPr>
      <w:spacing w:before="80" w:after="0"/>
      <w:ind w:left="1540" w:hanging="0"/>
      <w:jc w:val="left"/>
    </w:pPr>
    <w:rPr>
      <w:rFonts w:ascii="Calibri" w:hAnsi="Calibri"/>
      <w:bCs w:val="false"/>
      <w:sz w:val="18"/>
      <w:szCs w:val="18"/>
    </w:rPr>
  </w:style>
  <w:style w:type="paragraph" w:styleId="Contents9">
    <w:name w:val="TOC 9"/>
    <w:basedOn w:val="Normal"/>
    <w:next w:val="Normal"/>
    <w:uiPriority w:val="39"/>
    <w:pPr>
      <w:spacing w:before="80" w:after="0"/>
      <w:ind w:left="1760" w:hanging="0"/>
      <w:jc w:val="left"/>
    </w:pPr>
    <w:rPr>
      <w:rFonts w:ascii="Calibri" w:hAnsi="Calibri"/>
      <w:bCs w:val="false"/>
      <w:sz w:val="18"/>
      <w:szCs w:val="18"/>
    </w:rPr>
  </w:style>
  <w:style w:type="paragraph" w:styleId="DocumentMap">
    <w:name w:val="Document Map"/>
    <w:basedOn w:val="Normal"/>
    <w:qFormat/>
    <w:pPr>
      <w:spacing w:lineRule="auto" w:line="240" w:before="80" w:after="0"/>
    </w:pPr>
    <w:rPr>
      <w:rFonts w:ascii="Tahoma" w:hAnsi="Tahoma" w:cs="Tahoma"/>
      <w:sz w:val="16"/>
      <w:szCs w:val="16"/>
    </w:rPr>
  </w:style>
  <w:style w:type="paragraph" w:styleId="Contents10" w:customStyle="1">
    <w:name w:val="Contents 10"/>
    <w:basedOn w:val="Index"/>
    <w:qFormat/>
    <w:pPr>
      <w:tabs>
        <w:tab w:val="right" w:pos="7425" w:leader="dot"/>
      </w:tabs>
      <w:ind w:left="2547" w:hanging="0"/>
    </w:pPr>
    <w:rPr/>
  </w:style>
  <w:style w:type="paragraph" w:styleId="TableContents" w:customStyle="1">
    <w:name w:val="Table Contents"/>
    <w:basedOn w:val="Normal"/>
    <w:qFormat/>
    <w:pPr>
      <w:suppressLineNumbers/>
    </w:pPr>
    <w:rPr/>
  </w:style>
  <w:style w:type="paragraph" w:styleId="TableHeading" w:customStyle="1">
    <w:name w:val="Table Heading"/>
    <w:basedOn w:val="TableContents"/>
    <w:qFormat/>
    <w:pPr>
      <w:jc w:val="center"/>
    </w:pPr>
    <w:rPr>
      <w:b/>
    </w:rPr>
  </w:style>
  <w:style w:type="paragraph" w:styleId="TextBodyIndent">
    <w:name w:val="Body Text Indent"/>
    <w:basedOn w:val="Normal"/>
    <w:pPr>
      <w:ind w:firstLine="540"/>
    </w:pPr>
    <w:rPr/>
  </w:style>
  <w:style w:type="paragraph" w:styleId="Bibliografa1" w:customStyle="1">
    <w:name w:val="Bibliografía1"/>
    <w:basedOn w:val="Normal"/>
    <w:next w:val="Normal"/>
    <w:qFormat/>
    <w:pPr/>
    <w:rPr/>
  </w:style>
  <w:style w:type="paragraph" w:styleId="Textocomentario1" w:customStyle="1">
    <w:name w:val="Texto comentario1"/>
    <w:basedOn w:val="Normal"/>
    <w:qFormat/>
    <w:pPr/>
    <w:rPr>
      <w:sz w:val="20"/>
      <w:szCs w:val="20"/>
    </w:rPr>
  </w:style>
  <w:style w:type="paragraph" w:styleId="Asuntodelcomentario1" w:customStyle="1">
    <w:name w:val="Asunto del comentario1"/>
    <w:basedOn w:val="Textocomentario1"/>
    <w:qFormat/>
    <w:pPr/>
    <w:rPr>
      <w:b/>
    </w:rPr>
  </w:style>
  <w:style w:type="paragraph" w:styleId="Textodeglobo1" w:customStyle="1">
    <w:name w:val="Texto de globo1"/>
    <w:basedOn w:val="Normal"/>
    <w:qFormat/>
    <w:pPr>
      <w:spacing w:lineRule="auto" w:line="240" w:before="80" w:after="0"/>
    </w:pPr>
    <w:rPr>
      <w:rFonts w:ascii="Tahoma" w:hAnsi="Tahoma" w:cs="Tahoma"/>
      <w:sz w:val="16"/>
      <w:szCs w:val="16"/>
    </w:rPr>
  </w:style>
  <w:style w:type="paragraph" w:styleId="Prrafodelista1" w:customStyle="1">
    <w:name w:val="Párrafo de lista1"/>
    <w:basedOn w:val="Normal"/>
    <w:qFormat/>
    <w:pPr>
      <w:ind w:left="720" w:hanging="0"/>
    </w:pPr>
    <w:rPr/>
  </w:style>
  <w:style w:type="paragraph" w:styleId="Epgrafe" w:customStyle="1">
    <w:name w:val="Epígrafe"/>
    <w:basedOn w:val="Normal"/>
    <w:next w:val="Normal"/>
    <w:qFormat/>
    <w:pPr>
      <w:suppressAutoHyphens w:val="false"/>
      <w:overflowPunct w:val="true"/>
      <w:spacing w:lineRule="auto" w:line="288"/>
      <w:textAlignment w:val="auto"/>
    </w:pPr>
    <w:rPr>
      <w:rFonts w:eastAsia="Calibri" w:cs="Times New Roman"/>
      <w:b/>
      <w:sz w:val="20"/>
      <w:szCs w:val="20"/>
      <w:lang w:val="en-US"/>
    </w:rPr>
  </w:style>
  <w:style w:type="paragraph" w:styleId="TDoctNormalCharCharCharCharCharCharCharCharCharCharCharCharCharChar" w:customStyle="1">
    <w:name w:val="TDoctNormal Char Char Char Char Char Char Char Char Char Char Char Char Char Char"/>
    <w:basedOn w:val="Normal"/>
    <w:qFormat/>
    <w:pPr>
      <w:suppressAutoHyphens w:val="false"/>
      <w:spacing w:lineRule="auto" w:line="288"/>
    </w:pPr>
    <w:rPr>
      <w:rFonts w:eastAsia="SimSun" w:cs="Times New Roman"/>
      <w:bCs w:val="false"/>
    </w:rPr>
  </w:style>
  <w:style w:type="paragraph" w:styleId="Predeterminado" w:customStyle="1">
    <w:name w:val="Predeterminado"/>
    <w:qFormat/>
    <w:pPr>
      <w:widowControl w:val="false"/>
      <w:suppressAutoHyphens w:val="true"/>
      <w:bidi w:val="0"/>
      <w:jc w:val="left"/>
    </w:pPr>
    <w:rPr>
      <w:rFonts w:ascii="Times New Roman" w:hAnsi="Times New Roman" w:eastAsia="游明朝" w:cs="Times New Roman"/>
      <w:color w:val="00000A"/>
      <w:sz w:val="24"/>
      <w:szCs w:val="24"/>
      <w:lang w:val="es-CO" w:eastAsia="zh-CN" w:bidi="ar-SA"/>
    </w:rPr>
  </w:style>
  <w:style w:type="paragraph" w:styleId="Default" w:customStyle="1">
    <w:name w:val="Default"/>
    <w:qFormat/>
    <w:pPr>
      <w:widowControl/>
      <w:suppressAutoHyphens w:val="true"/>
      <w:bidi w:val="0"/>
      <w:jc w:val="left"/>
    </w:pPr>
    <w:rPr>
      <w:rFonts w:eastAsia="Yu Mincho" w:ascii="Times New Roman" w:hAnsi="Times New Roman" w:cs="Times New Roman"/>
      <w:color w:val="000000"/>
      <w:sz w:val="24"/>
      <w:szCs w:val="24"/>
      <w:lang w:eastAsia="zh-CN" w:val="en-US" w:bidi="ar-SA"/>
    </w:rPr>
  </w:style>
  <w:style w:type="paragraph" w:styleId="Ndice10" w:customStyle="1">
    <w:name w:val="Índice 10"/>
    <w:basedOn w:val="Ndice"/>
    <w:qFormat/>
    <w:pPr>
      <w:tabs>
        <w:tab w:val="right" w:pos="7091" w:leader="dot"/>
      </w:tabs>
      <w:ind w:left="2547" w:hanging="0"/>
    </w:pPr>
    <w:rPr/>
  </w:style>
  <w:style w:type="paragraph" w:styleId="Contenidodelatabla" w:customStyle="1">
    <w:name w:val="Contenido de la tabla"/>
    <w:basedOn w:val="Normal"/>
    <w:qFormat/>
    <w:pPr>
      <w:suppressLineNumbers/>
    </w:pPr>
    <w:rPr/>
  </w:style>
  <w:style w:type="paragraph" w:styleId="Encabezadodelatabla" w:customStyle="1">
    <w:name w:val="Encabezado de la tabla"/>
    <w:basedOn w:val="Contenidodelatabla"/>
    <w:qFormat/>
    <w:pPr>
      <w:jc w:val="center"/>
    </w:pPr>
    <w:rPr>
      <w:b/>
    </w:rPr>
  </w:style>
  <w:style w:type="paragraph" w:styleId="Cita1" w:customStyle="1">
    <w:name w:val="Cita1"/>
    <w:basedOn w:val="Normal"/>
    <w:qFormat/>
    <w:pPr>
      <w:spacing w:before="80" w:after="283"/>
      <w:ind w:left="567" w:right="567" w:hanging="0"/>
    </w:pPr>
    <w:rPr/>
  </w:style>
  <w:style w:type="paragraph" w:styleId="Ttulo1" w:customStyle="1">
    <w:name w:val="Título1"/>
    <w:basedOn w:val="Encabezado1"/>
    <w:qFormat/>
    <w:pPr>
      <w:jc w:val="center"/>
    </w:pPr>
    <w:rPr>
      <w:b/>
      <w:sz w:val="56"/>
      <w:szCs w:val="56"/>
    </w:rPr>
  </w:style>
  <w:style w:type="paragraph" w:styleId="Subtitle">
    <w:name w:val="Subtitle"/>
    <w:basedOn w:val="Encabezado1"/>
    <w:qFormat/>
    <w:pPr>
      <w:spacing w:before="60" w:after="60"/>
      <w:jc w:val="center"/>
    </w:pPr>
    <w:rPr>
      <w:sz w:val="36"/>
      <w:szCs w:val="36"/>
    </w:rPr>
  </w:style>
  <w:style w:type="paragraph" w:styleId="Descripcin1" w:customStyle="1">
    <w:name w:val="Descripción1"/>
    <w:basedOn w:val="Normal"/>
    <w:next w:val="Normal"/>
    <w:qFormat/>
    <w:pPr/>
    <w:rPr>
      <w:rFonts w:ascii="Calibri" w:hAnsi="Calibri" w:eastAsia="Calibri" w:cs="Times New Roman"/>
      <w:b/>
      <w:sz w:val="20"/>
      <w:szCs w:val="20"/>
    </w:rPr>
  </w:style>
  <w:style w:type="paragraph" w:styleId="Encabezadodelndice" w:customStyle="1">
    <w:name w:val="Encabezado del índice"/>
    <w:basedOn w:val="Encabezado1"/>
    <w:qFormat/>
    <w:pPr>
      <w:suppressLineNumbers/>
    </w:pPr>
    <w:rPr>
      <w:b/>
      <w:sz w:val="32"/>
      <w:szCs w:val="32"/>
    </w:rPr>
  </w:style>
  <w:style w:type="paragraph" w:styleId="TD1Doct" w:customStyle="1">
    <w:name w:val="TD1 Doct"/>
    <w:basedOn w:val="Heading1"/>
    <w:qFormat/>
    <w:pPr>
      <w:numPr>
        <w:ilvl w:val="0"/>
        <w:numId w:val="0"/>
      </w:numPr>
      <w:spacing w:before="120" w:after="60"/>
    </w:pPr>
    <w:rPr>
      <w:lang w:val="en-US"/>
    </w:rPr>
  </w:style>
  <w:style w:type="paragraph" w:styleId="TDNoTitle1" w:customStyle="1">
    <w:name w:val="TD NoTitle 1"/>
    <w:basedOn w:val="TDoctNormalCharCharCharCharCharCharCharCharCharCharCharCharCharChar"/>
    <w:qFormat/>
    <w:pPr>
      <w:tabs>
        <w:tab w:val="left" w:pos="0" w:leader="none"/>
      </w:tabs>
    </w:pPr>
    <w:rPr>
      <w:rFonts w:ascii="Cambria" w:hAnsi="Cambria" w:eastAsia="MS Gothic"/>
      <w:b/>
      <w:sz w:val="32"/>
      <w:szCs w:val="28"/>
      <w:lang w:val="en-US"/>
    </w:rPr>
  </w:style>
  <w:style w:type="paragraph" w:styleId="Footer">
    <w:name w:val="Footer"/>
    <w:basedOn w:val="Normal"/>
    <w:link w:val="PiedepginaCar"/>
    <w:uiPriority w:val="99"/>
    <w:pPr>
      <w:suppressLineNumbers/>
      <w:tabs>
        <w:tab w:val="center" w:pos="4819" w:leader="none"/>
        <w:tab w:val="right" w:pos="9639" w:leader="none"/>
      </w:tabs>
    </w:pPr>
    <w:rPr/>
  </w:style>
  <w:style w:type="paragraph" w:styleId="Figura" w:customStyle="1">
    <w:name w:val="Figura"/>
    <w:basedOn w:val="Pie"/>
    <w:qFormat/>
    <w:rsid w:val="009865c2"/>
    <w:pPr>
      <w:jc w:val="left"/>
    </w:pPr>
    <w:rPr>
      <w:bCs w:val="false"/>
      <w:i w:val="false"/>
      <w:sz w:val="18"/>
    </w:rPr>
  </w:style>
  <w:style w:type="paragraph" w:styleId="TablaHeading" w:customStyle="1">
    <w:name w:val="Tabla Heading"/>
    <w:basedOn w:val="ListParagraph"/>
    <w:qFormat/>
    <w:pPr>
      <w:spacing w:lineRule="auto" w:line="288" w:before="80" w:after="60"/>
      <w:ind w:left="0" w:hanging="0"/>
    </w:pPr>
    <w:rPr>
      <w:rFonts w:eastAsia="MS Gothic"/>
      <w:sz w:val="18"/>
    </w:rPr>
  </w:style>
  <w:style w:type="paragraph" w:styleId="TDNormal" w:customStyle="1">
    <w:name w:val="TDNormal"/>
    <w:basedOn w:val="Normal"/>
    <w:link w:val="TDNormalChar"/>
    <w:qFormat/>
    <w:pPr>
      <w:spacing w:before="113" w:after="57"/>
    </w:pPr>
    <w:rPr/>
  </w:style>
  <w:style w:type="paragraph" w:styleId="TDNormalLista" w:customStyle="1">
    <w:name w:val="TDNormal Lista"/>
    <w:basedOn w:val="TDNormal"/>
    <w:qFormat/>
    <w:pPr>
      <w:spacing w:before="57" w:after="57"/>
    </w:pPr>
    <w:rPr/>
  </w:style>
  <w:style w:type="paragraph" w:styleId="TDNormalSubList" w:customStyle="1">
    <w:name w:val="TDNormal SubList"/>
    <w:basedOn w:val="TDNormal"/>
    <w:qFormat/>
    <w:pPr/>
    <w:rPr/>
  </w:style>
  <w:style w:type="paragraph" w:styleId="Contenidodelmarco" w:customStyle="1">
    <w:name w:val="Contenido del marco"/>
    <w:basedOn w:val="Normal"/>
    <w:qFormat/>
    <w:pPr/>
    <w:rPr/>
  </w:style>
  <w:style w:type="paragraph" w:styleId="FrameContents" w:customStyle="1">
    <w:name w:val="Frame Contents"/>
    <w:basedOn w:val="Normal"/>
    <w:qFormat/>
    <w:pPr/>
    <w:rPr/>
  </w:style>
  <w:style w:type="paragraph" w:styleId="Ecuacin" w:customStyle="1">
    <w:name w:val="Ecuación"/>
    <w:basedOn w:val="Caption1"/>
    <w:qFormat/>
    <w:pPr/>
    <w:rPr/>
  </w:style>
  <w:style w:type="paragraph" w:styleId="Footnotetext">
    <w:name w:val="footnote text"/>
    <w:basedOn w:val="Normal"/>
    <w:qFormat/>
    <w:pPr/>
    <w:rPr/>
  </w:style>
  <w:style w:type="paragraph" w:styleId="Title">
    <w:name w:val="Title"/>
    <w:basedOn w:val="Heading"/>
    <w:qFormat/>
    <w:pPr>
      <w:jc w:val="center"/>
    </w:pPr>
    <w:rPr>
      <w:b/>
      <w:sz w:val="56"/>
      <w:szCs w:val="56"/>
    </w:rPr>
  </w:style>
  <w:style w:type="paragraph" w:styleId="Quotations" w:customStyle="1">
    <w:name w:val="Quotations"/>
    <w:basedOn w:val="Normal"/>
    <w:qFormat/>
    <w:pPr>
      <w:spacing w:before="80" w:after="283"/>
      <w:ind w:left="567" w:right="567" w:hanging="0"/>
    </w:pPr>
    <w:rPr/>
  </w:style>
  <w:style w:type="paragraph" w:styleId="Toaheading">
    <w:name w:val="toa heading"/>
    <w:basedOn w:val="Heading"/>
    <w:qFormat/>
    <w:pPr>
      <w:suppressLineNumbers/>
    </w:pPr>
    <w:rPr>
      <w:b/>
      <w:sz w:val="32"/>
      <w:szCs w:val="32"/>
    </w:rPr>
  </w:style>
  <w:style w:type="paragraph" w:styleId="Annotationtext">
    <w:name w:val="annotation text"/>
    <w:basedOn w:val="Normal"/>
    <w:link w:val="TextocomentarioCar1"/>
    <w:uiPriority w:val="99"/>
    <w:semiHidden/>
    <w:unhideWhenUsed/>
    <w:qFormat/>
    <w:rsid w:val="000543a1"/>
    <w:pPr/>
    <w:rPr>
      <w:sz w:val="20"/>
      <w:szCs w:val="20"/>
    </w:rPr>
  </w:style>
  <w:style w:type="paragraph" w:styleId="Annotationsubject">
    <w:name w:val="annotation subject"/>
    <w:basedOn w:val="Annotationtext"/>
    <w:link w:val="AsuntodelcomentarioCar1"/>
    <w:uiPriority w:val="99"/>
    <w:semiHidden/>
    <w:unhideWhenUsed/>
    <w:qFormat/>
    <w:rsid w:val="000543a1"/>
    <w:pPr/>
    <w:rPr>
      <w:b/>
    </w:rPr>
  </w:style>
  <w:style w:type="paragraph" w:styleId="BalloonText">
    <w:name w:val="Balloon Text"/>
    <w:basedOn w:val="Normal"/>
    <w:link w:val="TextodegloboCar1"/>
    <w:uiPriority w:val="99"/>
    <w:semiHidden/>
    <w:unhideWhenUsed/>
    <w:qFormat/>
    <w:rsid w:val="000543a1"/>
    <w:pPr>
      <w:spacing w:lineRule="auto" w:line="240" w:before="80" w:after="0"/>
    </w:pPr>
    <w:rPr>
      <w:rFonts w:ascii="Tahoma" w:hAnsi="Tahoma" w:cs="Tahoma"/>
      <w:sz w:val="16"/>
      <w:szCs w:val="16"/>
    </w:rPr>
  </w:style>
  <w:style w:type="paragraph" w:styleId="NormalAlgorithm" w:customStyle="1">
    <w:name w:val="Normal_Algorithm"/>
    <w:basedOn w:val="TDNormal"/>
    <w:link w:val="NormalAlgorithmChar"/>
    <w:qFormat/>
    <w:rsid w:val="009b045f"/>
    <w:pPr>
      <w:spacing w:lineRule="auto" w:line="432"/>
    </w:pPr>
    <w:rPr>
      <w:i/>
      <w:iCs/>
      <w:szCs w:val="18"/>
    </w:rPr>
  </w:style>
  <w:style w:type="paragraph" w:styleId="Header">
    <w:name w:val="Header"/>
    <w:basedOn w:val="Normal"/>
    <w:link w:val="EncabezadoCar"/>
    <w:uiPriority w:val="99"/>
    <w:unhideWhenUsed/>
    <w:rsid w:val="004c7ff1"/>
    <w:pPr>
      <w:tabs>
        <w:tab w:val="center" w:pos="4252" w:leader="none"/>
        <w:tab w:val="right" w:pos="8504" w:leader="none"/>
      </w:tabs>
    </w:pPr>
    <w:rPr/>
  </w:style>
  <w:style w:type="paragraph" w:styleId="TOCHeading">
    <w:name w:val="TOC Heading"/>
    <w:basedOn w:val="Heading1"/>
    <w:next w:val="Normal"/>
    <w:uiPriority w:val="39"/>
    <w:semiHidden/>
    <w:unhideWhenUsed/>
    <w:qFormat/>
    <w:rsid w:val="004c7ff1"/>
    <w:pPr>
      <w:numPr>
        <w:ilvl w:val="0"/>
        <w:numId w:val="0"/>
      </w:numPr>
      <w:suppressAutoHyphens w:val="false"/>
      <w:overflowPunct w:val="true"/>
      <w:spacing w:lineRule="auto" w:line="276" w:before="480" w:after="0"/>
      <w:jc w:val="left"/>
      <w:textAlignment w:val="auto"/>
    </w:pPr>
    <w:rPr>
      <w:rFonts w:ascii="Cambria" w:hAnsi="Cambria" w:eastAsia="Times New Roman"/>
      <w:bCs/>
      <w:color w:val="365F91"/>
      <w:sz w:val="28"/>
      <w:lang w:val="en-US" w:eastAsia="en-US"/>
    </w:rPr>
  </w:style>
  <w:style w:type="paragraph" w:styleId="T1Furniber" w:customStyle="1">
    <w:name w:val="T1_Furniber"/>
    <w:basedOn w:val="Heading1"/>
    <w:autoRedefine/>
    <w:qFormat/>
    <w:rsid w:val="004c7ff1"/>
    <w:pPr>
      <w:keepLines w:val="false"/>
      <w:numPr>
        <w:ilvl w:val="0"/>
        <w:numId w:val="0"/>
      </w:numPr>
      <w:suppressAutoHyphens w:val="false"/>
      <w:overflowPunct w:val="true"/>
      <w:spacing w:lineRule="auto" w:line="276"/>
      <w:ind w:left="425" w:hanging="357"/>
      <w:textAlignment w:val="auto"/>
    </w:pPr>
    <w:rPr>
      <w:rFonts w:ascii="Tahoma" w:hAnsi="Tahoma" w:eastAsia="Times New Roman"/>
      <w:bCs/>
      <w:sz w:val="28"/>
      <w:szCs w:val="24"/>
    </w:rPr>
  </w:style>
  <w:style w:type="paragraph" w:styleId="T2Furniber" w:customStyle="1">
    <w:name w:val="T2_Furniber"/>
    <w:basedOn w:val="Heading2"/>
    <w:autoRedefine/>
    <w:qFormat/>
    <w:rsid w:val="004c7ff1"/>
    <w:pPr>
      <w:keepLines w:val="false"/>
      <w:numPr>
        <w:ilvl w:val="0"/>
        <w:numId w:val="0"/>
      </w:numPr>
      <w:suppressAutoHyphens w:val="false"/>
      <w:overflowPunct w:val="true"/>
      <w:spacing w:lineRule="auto" w:line="240" w:before="240" w:after="60"/>
      <w:ind w:left="578" w:hanging="578"/>
      <w:textAlignment w:val="auto"/>
    </w:pPr>
    <w:rPr>
      <w:rFonts w:ascii="Tahoma" w:hAnsi="Tahoma" w:eastAsia="Times New Roman"/>
      <w:bCs/>
      <w:iCs/>
      <w:color w:val="00000A"/>
      <w:sz w:val="26"/>
    </w:rPr>
  </w:style>
  <w:style w:type="paragraph" w:styleId="T3Furniber" w:customStyle="1">
    <w:name w:val="T3_Furniber"/>
    <w:basedOn w:val="Heading3"/>
    <w:autoRedefine/>
    <w:qFormat/>
    <w:rsid w:val="004c7ff1"/>
    <w:pPr>
      <w:numPr>
        <w:ilvl w:val="0"/>
        <w:numId w:val="0"/>
      </w:numPr>
    </w:pPr>
    <w:rPr>
      <w:rFonts w:ascii="Tahoma" w:hAnsi="Tahoma"/>
      <w:color w:val="00000A"/>
      <w:szCs w:val="26"/>
      <w:shd w:fill="FFFFFF" w:val="clear"/>
      <w:lang w:eastAsia="en-US" w:bidi="he-IL"/>
    </w:rPr>
  </w:style>
  <w:style w:type="paragraph" w:styleId="NorFurniber1" w:customStyle="1">
    <w:name w:val="Nor_Furniber1"/>
    <w:basedOn w:val="Normal"/>
    <w:link w:val="NorFurniber1Car"/>
    <w:autoRedefine/>
    <w:qFormat/>
    <w:rsid w:val="00172bc5"/>
    <w:pPr/>
    <w:rPr>
      <w:sz w:val="28"/>
      <w:shd w:fill="FFFFFF" w:val="clear"/>
      <w:lang w:eastAsia="ar-SA"/>
    </w:rPr>
  </w:style>
  <w:style w:type="paragraph" w:styleId="NorFurniber" w:customStyle="1">
    <w:name w:val="Nor_Furniber"/>
    <w:basedOn w:val="NorFurniber1"/>
    <w:autoRedefine/>
    <w:qFormat/>
    <w:rsid w:val="00a16c4d"/>
    <w:pPr>
      <w:keepNext/>
      <w:spacing w:before="120" w:after="60"/>
    </w:pPr>
    <w:rPr>
      <w:lang w:val="es-CO"/>
    </w:rPr>
  </w:style>
  <w:style w:type="paragraph" w:styleId="Textnotapie" w:customStyle="1">
    <w:name w:val="Text nota pie"/>
    <w:basedOn w:val="Normal"/>
    <w:qFormat/>
    <w:rsid w:val="004c7ff1"/>
    <w:pPr>
      <w:suppressAutoHyphens w:val="false"/>
      <w:overflowPunct w:val="true"/>
      <w:spacing w:lineRule="auto" w:line="240" w:before="80" w:after="0"/>
      <w:jc w:val="left"/>
      <w:textAlignment w:val="auto"/>
    </w:pPr>
    <w:rPr>
      <w:rFonts w:ascii="Calibri" w:hAnsi="Calibri" w:eastAsia="Calibri" w:cs="Times New Roman"/>
      <w:bCs w:val="false"/>
      <w:color w:val="00000A"/>
      <w:lang w:val="x-none" w:eastAsia="x-none"/>
    </w:rPr>
  </w:style>
  <w:style w:type="paragraph" w:styleId="Textonotaalpie" w:customStyle="1">
    <w:name w:val="Texto nota al pie"/>
    <w:basedOn w:val="NorFurniber1"/>
    <w:qFormat/>
    <w:rsid w:val="006728b9"/>
    <w:pPr/>
    <w:rPr>
      <w:rFonts w:ascii="Calibri" w:hAnsi="Calibri" w:eastAsia="Calibri"/>
      <w:color w:val="00000A"/>
      <w:szCs w:val="16"/>
      <w:lang w:eastAsia="x-none"/>
    </w:rPr>
  </w:style>
  <w:style w:type="paragraph" w:styleId="TablaFurniber" w:customStyle="1">
    <w:name w:val="Tabla_Furniber"/>
    <w:basedOn w:val="Contents1"/>
    <w:link w:val="TablaFurniberCar"/>
    <w:autoRedefine/>
    <w:qFormat/>
    <w:rsid w:val="001a5f05"/>
    <w:pPr>
      <w:tabs>
        <w:tab w:val="right" w:pos="9961" w:leader="dot"/>
      </w:tabs>
      <w:suppressAutoHyphens w:val="false"/>
      <w:overflowPunct w:val="true"/>
      <w:spacing w:lineRule="auto" w:line="276" w:before="0" w:after="200"/>
      <w:jc w:val="center"/>
      <w:textAlignment w:val="auto"/>
    </w:pPr>
    <w:rPr>
      <w:rFonts w:ascii="Tahoma" w:hAnsi="Tahoma" w:eastAsia="Calibri" w:cs="Times New Roman"/>
      <w:b w:val="false"/>
      <w:bCs w:val="false"/>
      <w:caps w:val="false"/>
      <w:smallCaps w:val="false"/>
      <w:color w:val="00000A"/>
      <w:sz w:val="18"/>
      <w:szCs w:val="24"/>
      <w:lang w:val="x-none" w:eastAsia="en-US"/>
    </w:rPr>
  </w:style>
  <w:style w:type="paragraph" w:styleId="TesisTexto" w:customStyle="1">
    <w:name w:val="Tesis-Texto"/>
    <w:basedOn w:val="Normal"/>
    <w:qFormat/>
    <w:rsid w:val="001a5f05"/>
    <w:pPr>
      <w:suppressAutoHyphens w:val="false"/>
      <w:overflowPunct w:val="true"/>
      <w:spacing w:lineRule="auto" w:line="300" w:before="80" w:after="0"/>
      <w:textAlignment w:val="auto"/>
    </w:pPr>
    <w:rPr>
      <w:rFonts w:ascii="Tahoma" w:hAnsi="Tahoma"/>
      <w:color w:val="00000A"/>
      <w:sz w:val="18"/>
      <w:szCs w:val="20"/>
      <w:lang w:eastAsia="es-ES"/>
    </w:rPr>
  </w:style>
  <w:style w:type="paragraph" w:styleId="Parrafoitem" w:customStyle="1">
    <w:name w:val="parrafo_item"/>
    <w:basedOn w:val="Normal"/>
    <w:qFormat/>
    <w:rsid w:val="001a5f05"/>
    <w:pPr>
      <w:suppressAutoHyphens w:val="false"/>
      <w:overflowPunct w:val="true"/>
      <w:spacing w:lineRule="auto" w:line="300" w:before="80" w:after="0"/>
      <w:jc w:val="left"/>
      <w:textAlignment w:val="auto"/>
    </w:pPr>
    <w:rPr>
      <w:rFonts w:ascii="Tahoma" w:hAnsi="Tahoma" w:cs="Times New Roman"/>
      <w:bCs w:val="false"/>
      <w:color w:val="00000A"/>
      <w:sz w:val="18"/>
      <w:szCs w:val="20"/>
      <w:lang w:eastAsia="es-ES"/>
    </w:rPr>
  </w:style>
  <w:style w:type="paragraph" w:styleId="Bibliography">
    <w:name w:val="Bibliography"/>
    <w:basedOn w:val="Normal"/>
    <w:next w:val="Normal"/>
    <w:uiPriority w:val="37"/>
    <w:unhideWhenUsed/>
    <w:qFormat/>
    <w:rsid w:val="00804df8"/>
    <w:pPr>
      <w:suppressAutoHyphens w:val="false"/>
      <w:overflowPunct w:val="true"/>
      <w:spacing w:lineRule="auto" w:line="240" w:before="80" w:after="240"/>
      <w:ind w:left="720" w:hanging="720"/>
      <w:jc w:val="left"/>
      <w:textAlignment w:val="auto"/>
    </w:pPr>
    <w:rPr>
      <w:rFonts w:ascii="Calibri" w:hAnsi="Calibri" w:eastAsia="Calibri" w:cs="Times New Roman"/>
      <w:bCs w:val="false"/>
      <w:color w:val="00000A"/>
      <w:lang w:val="es-CO" w:eastAsia="en-US"/>
    </w:rPr>
  </w:style>
  <w:style w:type="paragraph" w:styleId="Bibliografia" w:customStyle="1">
    <w:name w:val="Bibliografia"/>
    <w:basedOn w:val="Normal"/>
    <w:link w:val="BibliografiaCar"/>
    <w:autoRedefine/>
    <w:qFormat/>
    <w:rsid w:val="00202f9b"/>
    <w:pPr>
      <w:spacing w:lineRule="auto" w:line="432" w:before="80" w:after="0"/>
    </w:pPr>
    <w:rPr>
      <w:rFonts w:eastAsia="MS Gothic"/>
      <w:i/>
      <w:lang w:val="en-US"/>
    </w:rPr>
  </w:style>
  <w:style w:type="paragraph" w:styleId="Quote">
    <w:name w:val="Quote"/>
    <w:basedOn w:val="Normal"/>
    <w:next w:val="Normal"/>
    <w:link w:val="CitaCar"/>
    <w:uiPriority w:val="29"/>
    <w:qFormat/>
    <w:rsid w:val="00104cb4"/>
    <w:pPr>
      <w:spacing w:before="200" w:after="160"/>
      <w:ind w:left="864" w:right="864" w:hanging="0"/>
      <w:jc w:val="center"/>
    </w:pPr>
    <w:rPr>
      <w:i/>
      <w:iCs/>
      <w:color w:val="404040"/>
    </w:rPr>
  </w:style>
  <w:style w:type="paragraph" w:styleId="TablaFigura" w:customStyle="1">
    <w:name w:val="Tabla-Figura"/>
    <w:basedOn w:val="TDNormal"/>
    <w:autoRedefine/>
    <w:qFormat/>
    <w:rsid w:val="00f04782"/>
    <w:pPr>
      <w:spacing w:before="120" w:after="60"/>
      <w:ind w:left="431" w:hanging="431"/>
      <w:jc w:val="center"/>
    </w:pPr>
    <w:rPr>
      <w:rFonts w:eastAsia="MS Gothic"/>
      <w:sz w:val="20"/>
    </w:rPr>
  </w:style>
  <w:style w:type="paragraph" w:styleId="PreformattedText" w:customStyle="1">
    <w:name w:val="Preformatted Text"/>
    <w:basedOn w:val="Normal"/>
    <w:qFormat/>
    <w:rsid w:val="002656d6"/>
    <w:pPr>
      <w:overflowPunct w:val="true"/>
      <w:spacing w:lineRule="auto" w:line="240" w:before="80" w:after="0"/>
      <w:jc w:val="left"/>
      <w:textAlignment w:val="auto"/>
    </w:pPr>
    <w:rPr>
      <w:rFonts w:ascii="Liberation Mono" w:hAnsi="Liberation Mono" w:eastAsia="Nimbus Mono L" w:cs="Liberation Mono"/>
      <w:bCs w:val="false"/>
      <w:color w:val="00000A"/>
      <w:sz w:val="20"/>
      <w:szCs w:val="20"/>
      <w:lang w:bidi="hi-IN"/>
    </w:rPr>
  </w:style>
  <w:style w:type="paragraph" w:styleId="NoSpacing">
    <w:name w:val="No Spacing"/>
    <w:link w:val="SinespaciadoCar"/>
    <w:uiPriority w:val="1"/>
    <w:qFormat/>
    <w:rsid w:val="00d171cd"/>
    <w:pPr>
      <w:widowControl/>
      <w:bidi w:val="0"/>
      <w:jc w:val="left"/>
    </w:pPr>
    <w:rPr>
      <w:rFonts w:ascii="Calibri" w:hAnsi="Calibri" w:eastAsia="Calibri" w:cs="Times New Roman"/>
      <w:color w:val="00000A"/>
      <w:sz w:val="22"/>
      <w:szCs w:val="22"/>
      <w:lang w:val="es-CO" w:eastAsia="en-US" w:bidi="ar-SA"/>
    </w:rPr>
  </w:style>
  <w:style w:type="paragraph" w:styleId="NormalTabla" w:customStyle="1">
    <w:name w:val="Normal_Tabla"/>
    <w:basedOn w:val="Normal"/>
    <w:link w:val="NormalTablaCar"/>
    <w:qFormat/>
    <w:rsid w:val="0028774e"/>
    <w:pPr>
      <w:widowControl w:val="false"/>
      <w:snapToGrid w:val="false"/>
      <w:spacing w:lineRule="auto" w:line="240" w:before="0" w:after="0"/>
      <w:jc w:val="left"/>
      <w:textAlignment w:val="top"/>
    </w:pPr>
    <w:rPr>
      <w:sz w:val="20"/>
      <w:szCs w:val="20"/>
    </w:rPr>
  </w:style>
  <w:style w:type="paragraph" w:styleId="BookNormal" w:customStyle="1">
    <w:name w:val="BookNormal"/>
    <w:basedOn w:val="Normal"/>
    <w:qFormat/>
    <w:rsid w:val="007c69a6"/>
    <w:pPr>
      <w:overflowPunct w:val="true"/>
      <w:spacing w:before="240" w:after="60"/>
      <w:textAlignment w:val="auto"/>
    </w:pPr>
    <w:rPr>
      <w:rFonts w:eastAsia="Noto Sans CJK SC Regular"/>
      <w:bCs w:val="false"/>
      <w:color w:val="222222"/>
      <w:szCs w:val="24"/>
      <w:highlight w:val="white"/>
      <w:lang w:eastAsia="en-US" w:bidi="en-US"/>
    </w:rPr>
  </w:style>
  <w:style w:type="paragraph" w:styleId="Prrafodelista5" w:customStyle="1">
    <w:name w:val="Párrafo de lista5"/>
    <w:basedOn w:val="Normal"/>
    <w:qFormat/>
    <w:rsid w:val="007c69a6"/>
    <w:pPr>
      <w:overflowPunct w:val="true"/>
      <w:spacing w:before="80" w:after="0"/>
      <w:ind w:left="720" w:hanging="0"/>
      <w:textAlignment w:val="auto"/>
    </w:pPr>
    <w:rPr>
      <w:rFonts w:eastAsia="Noto Sans CJK SC Regular" w:cs="FreeSans"/>
      <w:bCs w:val="false"/>
      <w:color w:val="00000A"/>
      <w:szCs w:val="24"/>
      <w:lang w:bidi="hi-IN"/>
    </w:rPr>
  </w:style>
  <w:style w:type="paragraph" w:styleId="TesisTituloNivel4" w:customStyle="1">
    <w:name w:val="Tesis-Titulo-Nivel4"/>
    <w:basedOn w:val="Normal"/>
    <w:qFormat/>
    <w:rsid w:val="007c69a6"/>
    <w:pPr>
      <w:overflowPunct w:val="true"/>
      <w:spacing w:lineRule="auto" w:line="300"/>
      <w:textAlignment w:val="auto"/>
    </w:pPr>
    <w:rPr>
      <w:rFonts w:ascii="Tahoma" w:hAnsi="Tahoma"/>
      <w:b/>
      <w:bCs w:val="false"/>
      <w:color w:val="00000A"/>
      <w:sz w:val="18"/>
      <w:szCs w:val="20"/>
      <w:lang w:bidi="hi-IN"/>
    </w:rPr>
  </w:style>
  <w:style w:type="paragraph" w:styleId="Revision">
    <w:name w:val="Revision"/>
    <w:uiPriority w:val="99"/>
    <w:semiHidden/>
    <w:qFormat/>
    <w:rsid w:val="00916225"/>
    <w:pPr>
      <w:widowControl/>
      <w:bidi w:val="0"/>
      <w:jc w:val="left"/>
    </w:pPr>
    <w:rPr>
      <w:rFonts w:ascii="Arial" w:hAnsi="Arial" w:eastAsia="Yu Mincho" w:cs="Arial"/>
      <w:bCs/>
      <w:color w:val="000000"/>
      <w:sz w:val="22"/>
      <w:szCs w:val="22"/>
      <w:lang w:val="es-ES" w:eastAsia="zh-CN" w:bidi="ar-SA"/>
    </w:rPr>
  </w:style>
  <w:style w:type="paragraph" w:styleId="Endnotetext">
    <w:name w:val="endnote text"/>
    <w:basedOn w:val="Normal"/>
    <w:link w:val="TextonotaalfinalCar"/>
    <w:uiPriority w:val="99"/>
    <w:semiHidden/>
    <w:unhideWhenUsed/>
    <w:qFormat/>
    <w:rsid w:val="00ff7293"/>
    <w:pPr/>
    <w:rPr>
      <w:sz w:val="20"/>
      <w:szCs w:val="20"/>
    </w:rPr>
  </w:style>
  <w:style w:type="paragraph" w:styleId="NormalPie" w:customStyle="1">
    <w:name w:val="Normal_Pie"/>
    <w:basedOn w:val="NormalTabla"/>
    <w:link w:val="NormalPieCar"/>
    <w:qFormat/>
    <w:rsid w:val="005732dd"/>
    <w:pPr/>
    <w:rPr>
      <w:rFonts w:ascii="Calibri" w:hAnsi="Calibri"/>
      <w:sz w:val="18"/>
    </w:rPr>
  </w:style>
  <w:style w:type="paragraph" w:styleId="Textomgpi" w:customStyle="1">
    <w:name w:val="texto mgpi"/>
    <w:basedOn w:val="Normal"/>
    <w:autoRedefine/>
    <w:qFormat/>
    <w:rsid w:val="00813c49"/>
    <w:pPr>
      <w:suppressAutoHyphens w:val="false"/>
      <w:overflowPunct w:val="true"/>
      <w:ind w:right="432" w:hanging="0"/>
      <w:textAlignment w:val="auto"/>
      <w:outlineLvl w:val="0"/>
    </w:pPr>
    <w:rPr>
      <w:rFonts w:ascii="Calibri" w:hAnsi="Calibri" w:eastAsia="Calibri" w:cs="Times New Roman"/>
      <w:iCs/>
      <w:color w:val="00000A"/>
      <w:lang w:eastAsia="ar-SA"/>
    </w:rPr>
  </w:style>
  <w:style w:type="paragraph" w:styleId="Vietasmgpi" w:customStyle="1">
    <w:name w:val="viñetas mgpi"/>
    <w:basedOn w:val="Normal"/>
    <w:autoRedefine/>
    <w:qFormat/>
    <w:rsid w:val="00813c49"/>
    <w:pPr>
      <w:suppressAutoHyphens w:val="false"/>
      <w:overflowPunct w:val="true"/>
      <w:ind w:right="432" w:hanging="0"/>
      <w:textAlignment w:val="auto"/>
      <w:outlineLvl w:val="0"/>
    </w:pPr>
    <w:rPr>
      <w:rFonts w:ascii="Calibri" w:hAnsi="Calibri" w:eastAsia="Calibri" w:cs="Times New Roman"/>
      <w:iCs/>
      <w:color w:val="00000A"/>
      <w:lang w:eastAsia="ar-SA"/>
    </w:rPr>
  </w:style>
  <w:style w:type="paragraph" w:styleId="MGPIvietas1" w:customStyle="1">
    <w:name w:val="MGPI viñetas 1"/>
    <w:basedOn w:val="Normal"/>
    <w:autoRedefine/>
    <w:qFormat/>
    <w:rsid w:val="00813c49"/>
    <w:pPr>
      <w:suppressAutoHyphens w:val="false"/>
      <w:overflowPunct w:val="true"/>
      <w:ind w:right="432" w:hanging="0"/>
      <w:textAlignment w:val="auto"/>
      <w:outlineLvl w:val="0"/>
    </w:pPr>
    <w:rPr>
      <w:rFonts w:ascii="Calibri" w:hAnsi="Calibri" w:eastAsia="Calibri" w:cs="Times New Roman"/>
      <w:iCs/>
      <w:color w:val="00000A"/>
      <w:lang w:eastAsia="ar-SA"/>
    </w:rPr>
  </w:style>
  <w:style w:type="paragraph" w:styleId="MGPIvietas2" w:customStyle="1">
    <w:name w:val="MGPI viñetas 2"/>
    <w:basedOn w:val="MGPIvietas1"/>
    <w:qFormat/>
    <w:rsid w:val="00813c49"/>
    <w:pPr>
      <w:ind w:right="432" w:hanging="990"/>
    </w:pPr>
    <w:rPr/>
  </w:style>
  <w:style w:type="paragraph" w:styleId="Bibliomgpi" w:customStyle="1">
    <w:name w:val="biblio mgpi"/>
    <w:basedOn w:val="Normal"/>
    <w:autoRedefine/>
    <w:qFormat/>
    <w:rsid w:val="00c701e0"/>
    <w:pPr>
      <w:suppressAutoHyphens w:val="false"/>
      <w:overflowPunct w:val="true"/>
      <w:spacing w:lineRule="auto" w:line="240" w:before="80" w:after="0"/>
      <w:ind w:right="432" w:hanging="0"/>
      <w:textAlignment w:val="auto"/>
      <w:outlineLvl w:val="0"/>
    </w:pPr>
    <w:rPr>
      <w:rFonts w:ascii="Calibri" w:hAnsi="Calibri" w:cs="Calibri"/>
      <w:bCs w:val="false"/>
      <w:sz w:val="20"/>
      <w:szCs w:val="20"/>
      <w:lang w:eastAsia="ar-SA"/>
    </w:rPr>
  </w:style>
  <w:style w:type="paragraph" w:styleId="MGPIvietasnumeradas" w:customStyle="1">
    <w:name w:val="MGPI viñetas numeradas"/>
    <w:basedOn w:val="Normal"/>
    <w:qFormat/>
    <w:rsid w:val="00515ed6"/>
    <w:pPr>
      <w:suppressAutoHyphens w:val="false"/>
      <w:overflowPunct w:val="true"/>
      <w:ind w:right="432" w:hanging="0"/>
      <w:textAlignment w:val="auto"/>
      <w:outlineLvl w:val="0"/>
    </w:pPr>
    <w:rPr>
      <w:rFonts w:ascii="Calibri" w:hAnsi="Calibri" w:eastAsia="Calibri" w:cs="Times New Roman"/>
      <w:iCs/>
      <w:color w:val="00000A"/>
      <w:lang w:eastAsia="ar-SA"/>
    </w:rPr>
  </w:style>
  <w:style w:type="paragraph" w:styleId="MGPIvietasordenalf" w:customStyle="1">
    <w:name w:val="MGPI viñetas orden alf"/>
    <w:basedOn w:val="MGPIvietasnumeradas"/>
    <w:qFormat/>
    <w:rsid w:val="00515ed6"/>
    <w:pPr/>
    <w:rPr/>
  </w:style>
  <w:style w:type="paragraph" w:styleId="HTMLPreformatted">
    <w:name w:val="HTML Preformatted"/>
    <w:basedOn w:val="Normal"/>
    <w:link w:val="HTMLconformatoprevioCar"/>
    <w:uiPriority w:val="99"/>
    <w:unhideWhenUsed/>
    <w:qFormat/>
    <w:rsid w:val="00747347"/>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false"/>
      <w:overflowPunct w:val="true"/>
      <w:spacing w:lineRule="auto" w:line="240" w:before="80" w:after="0"/>
      <w:jc w:val="left"/>
      <w:textAlignment w:val="auto"/>
    </w:pPr>
    <w:rPr>
      <w:rFonts w:ascii="Courier New" w:hAnsi="Courier New" w:cs="Courier New"/>
      <w:bCs w:val="false"/>
      <w:color w:val="00000A"/>
      <w:sz w:val="20"/>
      <w:szCs w:val="20"/>
      <w:lang w:eastAsia="es-ES"/>
    </w:rPr>
  </w:style>
  <w:style w:type="paragraph" w:styleId="Tableoffigures">
    <w:name w:val="table of figures"/>
    <w:basedOn w:val="Normal"/>
    <w:next w:val="Normal"/>
    <w:uiPriority w:val="99"/>
    <w:unhideWhenUsed/>
    <w:qFormat/>
    <w:rsid w:val="00fc02ca"/>
    <w:pPr>
      <w:spacing w:before="80" w:after="0"/>
      <w:ind w:left="440" w:hanging="440"/>
      <w:jc w:val="left"/>
    </w:pPr>
    <w:rPr>
      <w:rFonts w:ascii="Calibri" w:hAnsi="Calibri"/>
      <w:bCs w:val="false"/>
      <w:smallCaps/>
      <w:sz w:val="20"/>
      <w:szCs w:val="20"/>
    </w:rPr>
  </w:style>
  <w:style w:type="paragraph" w:styleId="NormalAnexTabla" w:customStyle="1">
    <w:name w:val="Normal_Anex_Tabla"/>
    <w:basedOn w:val="NormalTabla"/>
    <w:link w:val="NormalAnexTablaCar"/>
    <w:autoRedefine/>
    <w:qFormat/>
    <w:rsid w:val="003201be"/>
    <w:pPr/>
    <w:rPr>
      <w:rFonts w:cs="Ubuntu Mono"/>
    </w:rPr>
  </w:style>
  <w:style w:type="paragraph" w:styleId="TDoctNormalCharCharCharCharCharCharCharCharCharCharCharCharCharCharCharCharCharCharCharCharCharCharCharCharChar" w:customStyle="1">
    <w:name w:val="TDoctNormal Char Char Char Char Char Char Char Char Char Char Char Char Char Char Char Char Char Char Char Char Char Char Char Char Char"/>
    <w:basedOn w:val="Normal"/>
    <w:link w:val="TDoctNormalCharCharCharCharCharCharCharCharCharCharCharCharCharCharCharCharCharCharCharCharCharCharCharCharCharChar"/>
    <w:qFormat/>
    <w:rsid w:val="00a4182a"/>
    <w:pPr>
      <w:suppressAutoHyphens w:val="false"/>
      <w:spacing w:lineRule="auto" w:line="288"/>
    </w:pPr>
    <w:rPr>
      <w:rFonts w:eastAsia="SimSun" w:cs="Times New Roman"/>
      <w:bCs w:val="false"/>
      <w:color w:val="00000A"/>
      <w:szCs w:val="20"/>
      <w:lang w:eastAsia="en-US"/>
    </w:rPr>
  </w:style>
  <w:style w:type="paragraph" w:styleId="TDoctNormalStyleCharCharChar" w:customStyle="1">
    <w:name w:val="TDoctNormal Style Char Char Char"/>
    <w:basedOn w:val="Normal"/>
    <w:link w:val="TDoctNormalStyleCharCharCharChar"/>
    <w:autoRedefine/>
    <w:qFormat/>
    <w:rsid w:val="00a4182a"/>
    <w:pPr>
      <w:suppressAutoHyphens w:val="false"/>
      <w:overflowPunct w:val="true"/>
      <w:spacing w:lineRule="auto" w:line="288"/>
      <w:textAlignment w:val="auto"/>
    </w:pPr>
    <w:rPr>
      <w:bCs w:val="false"/>
      <w:iCs/>
      <w:color w:val="00000A"/>
      <w:szCs w:val="20"/>
      <w:lang w:val="en-US" w:eastAsia="es-ES"/>
    </w:rPr>
  </w:style>
  <w:style w:type="paragraph" w:styleId="TDoctAlgorithm" w:customStyle="1">
    <w:name w:val="TDoctAlgorithm"/>
    <w:basedOn w:val="Normal"/>
    <w:qFormat/>
    <w:rsid w:val="00a4182a"/>
    <w:pPr>
      <w:suppressAutoHyphens w:val="false"/>
      <w:overflowPunct w:val="true"/>
      <w:spacing w:lineRule="auto" w:line="288" w:before="80" w:after="40"/>
      <w:textAlignment w:val="auto"/>
    </w:pPr>
    <w:rPr>
      <w:rFonts w:ascii="Courier New" w:hAnsi="Courier New" w:eastAsia="Arial Unicode MS" w:cs="Times New Roman"/>
      <w:bCs w:val="false"/>
      <w:color w:val="00000A"/>
      <w:sz w:val="20"/>
      <w:szCs w:val="24"/>
      <w:lang w:val="en-US" w:eastAsia="es-ES"/>
    </w:rPr>
  </w:style>
  <w:style w:type="paragraph" w:styleId="StyleHeading4TimesNewRoman11pt" w:customStyle="1">
    <w:name w:val="Style Heading 4 + Times New Roman 11 pt"/>
    <w:basedOn w:val="Heading4"/>
    <w:link w:val="StyleHeading4TimesNewRoman11ptChar"/>
    <w:autoRedefine/>
    <w:qFormat/>
    <w:rsid w:val="00a4182a"/>
    <w:pPr>
      <w:keepLines w:val="false"/>
      <w:numPr>
        <w:ilvl w:val="0"/>
        <w:numId w:val="0"/>
      </w:numPr>
      <w:suppressAutoHyphens w:val="false"/>
      <w:spacing w:lineRule="auto" w:line="240" w:before="80" w:after="20"/>
    </w:pPr>
    <w:rPr>
      <w:rFonts w:ascii="Times New Roman" w:hAnsi="Times New Roman" w:eastAsia="SimSun"/>
      <w:bCs/>
      <w:i w:val="false"/>
      <w:iCs w:val="false"/>
      <w:color w:val="00000A"/>
      <w:szCs w:val="20"/>
      <w:lang w:eastAsia="en-US"/>
    </w:rPr>
  </w:style>
  <w:style w:type="paragraph" w:styleId="NormalAlgorithmEntrada" w:customStyle="1">
    <w:name w:val="Normal_Algorithm_Entrada"/>
    <w:basedOn w:val="NormalAlgorithm"/>
    <w:qFormat/>
    <w:rsid w:val="00831bc4"/>
    <w:pPr>
      <w:ind w:left="720" w:hanging="360"/>
    </w:pPr>
    <w:rPr>
      <w:rFonts w:eastAsia="MS Gothic"/>
    </w:rPr>
  </w:style>
  <w:style w:type="paragraph" w:styleId="TDoctNormalStyle" w:customStyle="1">
    <w:name w:val="TDoctNormal Style"/>
    <w:basedOn w:val="Normal"/>
    <w:autoRedefine/>
    <w:qFormat/>
    <w:rsid w:val="00a31974"/>
    <w:pPr>
      <w:suppressAutoHyphens w:val="false"/>
      <w:overflowPunct w:val="true"/>
      <w:spacing w:lineRule="auto" w:line="288"/>
      <w:textAlignment w:val="auto"/>
    </w:pPr>
    <w:rPr>
      <w:bCs w:val="false"/>
      <w:iCs/>
      <w:color w:val="00000A"/>
      <w:szCs w:val="20"/>
      <w:lang w:val="en-US" w:eastAsia="es-ES"/>
    </w:rPr>
  </w:style>
  <w:style w:type="paragraph" w:styleId="TDoctNormalCharCharCharCharCharCharCharCharCharCharChar" w:customStyle="1">
    <w:name w:val="TDoctNormal Char Char Char Char Char Char Char Char Char Char Char"/>
    <w:basedOn w:val="Normal"/>
    <w:link w:val="TDoctNormalCharCharCharCharCharCharCharCharCharCharCharChar"/>
    <w:qFormat/>
    <w:rsid w:val="00935305"/>
    <w:pPr>
      <w:suppressAutoHyphens w:val="false"/>
      <w:spacing w:lineRule="auto" w:line="288"/>
    </w:pPr>
    <w:rPr>
      <w:rFonts w:eastAsia="SimSun" w:cs="Times New Roman"/>
      <w:bCs w:val="false"/>
      <w:color w:val="00000A"/>
      <w:lang w:eastAsia="en-US"/>
    </w:rPr>
  </w:style>
  <w:style w:type="paragraph" w:styleId="NormalAlgoritthm2" w:customStyle="1">
    <w:name w:val="Normal_Algoritthm2"/>
    <w:basedOn w:val="NormalAlgorithm"/>
    <w:link w:val="NormalAlgoritthm2Car"/>
    <w:qFormat/>
    <w:rsid w:val="00d11a39"/>
    <w:pPr>
      <w:spacing w:lineRule="auto" w:line="360" w:before="0" w:after="0"/>
    </w:pPr>
    <w:rPr>
      <w:i w:val="false"/>
      <w:sz w:val="20"/>
      <w:szCs w:val="20"/>
    </w:rPr>
  </w:style>
  <w:style w:type="paragraph" w:styleId="Papertext1" w:customStyle="1">
    <w:name w:val="Paper text"/>
    <w:basedOn w:val="Normal"/>
    <w:qFormat/>
    <w:rsid w:val="00720b57"/>
    <w:pPr>
      <w:suppressAutoHyphens w:val="false"/>
      <w:overflowPunct w:val="true"/>
      <w:spacing w:lineRule="exact" w:line="227" w:before="0" w:after="0"/>
      <w:ind w:firstLine="312"/>
      <w:textAlignment w:val="auto"/>
    </w:pPr>
    <w:rPr>
      <w:rFonts w:ascii="Times New Roman" w:hAnsi="Times New Roman" w:eastAsia="Arial Unicode MS"/>
      <w:color w:val="00000A"/>
      <w:sz w:val="20"/>
      <w:szCs w:val="20"/>
      <w:lang w:val="en-GB" w:eastAsia="ja-JP"/>
    </w:rPr>
  </w:style>
  <w:style w:type="paragraph" w:styleId="Encabezadosnivel3" w:customStyle="1">
    <w:name w:val="Encabezados nivel3"/>
    <w:basedOn w:val="Normal"/>
    <w:qFormat/>
    <w:rsid w:val="00b504c0"/>
    <w:pPr>
      <w:widowControl w:val="false"/>
      <w:suppressAutoHyphens w:val="false"/>
      <w:overflowPunct w:val="true"/>
      <w:spacing w:lineRule="auto" w:line="240"/>
      <w:textAlignment w:val="auto"/>
    </w:pPr>
    <w:rPr>
      <w:rFonts w:cs="Times New Roman"/>
      <w:b/>
      <w:i/>
      <w:iCs/>
      <w:color w:val="00000A"/>
      <w:lang w:eastAsia="es-ES" w:bidi="he-IL"/>
    </w:rPr>
  </w:style>
  <w:style w:type="paragraph" w:styleId="NormalconVietas1" w:customStyle="1">
    <w:name w:val="Normal con Viñetas 1"/>
    <w:basedOn w:val="Normal"/>
    <w:qFormat/>
    <w:rsid w:val="00df4596"/>
    <w:pPr>
      <w:widowControl w:val="false"/>
      <w:suppressAutoHyphens w:val="false"/>
      <w:overflowPunct w:val="true"/>
      <w:spacing w:lineRule="auto" w:line="240" w:before="80" w:after="0"/>
      <w:textAlignment w:val="auto"/>
    </w:pPr>
    <w:rPr>
      <w:rFonts w:cs="Times New Roman"/>
      <w:bCs w:val="false"/>
      <w:color w:val="00000A"/>
      <w:sz w:val="20"/>
      <w:szCs w:val="20"/>
      <w:lang w:eastAsia="es-ES" w:bidi="he-IL"/>
    </w:rPr>
  </w:style>
  <w:style w:type="paragraph" w:styleId="ENCABEZADONIVEL1" w:customStyle="1">
    <w:name w:val="ENCABEZADO NIVEL1"/>
    <w:basedOn w:val="Normal"/>
    <w:qFormat/>
    <w:rsid w:val="00133f75"/>
    <w:pPr>
      <w:widowControl w:val="false"/>
      <w:suppressAutoHyphens w:val="false"/>
      <w:overflowPunct w:val="true"/>
      <w:spacing w:lineRule="auto" w:line="240"/>
      <w:textAlignment w:val="auto"/>
    </w:pPr>
    <w:rPr>
      <w:rFonts w:cs="Times New Roman"/>
      <w:b/>
      <w:bCs w:val="false"/>
      <w:caps/>
      <w:color w:val="00000A"/>
      <w:lang w:eastAsia="es-ES" w:bidi="he-IL"/>
    </w:rPr>
  </w:style>
  <w:style w:type="paragraph" w:styleId="NormalWeb">
    <w:name w:val="Normal (Web)"/>
    <w:basedOn w:val="Normal"/>
    <w:uiPriority w:val="99"/>
    <w:semiHidden/>
    <w:unhideWhenUsed/>
    <w:qFormat/>
    <w:rsid w:val="00102592"/>
    <w:pPr>
      <w:suppressAutoHyphens w:val="false"/>
      <w:overflowPunct w:val="true"/>
      <w:spacing w:lineRule="auto" w:line="240" w:beforeAutospacing="1" w:afterAutospacing="1"/>
      <w:jc w:val="left"/>
      <w:textAlignment w:val="auto"/>
    </w:pPr>
    <w:rPr>
      <w:rFonts w:ascii="Times New Roman" w:hAnsi="Times New Roman" w:cs="Times New Roman"/>
      <w:bCs w:val="false"/>
      <w:color w:val="00000A"/>
      <w:szCs w:val="24"/>
      <w:lang w:val="en-US" w:eastAsia="en-US"/>
    </w:rPr>
  </w:style>
  <w:style w:type="paragraph" w:styleId="Sectiontitle1" w:customStyle="1">
    <w:name w:val="Section title"/>
    <w:basedOn w:val="Normal"/>
    <w:qFormat/>
    <w:rsid w:val="009e7d64"/>
    <w:pPr>
      <w:suppressAutoHyphens w:val="false"/>
      <w:overflowPunct w:val="true"/>
      <w:spacing w:lineRule="exact" w:line="227" w:before="240" w:after="60"/>
      <w:textAlignment w:val="auto"/>
    </w:pPr>
    <w:rPr>
      <w:rFonts w:ascii="Times New Roman" w:hAnsi="Times New Roman" w:eastAsia="Arial Unicode MS"/>
      <w:color w:val="00000A"/>
      <w:sz w:val="20"/>
      <w:szCs w:val="20"/>
      <w:lang w:val="en-GB" w:eastAsia="ja-JP"/>
    </w:rPr>
  </w:style>
  <w:style w:type="paragraph" w:styleId="Normal1" w:customStyle="1">
    <w:name w:val="Normal1"/>
    <w:basedOn w:val="Normal"/>
    <w:next w:val="Normal"/>
    <w:link w:val="Normal1Car"/>
    <w:qFormat/>
    <w:rsid w:val="006d3cc7"/>
    <w:pPr>
      <w:overflowPunct w:val="true"/>
      <w:spacing w:lineRule="auto" w:line="240" w:before="0" w:after="0"/>
      <w:textAlignment w:val="auto"/>
    </w:pPr>
    <w:rPr>
      <w:rFonts w:ascii="Times New Roman" w:hAnsi="Times New Roman" w:cs="Times New Roman"/>
      <w:bCs w:val="false"/>
      <w:color w:val="00000A"/>
      <w:sz w:val="20"/>
      <w:szCs w:val="20"/>
      <w:lang w:eastAsia="es-ES"/>
    </w:rPr>
  </w:style>
  <w:style w:type="paragraph" w:styleId="NormalStatistic" w:customStyle="1">
    <w:name w:val="NormalStatistic"/>
    <w:basedOn w:val="Normal"/>
    <w:link w:val="NormalStatisticCar"/>
    <w:autoRedefine/>
    <w:qFormat/>
    <w:rsid w:val="00f1506a"/>
    <w:pPr>
      <w:widowControl w:val="false"/>
      <w:suppressAutoHyphens w:val="false"/>
      <w:overflowPunct w:val="true"/>
      <w:spacing w:lineRule="auto" w:line="240" w:before="60" w:after="60"/>
      <w:ind w:left="28" w:firstLine="2"/>
      <w:jc w:val="left"/>
      <w:textAlignment w:val="auto"/>
    </w:pPr>
    <w:rPr>
      <w:rFonts w:ascii="Courier New" w:hAnsi="Courier New"/>
      <w:bCs w:val="false"/>
      <w:color w:val="00000A"/>
      <w:sz w:val="18"/>
      <w:szCs w:val="18"/>
      <w:lang w:val="en-US" w:eastAsia="en-US"/>
    </w:rPr>
  </w:style>
  <w:style w:type="paragraph" w:styleId="Standard" w:customStyle="1">
    <w:name w:val="Standard"/>
    <w:qFormat/>
    <w:rsid w:val="008927cf"/>
    <w:pPr>
      <w:widowControl/>
      <w:suppressAutoHyphens w:val="true"/>
      <w:bidi w:val="0"/>
      <w:jc w:val="left"/>
      <w:textAlignment w:val="baseline"/>
    </w:pPr>
    <w:rPr>
      <w:rFonts w:ascii="Liberation Serif" w:hAnsi="Liberation Serif" w:eastAsia="Noto Sans CJK SC Regular" w:cs="FreeSans"/>
      <w:color w:val="00000A"/>
      <w:sz w:val="24"/>
      <w:szCs w:val="24"/>
      <w:lang w:eastAsia="zh-CN" w:bidi="hi-IN" w:val="en-US"/>
    </w:rPr>
  </w:style>
  <w:style w:type="paragraph" w:styleId="Footnote">
    <w:name w:val="Footnote Text"/>
    <w:basedOn w:val="Normal"/>
    <w:pPr/>
    <w:rPr/>
  </w:style>
  <w:style w:type="numbering" w:styleId="NoList" w:default="1">
    <w:name w:val="No List"/>
    <w:uiPriority w:val="99"/>
    <w:semiHidden/>
    <w:unhideWhenUsed/>
    <w:qFormat/>
  </w:style>
  <w:style w:type="numbering" w:styleId="Estilo2" w:customStyle="1">
    <w:name w:val="Estilo2"/>
    <w:uiPriority w:val="99"/>
    <w:qFormat/>
    <w:rsid w:val="006d3cc7"/>
  </w:style>
  <w:style w:type="numbering" w:styleId="Sinlista1" w:customStyle="1">
    <w:name w:val="Sin lista1"/>
    <w:uiPriority w:val="99"/>
    <w:semiHidden/>
    <w:unhideWhenUsed/>
    <w:qFormat/>
    <w:rsid w:val="00563590"/>
  </w:style>
  <w:style w:type="numbering" w:styleId="Estilo21" w:customStyle="1">
    <w:name w:val="Estilo21"/>
    <w:uiPriority w:val="99"/>
    <w:qFormat/>
    <w:rsid w:val="00563590"/>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styleId="Tablaconcuadrcula">
    <w:name w:val="Table Grid"/>
    <w:basedOn w:val="Tablanormal"/>
    <w:uiPriority w:val="39"/>
    <w:rsid w:val="00c638b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normal1">
    <w:name w:val="Plain Table 1"/>
    <w:basedOn w:val="Tablanormal"/>
    <w:uiPriority w:val="41"/>
    <w:rsid w:val="00133f75"/>
    <w:tblPr>
      <w:tblStyleRowBandSize w:val="1"/>
      <w:tblStyleColBandSize w:val="1"/>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blStylePr w:type="firstRow">
      <w:rPr>
        <w:b/>
        <w:bCs/>
      </w:rPr>
      <w:tblPr/>
    </w:tblStylePr>
    <w:tblStylePr w:type="lastRow">
      <w:rPr>
        <w:b/>
        <w:bCs/>
      </w:rPr>
      <w:tblPr/>
      <w:tcPr>
        <w:tcBorders>
          <w:top w:val="double" w:color="BFBFBF" w:sz="4" w:space="0"/>
        </w:tcBorders>
      </w:tcPr>
    </w:tblStylePr>
    <w:tblStylePr w:type="firstCol">
      <w:rPr>
        <w:b/>
        <w:bCs/>
      </w:rPr>
      <w:tblPr/>
    </w:tblStylePr>
    <w:tblStylePr w:type="lastCol">
      <w:rPr>
        <w:b/>
        <w:bCs/>
      </w:rPr>
      <w:tblPr/>
    </w:tblStylePr>
    <w:tblStylePr w:type="band1Vert">
      <w:tblPr/>
      <w:tcPr>
        <w:shd w:val="clear" w:color="auto" w:fill="F2F2F2"/>
      </w:tcPr>
    </w:tblStylePr>
    <w:tblStylePr w:type="band1Horz">
      <w:tblPr/>
      <w:tcPr>
        <w:shd w:val="clear" w:color="auto" w:fill="F2F2F2"/>
      </w:tcPr>
    </w:tblStylePr>
  </w:style>
  <w:style w:type="table" w:styleId="Tablaconcuadrcula1clara-nfasis5">
    <w:name w:val="Grid Table 1 Light Accent 5"/>
    <w:basedOn w:val="Tablanormal"/>
    <w:uiPriority w:val="46"/>
    <w:rsid w:val="00133f75"/>
    <w:tblPr>
      <w:tblStyleRowBandSize w:val="1"/>
      <w:tblStyleColBandSize w:val="1"/>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Pr>
    <w:tblStylePr w:type="firstRow">
      <w:rPr>
        <w:b/>
        <w:bCs/>
      </w:rPr>
      <w:tblPr/>
      <w:tcPr>
        <w:tcBorders>
          <w:bottom w:val="single" w:color="8EAADB" w:sz="12" w:space="0"/>
        </w:tcBorders>
      </w:tcPr>
    </w:tblStylePr>
    <w:tblStylePr w:type="lastRow">
      <w:rPr>
        <w:b/>
        <w:bCs/>
      </w:rPr>
      <w:tblPr/>
      <w:tcPr>
        <w:tcBorders>
          <w:top w:val="double" w:color="8EAADB" w:sz="2" w:space="0"/>
        </w:tcBorders>
      </w:tcPr>
    </w:tblStylePr>
    <w:tblStylePr w:type="firstCol">
      <w:rPr>
        <w:b/>
        <w:bCs/>
      </w:rPr>
      <w:tblPr/>
    </w:tblStylePr>
    <w:tblStylePr w:type="lastCol">
      <w:rPr>
        <w:b/>
        <w:bCs/>
      </w:rPr>
      <w:tblPr/>
    </w:tblStylePr>
  </w:style>
  <w:style w:type="table" w:styleId="Tabladelista2-nfasis1">
    <w:name w:val="List Table 2 Accent 1"/>
    <w:basedOn w:val="Tablanormal"/>
    <w:uiPriority w:val="47"/>
    <w:rsid w:val="00133f75"/>
    <w:tblPr>
      <w:tblStyleRowBandSize w:val="1"/>
      <w:tblStyleColBandSize w:val="1"/>
      <w:tblBorders>
        <w:top w:val="single" w:color="9CC2E5" w:sz="4" w:space="0"/>
        <w:bottom w:val="single" w:color="9CC2E5" w:sz="4" w:space="0"/>
        <w:insideH w:val="single" w:color="9CC2E5"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DEEAF6"/>
      </w:tcPr>
    </w:tblStylePr>
    <w:tblStylePr w:type="band1Horz">
      <w:tblPr/>
      <w:tcPr>
        <w:shd w:val="clear" w:color="auto" w:fill="DEEAF6"/>
      </w:tcPr>
    </w:tblStylePr>
  </w:style>
  <w:style w:type="table" w:styleId="Tablaconcuadrcula1clara-nfasis1">
    <w:name w:val="Grid Table 1 Light Accent 1"/>
    <w:basedOn w:val="Tablanormal"/>
    <w:uiPriority w:val="46"/>
    <w:rsid w:val="00133f75"/>
    <w:tblPr>
      <w:tblStyleRowBandSize w:val="1"/>
      <w:tblStyleColBandSize w:val="1"/>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Pr>
    <w:tblStylePr w:type="firstRow">
      <w:rPr>
        <w:b/>
        <w:bCs/>
      </w:rPr>
      <w:tblPr/>
      <w:tcPr>
        <w:tcBorders>
          <w:bottom w:val="single" w:color="9CC2E5" w:sz="12" w:space="0"/>
        </w:tcBorders>
      </w:tcPr>
    </w:tblStylePr>
    <w:tblStylePr w:type="lastRow">
      <w:rPr>
        <w:b/>
        <w:bCs/>
      </w:rPr>
      <w:tblPr/>
      <w:tcPr>
        <w:tcBorders>
          <w:top w:val="double" w:color="9CC2E5" w:sz="2" w:space="0"/>
        </w:tcBorders>
      </w:tcPr>
    </w:tblStylePr>
    <w:tblStylePr w:type="firstCol">
      <w:rPr>
        <w:b/>
        <w:bCs/>
      </w:rPr>
      <w:tblPr/>
    </w:tblStylePr>
    <w:tblStylePr w:type="lastCol">
      <w:rPr>
        <w:b/>
        <w:bCs/>
      </w:rPr>
      <w:tbl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chart" Target="charts/chart1.xml"/><Relationship Id="rId5" Type="http://schemas.openxmlformats.org/officeDocument/2006/relationships/chart" Target="charts/chart2.xml"/><Relationship Id="rId6" Type="http://schemas.openxmlformats.org/officeDocument/2006/relationships/chart" Target="charts/chart3.xml"/><Relationship Id="rId7" Type="http://schemas.openxmlformats.org/officeDocument/2006/relationships/image" Target="media/image3.png"/><Relationship Id="rId8" Type="http://schemas.openxmlformats.org/officeDocument/2006/relationships/chart" Target="charts/chart4.xml"/><Relationship Id="rId9" Type="http://schemas.openxmlformats.org/officeDocument/2006/relationships/chart" Target="charts/chart5.xml"/><Relationship Id="rId10" Type="http://schemas.openxmlformats.org/officeDocument/2006/relationships/chart" Target="charts/chart6.xml"/><Relationship Id="rId11" Type="http://schemas.openxmlformats.org/officeDocument/2006/relationships/chart" Target="charts/chart7.xml"/><Relationship Id="rId12" Type="http://schemas.openxmlformats.org/officeDocument/2006/relationships/chart" Target="charts/chart8.xm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chart" Target="charts/chart9.xml"/><Relationship Id="rId27" Type="http://schemas.openxmlformats.org/officeDocument/2006/relationships/chart" Target="charts/chart10.xml"/><Relationship Id="rId28" Type="http://schemas.openxmlformats.org/officeDocument/2006/relationships/image" Target="media/image17.png"/><Relationship Id="rId29" Type="http://schemas.openxmlformats.org/officeDocument/2006/relationships/chart" Target="charts/chart11.xml"/><Relationship Id="rId30" Type="http://schemas.openxmlformats.org/officeDocument/2006/relationships/chart" Target="charts/chart12.xml"/><Relationship Id="rId31" Type="http://schemas.openxmlformats.org/officeDocument/2006/relationships/chart" Target="charts/chart13.xml"/><Relationship Id="rId32" Type="http://schemas.openxmlformats.org/officeDocument/2006/relationships/chart" Target="charts/chart14.xml"/><Relationship Id="rId33" Type="http://schemas.openxmlformats.org/officeDocument/2006/relationships/chart" Target="charts/chart15.xml"/><Relationship Id="rId34" Type="http://schemas.openxmlformats.org/officeDocument/2006/relationships/chart" Target="charts/chart16.xml"/><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diagramData" Target="diagrams/data144.xml"/><Relationship Id="rId41" Type="http://schemas.openxmlformats.org/officeDocument/2006/relationships/diagramLayout" Target="diagrams/layout144.xml"/><Relationship Id="rId42" Type="http://schemas.openxmlformats.org/officeDocument/2006/relationships/diagramQuickStyle" Target="diagrams/quickStyle144.xml"/><Relationship Id="rId43" Type="http://schemas.openxmlformats.org/officeDocument/2006/relationships/diagramColors" Target="diagrams/colors144.xml"/><Relationship Id="rId44" Type="http://schemas.microsoft.com/office/2007/relationships/diagramDrawing" Target="diagrams/drawing144.xml"/><Relationship Id="rId45" Type="http://schemas.openxmlformats.org/officeDocument/2006/relationships/image" Target="media/image23.png"/><Relationship Id="rId46" Type="http://schemas.openxmlformats.org/officeDocument/2006/relationships/image" Target="media/image24.png"/><Relationship Id="rId47" Type="http://schemas.openxmlformats.org/officeDocument/2006/relationships/image" Target="media/image25.png"/><Relationship Id="rId48" Type="http://schemas.openxmlformats.org/officeDocument/2006/relationships/image" Target="media/image26.png"/><Relationship Id="rId49" Type="http://schemas.openxmlformats.org/officeDocument/2006/relationships/image" Target="media/image27.png"/><Relationship Id="rId50" Type="http://schemas.openxmlformats.org/officeDocument/2006/relationships/image" Target="media/image28.png"/><Relationship Id="rId51" Type="http://schemas.openxmlformats.org/officeDocument/2006/relationships/chart" Target="charts/chart17.xml"/><Relationship Id="rId52" Type="http://schemas.openxmlformats.org/officeDocument/2006/relationships/footer" Target="footer1.xml"/><Relationship Id="rId53" Type="http://schemas.openxmlformats.org/officeDocument/2006/relationships/footnotes" Target="footnotes.xml"/><Relationship Id="rId54" Type="http://schemas.openxmlformats.org/officeDocument/2006/relationships/numbering" Target="numbering.xml"/><Relationship Id="rId55" Type="http://schemas.openxmlformats.org/officeDocument/2006/relationships/fontTable" Target="fontTable.xml"/><Relationship Id="rId56" Type="http://schemas.openxmlformats.org/officeDocument/2006/relationships/settings" Target="settings.xml"/><Relationship Id="rId57" Type="http://schemas.openxmlformats.org/officeDocument/2006/relationships/theme" Target="theme/theme1.xml"/><Relationship Id="rId58" Type="http://schemas.openxmlformats.org/officeDocument/2006/relationships/customXml" Target="../customXml/item1.xml"/>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plotArea>
      <c:scatterChart>
        <c:scatterStyle val="line"/>
        <c:varyColors val="0"/>
        <c:ser>
          <c:idx val="0"/>
          <c:order val="0"/>
          <c:tx>
            <c:strRef>
              <c:f>label 0</c:f>
              <c:strCache>
                <c:ptCount val="1"/>
                <c:pt idx="0">
                  <c:v>Muy pocos (menos del 5%)</c:v>
                </c:pt>
              </c:strCache>
            </c:strRef>
          </c:tx>
          <c:spPr>
            <a:solidFill>
              <a:srgbClr val="e3ab00"/>
            </a:solidFill>
            <a:ln w="19080">
              <a:solidFill>
                <a:srgbClr val="e3ab00"/>
              </a:solidFill>
              <a:round/>
            </a:ln>
          </c:spPr>
          <c:marker>
            <c:symbol val="none"/>
          </c:marker>
          <c:dLbls>
            <c:dLblPos val="r"/>
            <c:showLegendKey val="0"/>
            <c:showVal val="0"/>
            <c:showCatName val="0"/>
            <c:showSerName val="0"/>
            <c:showPercent val="0"/>
            <c:showLeaderLines val="0"/>
          </c:dLbls>
          <c:xVal>
            <c:numRef>
              <c:f>1</c:f>
              <c:numCache>
                <c:formatCode>General</c:formatCode>
                <c:ptCount val="51"/>
                <c:pt idx="0">
                  <c:v>0</c:v>
                </c:pt>
                <c:pt idx="1">
                  <c:v>0.02</c:v>
                </c:pt>
                <c:pt idx="2">
                  <c:v>0.04</c:v>
                </c:pt>
                <c:pt idx="3">
                  <c:v>0.06</c:v>
                </c:pt>
                <c:pt idx="4">
                  <c:v>0.08</c:v>
                </c:pt>
                <c:pt idx="5">
                  <c:v>0.1</c:v>
                </c:pt>
                <c:pt idx="6">
                  <c:v>0.12</c:v>
                </c:pt>
                <c:pt idx="7">
                  <c:v>0.14</c:v>
                </c:pt>
                <c:pt idx="8">
                  <c:v>0.16</c:v>
                </c:pt>
                <c:pt idx="9">
                  <c:v>0.18</c:v>
                </c:pt>
                <c:pt idx="10">
                  <c:v>0.2</c:v>
                </c:pt>
                <c:pt idx="11">
                  <c:v>0.22</c:v>
                </c:pt>
                <c:pt idx="12">
                  <c:v>0.24</c:v>
                </c:pt>
                <c:pt idx="13">
                  <c:v>0.26</c:v>
                </c:pt>
                <c:pt idx="14">
                  <c:v>0.28</c:v>
                </c:pt>
                <c:pt idx="15">
                  <c:v>0.3</c:v>
                </c:pt>
                <c:pt idx="16">
                  <c:v>0.32</c:v>
                </c:pt>
                <c:pt idx="17">
                  <c:v>0.34</c:v>
                </c:pt>
                <c:pt idx="18">
                  <c:v>0.36</c:v>
                </c:pt>
                <c:pt idx="19">
                  <c:v>0.38</c:v>
                </c:pt>
                <c:pt idx="20">
                  <c:v>0.4</c:v>
                </c:pt>
                <c:pt idx="21">
                  <c:v>0.42</c:v>
                </c:pt>
                <c:pt idx="22">
                  <c:v>0.44</c:v>
                </c:pt>
                <c:pt idx="23">
                  <c:v>0.46</c:v>
                </c:pt>
                <c:pt idx="24">
                  <c:v>0.48</c:v>
                </c:pt>
                <c:pt idx="25">
                  <c:v>0.5</c:v>
                </c:pt>
                <c:pt idx="26">
                  <c:v>0.52</c:v>
                </c:pt>
                <c:pt idx="27">
                  <c:v>0.54</c:v>
                </c:pt>
                <c:pt idx="28">
                  <c:v>0.56</c:v>
                </c:pt>
                <c:pt idx="29">
                  <c:v>0.58</c:v>
                </c:pt>
                <c:pt idx="30">
                  <c:v>0.6</c:v>
                </c:pt>
                <c:pt idx="31">
                  <c:v>0.62</c:v>
                </c:pt>
                <c:pt idx="32">
                  <c:v>0.64</c:v>
                </c:pt>
                <c:pt idx="33">
                  <c:v>0.66</c:v>
                </c:pt>
                <c:pt idx="34">
                  <c:v>0.68</c:v>
                </c:pt>
                <c:pt idx="35">
                  <c:v>0.7</c:v>
                </c:pt>
                <c:pt idx="36">
                  <c:v>0.72</c:v>
                </c:pt>
                <c:pt idx="37">
                  <c:v>0.74</c:v>
                </c:pt>
                <c:pt idx="38">
                  <c:v>0.76</c:v>
                </c:pt>
                <c:pt idx="39">
                  <c:v>0.78</c:v>
                </c:pt>
                <c:pt idx="40">
                  <c:v>0.8</c:v>
                </c:pt>
                <c:pt idx="41">
                  <c:v>0.82</c:v>
                </c:pt>
                <c:pt idx="42">
                  <c:v>0.84</c:v>
                </c:pt>
                <c:pt idx="43">
                  <c:v>0.86</c:v>
                </c:pt>
                <c:pt idx="44">
                  <c:v>0.88</c:v>
                </c:pt>
                <c:pt idx="45">
                  <c:v>0.9</c:v>
                </c:pt>
                <c:pt idx="46">
                  <c:v>0.92</c:v>
                </c:pt>
                <c:pt idx="47">
                  <c:v>0.94</c:v>
                </c:pt>
                <c:pt idx="48">
                  <c:v>0.96</c:v>
                </c:pt>
                <c:pt idx="49">
                  <c:v>0.98</c:v>
                </c:pt>
                <c:pt idx="50">
                  <c:v>1</c:v>
                </c:pt>
              </c:numCache>
            </c:numRef>
          </c:xVal>
          <c:yVal>
            <c:numRef>
              <c:f>0</c:f>
              <c:numCache>
                <c:formatCode>General</c:formatCode>
                <c:ptCount val="51"/>
                <c:pt idx="0">
                  <c:v>1</c:v>
                </c:pt>
                <c:pt idx="1">
                  <c:v>0.923116346386636</c:v>
                </c:pt>
                <c:pt idx="2">
                  <c:v>0.726149037073691</c:v>
                </c:pt>
                <c:pt idx="3">
                  <c:v>0.486752255959972</c:v>
                </c:pt>
                <c:pt idx="4">
                  <c:v>0.278037300453194</c:v>
                </c:pt>
                <c:pt idx="5">
                  <c:v>0.135335283236613</c:v>
                </c:pt>
                <c:pt idx="6">
                  <c:v>0.0561347628341337</c:v>
                </c:pt>
                <c:pt idx="7">
                  <c:v>0.0198410947443703</c:v>
                </c:pt>
                <c:pt idx="8">
                  <c:v>0.00597602289500595</c:v>
                </c:pt>
                <c:pt idx="9">
                  <c:v>0.00153381067932447</c:v>
                </c:pt>
                <c:pt idx="10">
                  <c:v>0.000335462627902513</c:v>
                </c:pt>
                <c:pt idx="11">
                  <c:v>6.25215037748205E-005</c:v>
                </c:pt>
                <c:pt idx="12">
                  <c:v>9.92950430585113E-006</c:v>
                </c:pt>
                <c:pt idx="13">
                  <c:v>1.34381227763153E-006</c:v>
                </c:pt>
                <c:pt idx="14">
                  <c:v>1.54975313570291E-007</c:v>
                </c:pt>
                <c:pt idx="15">
                  <c:v>1.52299797447127E-008</c:v>
                </c:pt>
                <c:pt idx="16">
                  <c:v>1.27540762952605E-009</c:v>
                </c:pt>
                <c:pt idx="17">
                  <c:v>9.10147076448794E-011</c:v>
                </c:pt>
                <c:pt idx="18">
                  <c:v>5.53461007170103E-012</c:v>
                </c:pt>
                <c:pt idx="19">
                  <c:v>2.86797500888808E-013</c:v>
                </c:pt>
                <c:pt idx="20">
                  <c:v>1.26641655490941E-014</c:v>
                </c:pt>
                <c:pt idx="21">
                  <c:v>4.76530473529905E-016</c:v>
                </c:pt>
                <c:pt idx="22">
                  <c:v>1.52797996828728E-017</c:v>
                </c:pt>
                <c:pt idx="23">
                  <c:v>4.17501005585046E-019</c:v>
                </c:pt>
                <c:pt idx="24">
                  <c:v>9.72098502030057E-021</c:v>
                </c:pt>
                <c:pt idx="25">
                  <c:v>1.92874984796389E-022</c:v>
                </c:pt>
                <c:pt idx="26">
                  <c:v>3.26102718071098E-024</c:v>
                </c:pt>
                <c:pt idx="27">
                  <c:v>4.69835486089795E-026</c:v>
                </c:pt>
                <c:pt idx="28">
                  <c:v>5.76832996124776E-028</c:v>
                </c:pt>
                <c:pt idx="29">
                  <c:v>6.03486080597083E-030</c:v>
                </c:pt>
                <c:pt idx="30">
                  <c:v>5.38018616002091E-032</c:v>
                </c:pt>
                <c:pt idx="31">
                  <c:v>4.08733497286577E-034</c:v>
                </c:pt>
                <c:pt idx="32">
                  <c:v>2.64603779068751E-036</c:v>
                </c:pt>
                <c:pt idx="33">
                  <c:v>1.45970379320951E-038</c:v>
                </c:pt>
                <c:pt idx="34">
                  <c:v>6.86193047676097E-041</c:v>
                </c:pt>
                <c:pt idx="35">
                  <c:v>2.74878500791006E-043</c:v>
                </c:pt>
                <c:pt idx="36">
                  <c:v>9.38313827283009E-046</c:v>
                </c:pt>
                <c:pt idx="37">
                  <c:v>2.72940725719011E-048</c:v>
                </c:pt>
                <c:pt idx="38">
                  <c:v>6.76552417976886E-051</c:v>
                </c:pt>
                <c:pt idx="39">
                  <c:v>1.42905005837036E-053</c:v>
                </c:pt>
                <c:pt idx="40">
                  <c:v>2.5722093726422E-056</c:v>
                </c:pt>
                <c:pt idx="41">
                  <c:v>3.94528220521701E-059</c:v>
                </c:pt>
                <c:pt idx="42">
                  <c:v>5.15659132684145E-062</c:v>
                </c:pt>
                <c:pt idx="43">
                  <c:v>5.74328326742817E-065</c:v>
                </c:pt>
                <c:pt idx="44">
                  <c:v>5.45093047573394E-068</c:v>
                </c:pt>
                <c:pt idx="45">
                  <c:v>4.4085313314626E-071</c:v>
                </c:pt>
                <c:pt idx="46">
                  <c:v>3.03829615073139E-074</c:v>
                </c:pt>
                <c:pt idx="47">
                  <c:v>1.78434635508551E-077</c:v>
                </c:pt>
                <c:pt idx="48">
                  <c:v>8.92978691157053E-081</c:v>
                </c:pt>
                <c:pt idx="49">
                  <c:v>3.80816639255991E-084</c:v>
                </c:pt>
                <c:pt idx="50">
                  <c:v>1.38389652673654E-087</c:v>
                </c:pt>
              </c:numCache>
            </c:numRef>
          </c:yVal>
          <c:smooth val="1"/>
        </c:ser>
        <c:ser>
          <c:idx val="1"/>
          <c:order val="1"/>
          <c:tx>
            <c:strRef>
              <c:f>label 2</c:f>
              <c:strCache>
                <c:ptCount val="1"/>
                <c:pt idx="0">
                  <c:v>Pocos (alrededor del 15%)</c:v>
                </c:pt>
              </c:strCache>
            </c:strRef>
          </c:tx>
          <c:spPr>
            <a:solidFill>
              <a:srgbClr val="3c65ae"/>
            </a:solidFill>
            <a:ln w="19080">
              <a:solidFill>
                <a:srgbClr val="3c65ae"/>
              </a:solidFill>
              <a:round/>
            </a:ln>
          </c:spPr>
          <c:marker>
            <c:symbol val="none"/>
          </c:marker>
          <c:dLbls>
            <c:dLblPos val="r"/>
            <c:showLegendKey val="0"/>
            <c:showVal val="0"/>
            <c:showCatName val="0"/>
            <c:showSerName val="0"/>
            <c:showPercent val="0"/>
            <c:showLeaderLines val="0"/>
          </c:dLbls>
          <c:xVal>
            <c:numRef>
              <c:f>3</c:f>
              <c:numCache>
                <c:formatCode>General</c:formatCode>
                <c:ptCount val="51"/>
                <c:pt idx="0">
                  <c:v>0</c:v>
                </c:pt>
                <c:pt idx="1">
                  <c:v>0.02</c:v>
                </c:pt>
                <c:pt idx="2">
                  <c:v>0.04</c:v>
                </c:pt>
                <c:pt idx="3">
                  <c:v>0.06</c:v>
                </c:pt>
                <c:pt idx="4">
                  <c:v>0.08</c:v>
                </c:pt>
                <c:pt idx="5">
                  <c:v>0.1</c:v>
                </c:pt>
                <c:pt idx="6">
                  <c:v>0.12</c:v>
                </c:pt>
                <c:pt idx="7">
                  <c:v>0.14</c:v>
                </c:pt>
                <c:pt idx="8">
                  <c:v>0.16</c:v>
                </c:pt>
                <c:pt idx="9">
                  <c:v>0.18</c:v>
                </c:pt>
                <c:pt idx="10">
                  <c:v>0.2</c:v>
                </c:pt>
                <c:pt idx="11">
                  <c:v>0.22</c:v>
                </c:pt>
                <c:pt idx="12">
                  <c:v>0.24</c:v>
                </c:pt>
                <c:pt idx="13">
                  <c:v>0.26</c:v>
                </c:pt>
                <c:pt idx="14">
                  <c:v>0.28</c:v>
                </c:pt>
                <c:pt idx="15">
                  <c:v>0.3</c:v>
                </c:pt>
                <c:pt idx="16">
                  <c:v>0.32</c:v>
                </c:pt>
                <c:pt idx="17">
                  <c:v>0.34</c:v>
                </c:pt>
                <c:pt idx="18">
                  <c:v>0.36</c:v>
                </c:pt>
                <c:pt idx="19">
                  <c:v>0.38</c:v>
                </c:pt>
                <c:pt idx="20">
                  <c:v>0.4</c:v>
                </c:pt>
                <c:pt idx="21">
                  <c:v>0.42</c:v>
                </c:pt>
                <c:pt idx="22">
                  <c:v>0.44</c:v>
                </c:pt>
                <c:pt idx="23">
                  <c:v>0.46</c:v>
                </c:pt>
                <c:pt idx="24">
                  <c:v>0.48</c:v>
                </c:pt>
                <c:pt idx="25">
                  <c:v>0.5</c:v>
                </c:pt>
                <c:pt idx="26">
                  <c:v>0.52</c:v>
                </c:pt>
                <c:pt idx="27">
                  <c:v>0.54</c:v>
                </c:pt>
                <c:pt idx="28">
                  <c:v>0.56</c:v>
                </c:pt>
                <c:pt idx="29">
                  <c:v>0.58</c:v>
                </c:pt>
                <c:pt idx="30">
                  <c:v>0.6</c:v>
                </c:pt>
                <c:pt idx="31">
                  <c:v>0.62</c:v>
                </c:pt>
                <c:pt idx="32">
                  <c:v>0.64</c:v>
                </c:pt>
                <c:pt idx="33">
                  <c:v>0.66</c:v>
                </c:pt>
                <c:pt idx="34">
                  <c:v>0.68</c:v>
                </c:pt>
                <c:pt idx="35">
                  <c:v>0.7</c:v>
                </c:pt>
                <c:pt idx="36">
                  <c:v>0.72</c:v>
                </c:pt>
                <c:pt idx="37">
                  <c:v>0.74</c:v>
                </c:pt>
                <c:pt idx="38">
                  <c:v>0.76</c:v>
                </c:pt>
                <c:pt idx="39">
                  <c:v>0.78</c:v>
                </c:pt>
                <c:pt idx="40">
                  <c:v>0.8</c:v>
                </c:pt>
                <c:pt idx="41">
                  <c:v>0.82</c:v>
                </c:pt>
                <c:pt idx="42">
                  <c:v>0.84</c:v>
                </c:pt>
                <c:pt idx="43">
                  <c:v>0.86</c:v>
                </c:pt>
                <c:pt idx="44">
                  <c:v>0.88</c:v>
                </c:pt>
                <c:pt idx="45">
                  <c:v>0.9</c:v>
                </c:pt>
                <c:pt idx="46">
                  <c:v>0.92</c:v>
                </c:pt>
                <c:pt idx="47">
                  <c:v>0.94</c:v>
                </c:pt>
                <c:pt idx="48">
                  <c:v>0.96</c:v>
                </c:pt>
                <c:pt idx="49">
                  <c:v>0.98</c:v>
                </c:pt>
                <c:pt idx="50">
                  <c:v>1</c:v>
                </c:pt>
              </c:numCache>
            </c:numRef>
          </c:xVal>
          <c:yVal>
            <c:numRef>
              <c:f>2</c:f>
              <c:numCache>
                <c:formatCode>General</c:formatCode>
                <c:ptCount val="51"/>
                <c:pt idx="0">
                  <c:v>0.00308871540823677</c:v>
                </c:pt>
                <c:pt idx="1">
                  <c:v>0.0111089965382423</c:v>
                </c:pt>
                <c:pt idx="2">
                  <c:v>0.0340474547345993</c:v>
                </c:pt>
                <c:pt idx="3">
                  <c:v>0.0889216174593863</c:v>
                </c:pt>
                <c:pt idx="4">
                  <c:v>0.197898699083615</c:v>
                </c:pt>
                <c:pt idx="5">
                  <c:v>0.3753110988514</c:v>
                </c:pt>
                <c:pt idx="6">
                  <c:v>0.606530659712634</c:v>
                </c:pt>
                <c:pt idx="7">
                  <c:v>0.835270211411272</c:v>
                </c:pt>
                <c:pt idx="8">
                  <c:v>0.980198673306755</c:v>
                </c:pt>
                <c:pt idx="9">
                  <c:v>0.980198673306755</c:v>
                </c:pt>
                <c:pt idx="10">
                  <c:v>0.835270211411272</c:v>
                </c:pt>
                <c:pt idx="11">
                  <c:v>0.606530659712634</c:v>
                </c:pt>
                <c:pt idx="12">
                  <c:v>0.3753110988514</c:v>
                </c:pt>
                <c:pt idx="13">
                  <c:v>0.197898699083615</c:v>
                </c:pt>
                <c:pt idx="14">
                  <c:v>0.0889216174593865</c:v>
                </c:pt>
                <c:pt idx="15">
                  <c:v>0.0340474547345994</c:v>
                </c:pt>
                <c:pt idx="16">
                  <c:v>0.0111089965382423</c:v>
                </c:pt>
                <c:pt idx="17">
                  <c:v>0.00308871540823677</c:v>
                </c:pt>
                <c:pt idx="18">
                  <c:v>0.000731802418880471</c:v>
                </c:pt>
                <c:pt idx="19">
                  <c:v>0.000147748360232033</c:v>
                </c:pt>
                <c:pt idx="20">
                  <c:v>2.54193465161992E-005</c:v>
                </c:pt>
                <c:pt idx="21">
                  <c:v>3.72665317207864E-006</c:v>
                </c:pt>
                <c:pt idx="22">
                  <c:v>4.65571571578303E-007</c:v>
                </c:pt>
                <c:pt idx="23">
                  <c:v>4.95640531917243E-008</c:v>
                </c:pt>
                <c:pt idx="24">
                  <c:v>4.49634946228079E-009</c:v>
                </c:pt>
                <c:pt idx="25">
                  <c:v>3.47589128123991E-010</c:v>
                </c:pt>
                <c:pt idx="26">
                  <c:v>2.28973484564554E-011</c:v>
                </c:pt>
                <c:pt idx="27">
                  <c:v>1.28533722513364E-012</c:v>
                </c:pt>
                <c:pt idx="28">
                  <c:v>6.14839641270469E-014</c:v>
                </c:pt>
                <c:pt idx="29">
                  <c:v>2.50622188714522E-015</c:v>
                </c:pt>
                <c:pt idx="30">
                  <c:v>8.705426622296E-017</c:v>
                </c:pt>
                <c:pt idx="31">
                  <c:v>2.57675710915493E-018</c:v>
                </c:pt>
                <c:pt idx="32">
                  <c:v>6.49934797207071E-020</c:v>
                </c:pt>
                <c:pt idx="33">
                  <c:v>1.39694394314706E-021</c:v>
                </c:pt>
                <c:pt idx="34">
                  <c:v>2.55859208104859E-023</c:v>
                </c:pt>
                <c:pt idx="35">
                  <c:v>3.99333740985749E-025</c:v>
                </c:pt>
                <c:pt idx="36">
                  <c:v>5.31109224967887E-027</c:v>
                </c:pt>
                <c:pt idx="37">
                  <c:v>6.01928027681623E-029</c:v>
                </c:pt>
                <c:pt idx="38">
                  <c:v>5.81323888488921E-031</c:v>
                </c:pt>
                <c:pt idx="39">
                  <c:v>4.78414855581656E-033</c:v>
                </c:pt>
                <c:pt idx="40">
                  <c:v>3.35508885623091E-035</c:v>
                </c:pt>
                <c:pt idx="41">
                  <c:v>2.00500878196148E-037</c:v>
                </c:pt>
                <c:pt idx="42">
                  <c:v>1.02103684608929E-039</c:v>
                </c:pt>
                <c:pt idx="43">
                  <c:v>4.43077231241251E-042</c:v>
                </c:pt>
                <c:pt idx="44">
                  <c:v>1.63843921700673E-044</c:v>
                </c:pt>
                <c:pt idx="45">
                  <c:v>5.16290482005609E-047</c:v>
                </c:pt>
                <c:pt idx="46">
                  <c:v>1.38634329364101E-049</c:v>
                </c:pt>
                <c:pt idx="47">
                  <c:v>3.17219835744455E-052</c:v>
                </c:pt>
                <c:pt idx="48">
                  <c:v>6.18532848682342E-055</c:v>
                </c:pt>
                <c:pt idx="49">
                  <c:v>1.02772775342513E-057</c:v>
                </c:pt>
                <c:pt idx="50">
                  <c:v>1.45514504020155E-060</c:v>
                </c:pt>
              </c:numCache>
            </c:numRef>
          </c:yVal>
          <c:smooth val="1"/>
        </c:ser>
        <c:ser>
          <c:idx val="2"/>
          <c:order val="2"/>
          <c:tx>
            <c:strRef>
              <c:f>label 4</c:f>
              <c:strCache>
                <c:ptCount val="1"/>
                <c:pt idx="0">
                  <c:v>Algunos (alrededor del 33%)</c:v>
                </c:pt>
              </c:strCache>
            </c:strRef>
          </c:tx>
          <c:spPr>
            <a:solidFill>
              <a:srgbClr val="639a3f"/>
            </a:solidFill>
            <a:ln w="19080">
              <a:solidFill>
                <a:srgbClr val="639a3f"/>
              </a:solidFill>
              <a:round/>
            </a:ln>
          </c:spPr>
          <c:marker>
            <c:symbol val="none"/>
          </c:marker>
          <c:dLbls>
            <c:dLblPos val="r"/>
            <c:showLegendKey val="0"/>
            <c:showVal val="0"/>
            <c:showCatName val="0"/>
            <c:showSerName val="0"/>
            <c:showPercent val="0"/>
            <c:showLeaderLines val="0"/>
          </c:dLbls>
          <c:xVal>
            <c:numRef>
              <c:f>5</c:f>
              <c:numCache>
                <c:formatCode>General</c:formatCode>
                <c:ptCount val="51"/>
                <c:pt idx="0">
                  <c:v>0</c:v>
                </c:pt>
                <c:pt idx="1">
                  <c:v>0.02</c:v>
                </c:pt>
                <c:pt idx="2">
                  <c:v>0.04</c:v>
                </c:pt>
                <c:pt idx="3">
                  <c:v>0.06</c:v>
                </c:pt>
                <c:pt idx="4">
                  <c:v>0.08</c:v>
                </c:pt>
                <c:pt idx="5">
                  <c:v>0.1</c:v>
                </c:pt>
                <c:pt idx="6">
                  <c:v>0.12</c:v>
                </c:pt>
                <c:pt idx="7">
                  <c:v>0.14</c:v>
                </c:pt>
                <c:pt idx="8">
                  <c:v>0.16</c:v>
                </c:pt>
                <c:pt idx="9">
                  <c:v>0.18</c:v>
                </c:pt>
                <c:pt idx="10">
                  <c:v>0.2</c:v>
                </c:pt>
                <c:pt idx="11">
                  <c:v>0.22</c:v>
                </c:pt>
                <c:pt idx="12">
                  <c:v>0.24</c:v>
                </c:pt>
                <c:pt idx="13">
                  <c:v>0.26</c:v>
                </c:pt>
                <c:pt idx="14">
                  <c:v>0.28</c:v>
                </c:pt>
                <c:pt idx="15">
                  <c:v>0.3</c:v>
                </c:pt>
                <c:pt idx="16">
                  <c:v>0.32</c:v>
                </c:pt>
                <c:pt idx="17">
                  <c:v>0.34</c:v>
                </c:pt>
                <c:pt idx="18">
                  <c:v>0.36</c:v>
                </c:pt>
                <c:pt idx="19">
                  <c:v>0.38</c:v>
                </c:pt>
                <c:pt idx="20">
                  <c:v>0.4</c:v>
                </c:pt>
                <c:pt idx="21">
                  <c:v>0.42</c:v>
                </c:pt>
                <c:pt idx="22">
                  <c:v>0.44</c:v>
                </c:pt>
                <c:pt idx="23">
                  <c:v>0.46</c:v>
                </c:pt>
                <c:pt idx="24">
                  <c:v>0.48</c:v>
                </c:pt>
                <c:pt idx="25">
                  <c:v>0.5</c:v>
                </c:pt>
                <c:pt idx="26">
                  <c:v>0.52</c:v>
                </c:pt>
                <c:pt idx="27">
                  <c:v>0.54</c:v>
                </c:pt>
                <c:pt idx="28">
                  <c:v>0.56</c:v>
                </c:pt>
                <c:pt idx="29">
                  <c:v>0.58</c:v>
                </c:pt>
                <c:pt idx="30">
                  <c:v>0.6</c:v>
                </c:pt>
                <c:pt idx="31">
                  <c:v>0.62</c:v>
                </c:pt>
                <c:pt idx="32">
                  <c:v>0.64</c:v>
                </c:pt>
                <c:pt idx="33">
                  <c:v>0.66</c:v>
                </c:pt>
                <c:pt idx="34">
                  <c:v>0.68</c:v>
                </c:pt>
                <c:pt idx="35">
                  <c:v>0.7</c:v>
                </c:pt>
                <c:pt idx="36">
                  <c:v>0.72</c:v>
                </c:pt>
                <c:pt idx="37">
                  <c:v>0.74</c:v>
                </c:pt>
                <c:pt idx="38">
                  <c:v>0.76</c:v>
                </c:pt>
                <c:pt idx="39">
                  <c:v>0.78</c:v>
                </c:pt>
                <c:pt idx="40">
                  <c:v>0.8</c:v>
                </c:pt>
                <c:pt idx="41">
                  <c:v>0.82</c:v>
                </c:pt>
                <c:pt idx="42">
                  <c:v>0.84</c:v>
                </c:pt>
                <c:pt idx="43">
                  <c:v>0.86</c:v>
                </c:pt>
                <c:pt idx="44">
                  <c:v>0.88</c:v>
                </c:pt>
                <c:pt idx="45">
                  <c:v>0.9</c:v>
                </c:pt>
                <c:pt idx="46">
                  <c:v>0.92</c:v>
                </c:pt>
                <c:pt idx="47">
                  <c:v>0.94</c:v>
                </c:pt>
                <c:pt idx="48">
                  <c:v>0.96</c:v>
                </c:pt>
                <c:pt idx="49">
                  <c:v>0.98</c:v>
                </c:pt>
                <c:pt idx="50">
                  <c:v>1</c:v>
                </c:pt>
              </c:numCache>
            </c:numRef>
          </c:xVal>
          <c:yVal>
            <c:numRef>
              <c:f>4</c:f>
              <c:numCache>
                <c:formatCode>General</c:formatCode>
                <c:ptCount val="51"/>
                <c:pt idx="0">
                  <c:v>3.47589128123993E-010</c:v>
                </c:pt>
                <c:pt idx="1">
                  <c:v>4.49634946228087E-009</c:v>
                </c:pt>
                <c:pt idx="2">
                  <c:v>4.9564053191725E-008</c:v>
                </c:pt>
                <c:pt idx="3">
                  <c:v>4.6557157157831E-007</c:v>
                </c:pt>
                <c:pt idx="4">
                  <c:v>3.72665317207868E-006</c:v>
                </c:pt>
                <c:pt idx="5">
                  <c:v>2.54193465161993E-005</c:v>
                </c:pt>
                <c:pt idx="6">
                  <c:v>0.000147748360232034</c:v>
                </c:pt>
                <c:pt idx="7">
                  <c:v>0.000731802418880473</c:v>
                </c:pt>
                <c:pt idx="8">
                  <c:v>0.00308871540823677</c:v>
                </c:pt>
                <c:pt idx="9">
                  <c:v>0.0111089965382423</c:v>
                </c:pt>
                <c:pt idx="10">
                  <c:v>0.0340474547345993</c:v>
                </c:pt>
                <c:pt idx="11">
                  <c:v>0.0889216174593862</c:v>
                </c:pt>
                <c:pt idx="12">
                  <c:v>0.197898699083614</c:v>
                </c:pt>
                <c:pt idx="13">
                  <c:v>0.375311098851399</c:v>
                </c:pt>
                <c:pt idx="14">
                  <c:v>0.606530659712633</c:v>
                </c:pt>
                <c:pt idx="15">
                  <c:v>0.835270211411272</c:v>
                </c:pt>
                <c:pt idx="16">
                  <c:v>0.980198673306755</c:v>
                </c:pt>
                <c:pt idx="17">
                  <c:v>0.980198673306755</c:v>
                </c:pt>
                <c:pt idx="18">
                  <c:v>0.835270211411272</c:v>
                </c:pt>
                <c:pt idx="19">
                  <c:v>0.606530659712633</c:v>
                </c:pt>
                <c:pt idx="20">
                  <c:v>0.375311098851399</c:v>
                </c:pt>
                <c:pt idx="21">
                  <c:v>0.197898699083614</c:v>
                </c:pt>
                <c:pt idx="22">
                  <c:v>0.088921617459386</c:v>
                </c:pt>
                <c:pt idx="23">
                  <c:v>0.0340474547345992</c:v>
                </c:pt>
                <c:pt idx="24">
                  <c:v>0.0111089965382422</c:v>
                </c:pt>
                <c:pt idx="25">
                  <c:v>0.00308871540823675</c:v>
                </c:pt>
                <c:pt idx="26">
                  <c:v>0.000731802418880468</c:v>
                </c:pt>
                <c:pt idx="27">
                  <c:v>0.000147748360232032</c:v>
                </c:pt>
                <c:pt idx="28">
                  <c:v>2.5419346516199E-005</c:v>
                </c:pt>
                <c:pt idx="29">
                  <c:v>3.72665317207862E-006</c:v>
                </c:pt>
                <c:pt idx="30">
                  <c:v>4.655715715783E-007</c:v>
                </c:pt>
                <c:pt idx="31">
                  <c:v>4.95640531917239E-008</c:v>
                </c:pt>
                <c:pt idx="32">
                  <c:v>4.49634946228076E-009</c:v>
                </c:pt>
                <c:pt idx="33">
                  <c:v>3.47589128123982E-010</c:v>
                </c:pt>
                <c:pt idx="34">
                  <c:v>2.28973484564548E-011</c:v>
                </c:pt>
                <c:pt idx="35">
                  <c:v>1.2853372251336E-012</c:v>
                </c:pt>
                <c:pt idx="36">
                  <c:v>6.14839641270452E-014</c:v>
                </c:pt>
                <c:pt idx="37">
                  <c:v>2.50622188714517E-015</c:v>
                </c:pt>
                <c:pt idx="38">
                  <c:v>8.70542662229582E-017</c:v>
                </c:pt>
                <c:pt idx="39">
                  <c:v>2.57675710915483E-018</c:v>
                </c:pt>
                <c:pt idx="40">
                  <c:v>6.49934797207048E-020</c:v>
                </c:pt>
                <c:pt idx="41">
                  <c:v>1.39694394314701E-021</c:v>
                </c:pt>
                <c:pt idx="42">
                  <c:v>2.55859208104847E-023</c:v>
                </c:pt>
                <c:pt idx="43">
                  <c:v>3.99333740985732E-025</c:v>
                </c:pt>
                <c:pt idx="44">
                  <c:v>5.31109224967857E-027</c:v>
                </c:pt>
                <c:pt idx="45">
                  <c:v>6.01928027681589E-029</c:v>
                </c:pt>
                <c:pt idx="46">
                  <c:v>5.81323888488888E-031</c:v>
                </c:pt>
                <c:pt idx="47">
                  <c:v>4.78414855581629E-033</c:v>
                </c:pt>
                <c:pt idx="48">
                  <c:v>3.35508885623072E-035</c:v>
                </c:pt>
                <c:pt idx="49">
                  <c:v>2.00500878196137E-037</c:v>
                </c:pt>
                <c:pt idx="50">
                  <c:v>1.02103684608929E-039</c:v>
                </c:pt>
              </c:numCache>
            </c:numRef>
          </c:yVal>
          <c:smooth val="1"/>
        </c:ser>
        <c:ser>
          <c:idx val="3"/>
          <c:order val="3"/>
          <c:tx>
            <c:strRef>
              <c:f>label 6</c:f>
              <c:strCache>
                <c:ptCount val="1"/>
                <c:pt idx="0">
                  <c:v>Aproximadamente la mitad</c:v>
                </c:pt>
              </c:strCache>
            </c:strRef>
          </c:tx>
          <c:spPr>
            <a:solidFill>
              <a:srgbClr val="518abd"/>
            </a:solidFill>
            <a:ln w="19080">
              <a:solidFill>
                <a:srgbClr val="518abd"/>
              </a:solidFill>
              <a:round/>
            </a:ln>
          </c:spPr>
          <c:marker>
            <c:symbol val="none"/>
          </c:marker>
          <c:dLbls>
            <c:dLblPos val="r"/>
            <c:showLegendKey val="0"/>
            <c:showVal val="0"/>
            <c:showCatName val="0"/>
            <c:showSerName val="0"/>
            <c:showPercent val="0"/>
            <c:showLeaderLines val="0"/>
          </c:dLbls>
          <c:xVal>
            <c:numRef>
              <c:f>7</c:f>
              <c:numCache>
                <c:formatCode>General</c:formatCode>
                <c:ptCount val="51"/>
                <c:pt idx="0">
                  <c:v>0</c:v>
                </c:pt>
                <c:pt idx="1">
                  <c:v>0.02</c:v>
                </c:pt>
                <c:pt idx="2">
                  <c:v>0.04</c:v>
                </c:pt>
                <c:pt idx="3">
                  <c:v>0.06</c:v>
                </c:pt>
                <c:pt idx="4">
                  <c:v>0.08</c:v>
                </c:pt>
                <c:pt idx="5">
                  <c:v>0.1</c:v>
                </c:pt>
                <c:pt idx="6">
                  <c:v>0.12</c:v>
                </c:pt>
                <c:pt idx="7">
                  <c:v>0.14</c:v>
                </c:pt>
                <c:pt idx="8">
                  <c:v>0.16</c:v>
                </c:pt>
                <c:pt idx="9">
                  <c:v>0.18</c:v>
                </c:pt>
                <c:pt idx="10">
                  <c:v>0.2</c:v>
                </c:pt>
                <c:pt idx="11">
                  <c:v>0.22</c:v>
                </c:pt>
                <c:pt idx="12">
                  <c:v>0.24</c:v>
                </c:pt>
                <c:pt idx="13">
                  <c:v>0.26</c:v>
                </c:pt>
                <c:pt idx="14">
                  <c:v>0.28</c:v>
                </c:pt>
                <c:pt idx="15">
                  <c:v>0.3</c:v>
                </c:pt>
                <c:pt idx="16">
                  <c:v>0.32</c:v>
                </c:pt>
                <c:pt idx="17">
                  <c:v>0.34</c:v>
                </c:pt>
                <c:pt idx="18">
                  <c:v>0.36</c:v>
                </c:pt>
                <c:pt idx="19">
                  <c:v>0.38</c:v>
                </c:pt>
                <c:pt idx="20">
                  <c:v>0.4</c:v>
                </c:pt>
                <c:pt idx="21">
                  <c:v>0.42</c:v>
                </c:pt>
                <c:pt idx="22">
                  <c:v>0.44</c:v>
                </c:pt>
                <c:pt idx="23">
                  <c:v>0.46</c:v>
                </c:pt>
                <c:pt idx="24">
                  <c:v>0.48</c:v>
                </c:pt>
                <c:pt idx="25">
                  <c:v>0.5</c:v>
                </c:pt>
                <c:pt idx="26">
                  <c:v>0.52</c:v>
                </c:pt>
                <c:pt idx="27">
                  <c:v>0.54</c:v>
                </c:pt>
                <c:pt idx="28">
                  <c:v>0.56</c:v>
                </c:pt>
                <c:pt idx="29">
                  <c:v>0.58</c:v>
                </c:pt>
                <c:pt idx="30">
                  <c:v>0.6</c:v>
                </c:pt>
                <c:pt idx="31">
                  <c:v>0.62</c:v>
                </c:pt>
                <c:pt idx="32">
                  <c:v>0.64</c:v>
                </c:pt>
                <c:pt idx="33">
                  <c:v>0.66</c:v>
                </c:pt>
                <c:pt idx="34">
                  <c:v>0.68</c:v>
                </c:pt>
                <c:pt idx="35">
                  <c:v>0.7</c:v>
                </c:pt>
                <c:pt idx="36">
                  <c:v>0.72</c:v>
                </c:pt>
                <c:pt idx="37">
                  <c:v>0.74</c:v>
                </c:pt>
                <c:pt idx="38">
                  <c:v>0.76</c:v>
                </c:pt>
                <c:pt idx="39">
                  <c:v>0.78</c:v>
                </c:pt>
                <c:pt idx="40">
                  <c:v>0.8</c:v>
                </c:pt>
                <c:pt idx="41">
                  <c:v>0.82</c:v>
                </c:pt>
                <c:pt idx="42">
                  <c:v>0.84</c:v>
                </c:pt>
                <c:pt idx="43">
                  <c:v>0.86</c:v>
                </c:pt>
                <c:pt idx="44">
                  <c:v>0.88</c:v>
                </c:pt>
                <c:pt idx="45">
                  <c:v>0.9</c:v>
                </c:pt>
                <c:pt idx="46">
                  <c:v>0.92</c:v>
                </c:pt>
                <c:pt idx="47">
                  <c:v>0.94</c:v>
                </c:pt>
                <c:pt idx="48">
                  <c:v>0.96</c:v>
                </c:pt>
                <c:pt idx="49">
                  <c:v>0.98</c:v>
                </c:pt>
                <c:pt idx="50">
                  <c:v>1</c:v>
                </c:pt>
              </c:numCache>
            </c:numRef>
          </c:xVal>
          <c:yVal>
            <c:numRef>
              <c:f>6</c:f>
              <c:numCache>
                <c:formatCode>General</c:formatCode>
                <c:ptCount val="51"/>
                <c:pt idx="0">
                  <c:v>1.92874984796393E-022</c:v>
                </c:pt>
                <c:pt idx="1">
                  <c:v>9.72098502030085E-021</c:v>
                </c:pt>
                <c:pt idx="2">
                  <c:v>4.17501005585054E-019</c:v>
                </c:pt>
                <c:pt idx="3">
                  <c:v>1.52797996828732E-017</c:v>
                </c:pt>
                <c:pt idx="4">
                  <c:v>4.76530473529916E-016</c:v>
                </c:pt>
                <c:pt idx="5">
                  <c:v>1.26641655490942E-014</c:v>
                </c:pt>
                <c:pt idx="6">
                  <c:v>2.86797500888811E-013</c:v>
                </c:pt>
                <c:pt idx="7">
                  <c:v>5.53461007170105E-012</c:v>
                </c:pt>
                <c:pt idx="8">
                  <c:v>9.10147076448803E-011</c:v>
                </c:pt>
                <c:pt idx="9">
                  <c:v>1.27540762952605E-009</c:v>
                </c:pt>
                <c:pt idx="10">
                  <c:v>1.52299797447126E-008</c:v>
                </c:pt>
                <c:pt idx="11">
                  <c:v>1.5497531357029E-007</c:v>
                </c:pt>
                <c:pt idx="12">
                  <c:v>1.34381227763152E-006</c:v>
                </c:pt>
                <c:pt idx="13">
                  <c:v>9.92950430585107E-006</c:v>
                </c:pt>
                <c:pt idx="14">
                  <c:v>6.25215037748202E-005</c:v>
                </c:pt>
                <c:pt idx="15">
                  <c:v>0.000335462627902512</c:v>
                </c:pt>
                <c:pt idx="16">
                  <c:v>0.00153381067932447</c:v>
                </c:pt>
                <c:pt idx="17">
                  <c:v>0.00597602289500596</c:v>
                </c:pt>
                <c:pt idx="18">
                  <c:v>0.0198410947443703</c:v>
                </c:pt>
                <c:pt idx="19">
                  <c:v>0.0561347628341339</c:v>
                </c:pt>
                <c:pt idx="20">
                  <c:v>0.135335283236613</c:v>
                </c:pt>
                <c:pt idx="21">
                  <c:v>0.278037300453195</c:v>
                </c:pt>
                <c:pt idx="22">
                  <c:v>0.486752255959973</c:v>
                </c:pt>
                <c:pt idx="23">
                  <c:v>0.726149037073693</c:v>
                </c:pt>
                <c:pt idx="24">
                  <c:v>0.923116346386637</c:v>
                </c:pt>
                <c:pt idx="25">
                  <c:v>1</c:v>
                </c:pt>
                <c:pt idx="26">
                  <c:v>0.923116346386635</c:v>
                </c:pt>
                <c:pt idx="27">
                  <c:v>0.726149037073689</c:v>
                </c:pt>
                <c:pt idx="28">
                  <c:v>0.48675225595997</c:v>
                </c:pt>
                <c:pt idx="29">
                  <c:v>0.278037300453193</c:v>
                </c:pt>
                <c:pt idx="30">
                  <c:v>0.135335283236612</c:v>
                </c:pt>
                <c:pt idx="31">
                  <c:v>0.0561347628341332</c:v>
                </c:pt>
                <c:pt idx="32">
                  <c:v>0.01984109474437</c:v>
                </c:pt>
                <c:pt idx="33">
                  <c:v>0.00597602289500585</c:v>
                </c:pt>
                <c:pt idx="34">
                  <c:v>0.00153381067932444</c:v>
                </c:pt>
                <c:pt idx="35">
                  <c:v>0.000335462627902505</c:v>
                </c:pt>
                <c:pt idx="36">
                  <c:v>6.25215037748186E-005</c:v>
                </c:pt>
                <c:pt idx="37">
                  <c:v>9.92950430585078E-006</c:v>
                </c:pt>
                <c:pt idx="38">
                  <c:v>1.34381227763148E-006</c:v>
                </c:pt>
                <c:pt idx="39">
                  <c:v>1.54975313570284E-007</c:v>
                </c:pt>
                <c:pt idx="40">
                  <c:v>1.5229979744712E-008</c:v>
                </c:pt>
                <c:pt idx="41">
                  <c:v>1.27540762952599E-009</c:v>
                </c:pt>
                <c:pt idx="42">
                  <c:v>9.10147076448745E-011</c:v>
                </c:pt>
                <c:pt idx="43">
                  <c:v>5.53461007170072E-012</c:v>
                </c:pt>
                <c:pt idx="44">
                  <c:v>2.86797500888792E-013</c:v>
                </c:pt>
                <c:pt idx="45">
                  <c:v>1.26641655490934E-014</c:v>
                </c:pt>
                <c:pt idx="46">
                  <c:v>4.76530473529872E-016</c:v>
                </c:pt>
                <c:pt idx="47">
                  <c:v>1.52797996828719E-017</c:v>
                </c:pt>
                <c:pt idx="48">
                  <c:v>4.17501005585016E-019</c:v>
                </c:pt>
                <c:pt idx="49">
                  <c:v>9.72098502029981E-021</c:v>
                </c:pt>
                <c:pt idx="50">
                  <c:v>1.92874984796377E-022</c:v>
                </c:pt>
              </c:numCache>
            </c:numRef>
          </c:yVal>
          <c:smooth val="1"/>
        </c:ser>
        <c:ser>
          <c:idx val="4"/>
          <c:order val="4"/>
          <c:tx>
            <c:strRef>
              <c:f>label 8</c:f>
              <c:strCache>
                <c:ptCount val="1"/>
                <c:pt idx="0">
                  <c:v>Muchos (cerca del 65%)</c:v>
                </c:pt>
              </c:strCache>
            </c:strRef>
          </c:tx>
          <c:spPr>
            <a:solidFill>
              <a:srgbClr val="d36f2b"/>
            </a:solidFill>
            <a:ln w="19080">
              <a:solidFill>
                <a:srgbClr val="d36f2b"/>
              </a:solidFill>
              <a:round/>
            </a:ln>
          </c:spPr>
          <c:marker>
            <c:symbol val="none"/>
          </c:marker>
          <c:dLbls>
            <c:dLblPos val="r"/>
            <c:showLegendKey val="0"/>
            <c:showVal val="0"/>
            <c:showCatName val="0"/>
            <c:showSerName val="0"/>
            <c:showPercent val="0"/>
            <c:showLeaderLines val="0"/>
          </c:dLbls>
          <c:xVal>
            <c:numRef>
              <c:f>9</c:f>
              <c:numCache>
                <c:formatCode>General</c:formatCode>
                <c:ptCount val="51"/>
                <c:pt idx="0">
                  <c:v>0</c:v>
                </c:pt>
                <c:pt idx="1">
                  <c:v>0.02</c:v>
                </c:pt>
                <c:pt idx="2">
                  <c:v>0.04</c:v>
                </c:pt>
                <c:pt idx="3">
                  <c:v>0.06</c:v>
                </c:pt>
                <c:pt idx="4">
                  <c:v>0.08</c:v>
                </c:pt>
                <c:pt idx="5">
                  <c:v>0.1</c:v>
                </c:pt>
                <c:pt idx="6">
                  <c:v>0.12</c:v>
                </c:pt>
                <c:pt idx="7">
                  <c:v>0.14</c:v>
                </c:pt>
                <c:pt idx="8">
                  <c:v>0.16</c:v>
                </c:pt>
                <c:pt idx="9">
                  <c:v>0.18</c:v>
                </c:pt>
                <c:pt idx="10">
                  <c:v>0.2</c:v>
                </c:pt>
                <c:pt idx="11">
                  <c:v>0.22</c:v>
                </c:pt>
                <c:pt idx="12">
                  <c:v>0.24</c:v>
                </c:pt>
                <c:pt idx="13">
                  <c:v>0.26</c:v>
                </c:pt>
                <c:pt idx="14">
                  <c:v>0.28</c:v>
                </c:pt>
                <c:pt idx="15">
                  <c:v>0.3</c:v>
                </c:pt>
                <c:pt idx="16">
                  <c:v>0.32</c:v>
                </c:pt>
                <c:pt idx="17">
                  <c:v>0.34</c:v>
                </c:pt>
                <c:pt idx="18">
                  <c:v>0.36</c:v>
                </c:pt>
                <c:pt idx="19">
                  <c:v>0.38</c:v>
                </c:pt>
                <c:pt idx="20">
                  <c:v>0.4</c:v>
                </c:pt>
                <c:pt idx="21">
                  <c:v>0.42</c:v>
                </c:pt>
                <c:pt idx="22">
                  <c:v>0.44</c:v>
                </c:pt>
                <c:pt idx="23">
                  <c:v>0.46</c:v>
                </c:pt>
                <c:pt idx="24">
                  <c:v>0.48</c:v>
                </c:pt>
                <c:pt idx="25">
                  <c:v>0.5</c:v>
                </c:pt>
                <c:pt idx="26">
                  <c:v>0.52</c:v>
                </c:pt>
                <c:pt idx="27">
                  <c:v>0.54</c:v>
                </c:pt>
                <c:pt idx="28">
                  <c:v>0.56</c:v>
                </c:pt>
                <c:pt idx="29">
                  <c:v>0.58</c:v>
                </c:pt>
                <c:pt idx="30">
                  <c:v>0.6</c:v>
                </c:pt>
                <c:pt idx="31">
                  <c:v>0.62</c:v>
                </c:pt>
                <c:pt idx="32">
                  <c:v>0.64</c:v>
                </c:pt>
                <c:pt idx="33">
                  <c:v>0.66</c:v>
                </c:pt>
                <c:pt idx="34">
                  <c:v>0.68</c:v>
                </c:pt>
                <c:pt idx="35">
                  <c:v>0.7</c:v>
                </c:pt>
                <c:pt idx="36">
                  <c:v>0.72</c:v>
                </c:pt>
                <c:pt idx="37">
                  <c:v>0.74</c:v>
                </c:pt>
                <c:pt idx="38">
                  <c:v>0.76</c:v>
                </c:pt>
                <c:pt idx="39">
                  <c:v>0.78</c:v>
                </c:pt>
                <c:pt idx="40">
                  <c:v>0.8</c:v>
                </c:pt>
                <c:pt idx="41">
                  <c:v>0.82</c:v>
                </c:pt>
                <c:pt idx="42">
                  <c:v>0.84</c:v>
                </c:pt>
                <c:pt idx="43">
                  <c:v>0.86</c:v>
                </c:pt>
                <c:pt idx="44">
                  <c:v>0.88</c:v>
                </c:pt>
                <c:pt idx="45">
                  <c:v>0.9</c:v>
                </c:pt>
                <c:pt idx="46">
                  <c:v>0.92</c:v>
                </c:pt>
                <c:pt idx="47">
                  <c:v>0.94</c:v>
                </c:pt>
                <c:pt idx="48">
                  <c:v>0.96</c:v>
                </c:pt>
                <c:pt idx="49">
                  <c:v>0.98</c:v>
                </c:pt>
                <c:pt idx="50">
                  <c:v>1</c:v>
                </c:pt>
              </c:numCache>
            </c:numRef>
          </c:xVal>
          <c:yVal>
            <c:numRef>
              <c:f>8</c:f>
              <c:numCache>
                <c:formatCode>General</c:formatCode>
                <c:ptCount val="51"/>
                <c:pt idx="0">
                  <c:v>1.02103684608938E-039</c:v>
                </c:pt>
                <c:pt idx="1">
                  <c:v>2.00500878196168E-037</c:v>
                </c:pt>
                <c:pt idx="2">
                  <c:v>3.35508885623115E-035</c:v>
                </c:pt>
                <c:pt idx="3">
                  <c:v>4.78414855581684E-033</c:v>
                </c:pt>
                <c:pt idx="4">
                  <c:v>5.81323888488955E-031</c:v>
                </c:pt>
                <c:pt idx="5">
                  <c:v>6.01928027681648E-029</c:v>
                </c:pt>
                <c:pt idx="6">
                  <c:v>5.3110922496791E-027</c:v>
                </c:pt>
                <c:pt idx="7">
                  <c:v>3.99333740985766E-025</c:v>
                </c:pt>
                <c:pt idx="8">
                  <c:v>2.5585920810487E-023</c:v>
                </c:pt>
                <c:pt idx="9">
                  <c:v>1.39694394314711E-021</c:v>
                </c:pt>
                <c:pt idx="10">
                  <c:v>6.49934797207085E-020</c:v>
                </c:pt>
                <c:pt idx="11">
                  <c:v>2.57675710915496E-018</c:v>
                </c:pt>
                <c:pt idx="12">
                  <c:v>8.70542662229625E-017</c:v>
                </c:pt>
                <c:pt idx="13">
                  <c:v>2.50622188714524E-015</c:v>
                </c:pt>
                <c:pt idx="14">
                  <c:v>6.14839641270476E-014</c:v>
                </c:pt>
                <c:pt idx="15">
                  <c:v>1.28533722513364E-012</c:v>
                </c:pt>
                <c:pt idx="16">
                  <c:v>2.28973484564555E-011</c:v>
                </c:pt>
                <c:pt idx="17">
                  <c:v>3.47589128123993E-010</c:v>
                </c:pt>
                <c:pt idx="18">
                  <c:v>4.49634946228087E-009</c:v>
                </c:pt>
                <c:pt idx="19">
                  <c:v>4.95640531917252E-008</c:v>
                </c:pt>
                <c:pt idx="20">
                  <c:v>4.65571571578312E-007</c:v>
                </c:pt>
                <c:pt idx="21">
                  <c:v>3.7266531720787E-006</c:v>
                </c:pt>
                <c:pt idx="22">
                  <c:v>2.54193465161995E-005</c:v>
                </c:pt>
                <c:pt idx="23">
                  <c:v>0.000147748360232035</c:v>
                </c:pt>
                <c:pt idx="24">
                  <c:v>0.00073180241888048</c:v>
                </c:pt>
                <c:pt idx="25">
                  <c:v>0.00308871540823679</c:v>
                </c:pt>
                <c:pt idx="26">
                  <c:v>0.0111089965382424</c:v>
                </c:pt>
                <c:pt idx="27">
                  <c:v>0.0340474547345996</c:v>
                </c:pt>
                <c:pt idx="28">
                  <c:v>0.0889216174593869</c:v>
                </c:pt>
                <c:pt idx="29">
                  <c:v>0.197898699083616</c:v>
                </c:pt>
                <c:pt idx="30">
                  <c:v>0.375311098851401</c:v>
                </c:pt>
                <c:pt idx="31">
                  <c:v>0.606530659712636</c:v>
                </c:pt>
                <c:pt idx="32">
                  <c:v>0.835270211411274</c:v>
                </c:pt>
                <c:pt idx="33">
                  <c:v>0.980198673306756</c:v>
                </c:pt>
                <c:pt idx="34">
                  <c:v>0.980198673306754</c:v>
                </c:pt>
                <c:pt idx="35">
                  <c:v>0.835270211411269</c:v>
                </c:pt>
                <c:pt idx="36">
                  <c:v>0.60653065971263</c:v>
                </c:pt>
                <c:pt idx="37">
                  <c:v>0.375311098851397</c:v>
                </c:pt>
                <c:pt idx="38">
                  <c:v>0.197898699083613</c:v>
                </c:pt>
                <c:pt idx="39">
                  <c:v>0.0889216174593851</c:v>
                </c:pt>
                <c:pt idx="40">
                  <c:v>0.0340474547345988</c:v>
                </c:pt>
                <c:pt idx="41">
                  <c:v>0.0111089965382421</c:v>
                </c:pt>
                <c:pt idx="42">
                  <c:v>0.0030887154082367</c:v>
                </c:pt>
                <c:pt idx="43">
                  <c:v>0.000731802418880452</c:v>
                </c:pt>
                <c:pt idx="44">
                  <c:v>0.000147748360232029</c:v>
                </c:pt>
                <c:pt idx="45">
                  <c:v>2.54193465161983E-005</c:v>
                </c:pt>
                <c:pt idx="46">
                  <c:v>3.72665317207851E-006</c:v>
                </c:pt>
                <c:pt idx="47">
                  <c:v>4.65571571578286E-007</c:v>
                </c:pt>
                <c:pt idx="48">
                  <c:v>4.95640531917225E-008</c:v>
                </c:pt>
                <c:pt idx="49">
                  <c:v>4.4963494622806E-009</c:v>
                </c:pt>
                <c:pt idx="50">
                  <c:v>3.47589128123976E-010</c:v>
                </c:pt>
              </c:numCache>
            </c:numRef>
          </c:yVal>
          <c:smooth val="1"/>
        </c:ser>
        <c:ser>
          <c:idx val="5"/>
          <c:order val="5"/>
          <c:tx>
            <c:strRef>
              <c:f>label 10</c:f>
              <c:strCache>
                <c:ptCount val="1"/>
                <c:pt idx="0">
                  <c:v>La mayoría (alrededor del 83%)</c:v>
                </c:pt>
              </c:strCache>
            </c:strRef>
          </c:tx>
          <c:spPr>
            <a:solidFill>
              <a:srgbClr val="929292"/>
            </a:solidFill>
            <a:ln w="19080">
              <a:solidFill>
                <a:srgbClr val="929292"/>
              </a:solidFill>
              <a:round/>
            </a:ln>
          </c:spPr>
          <c:marker>
            <c:symbol val="none"/>
          </c:marker>
          <c:dLbls>
            <c:dLblPos val="r"/>
            <c:showLegendKey val="0"/>
            <c:showVal val="0"/>
            <c:showCatName val="0"/>
            <c:showSerName val="0"/>
            <c:showPercent val="0"/>
            <c:showLeaderLines val="0"/>
          </c:dLbls>
          <c:xVal>
            <c:numRef>
              <c:f>11</c:f>
              <c:numCache>
                <c:formatCode>General</c:formatCode>
                <c:ptCount val="51"/>
                <c:pt idx="0">
                  <c:v>0</c:v>
                </c:pt>
                <c:pt idx="1">
                  <c:v>0.02</c:v>
                </c:pt>
                <c:pt idx="2">
                  <c:v>0.04</c:v>
                </c:pt>
                <c:pt idx="3">
                  <c:v>0.06</c:v>
                </c:pt>
                <c:pt idx="4">
                  <c:v>0.08</c:v>
                </c:pt>
                <c:pt idx="5">
                  <c:v>0.1</c:v>
                </c:pt>
                <c:pt idx="6">
                  <c:v>0.12</c:v>
                </c:pt>
                <c:pt idx="7">
                  <c:v>0.14</c:v>
                </c:pt>
                <c:pt idx="8">
                  <c:v>0.16</c:v>
                </c:pt>
                <c:pt idx="9">
                  <c:v>0.18</c:v>
                </c:pt>
                <c:pt idx="10">
                  <c:v>0.2</c:v>
                </c:pt>
                <c:pt idx="11">
                  <c:v>0.22</c:v>
                </c:pt>
                <c:pt idx="12">
                  <c:v>0.24</c:v>
                </c:pt>
                <c:pt idx="13">
                  <c:v>0.26</c:v>
                </c:pt>
                <c:pt idx="14">
                  <c:v>0.28</c:v>
                </c:pt>
                <c:pt idx="15">
                  <c:v>0.3</c:v>
                </c:pt>
                <c:pt idx="16">
                  <c:v>0.32</c:v>
                </c:pt>
                <c:pt idx="17">
                  <c:v>0.34</c:v>
                </c:pt>
                <c:pt idx="18">
                  <c:v>0.36</c:v>
                </c:pt>
                <c:pt idx="19">
                  <c:v>0.38</c:v>
                </c:pt>
                <c:pt idx="20">
                  <c:v>0.4</c:v>
                </c:pt>
                <c:pt idx="21">
                  <c:v>0.42</c:v>
                </c:pt>
                <c:pt idx="22">
                  <c:v>0.44</c:v>
                </c:pt>
                <c:pt idx="23">
                  <c:v>0.46</c:v>
                </c:pt>
                <c:pt idx="24">
                  <c:v>0.48</c:v>
                </c:pt>
                <c:pt idx="25">
                  <c:v>0.5</c:v>
                </c:pt>
                <c:pt idx="26">
                  <c:v>0.52</c:v>
                </c:pt>
                <c:pt idx="27">
                  <c:v>0.54</c:v>
                </c:pt>
                <c:pt idx="28">
                  <c:v>0.56</c:v>
                </c:pt>
                <c:pt idx="29">
                  <c:v>0.58</c:v>
                </c:pt>
                <c:pt idx="30">
                  <c:v>0.6</c:v>
                </c:pt>
                <c:pt idx="31">
                  <c:v>0.62</c:v>
                </c:pt>
                <c:pt idx="32">
                  <c:v>0.64</c:v>
                </c:pt>
                <c:pt idx="33">
                  <c:v>0.66</c:v>
                </c:pt>
                <c:pt idx="34">
                  <c:v>0.68</c:v>
                </c:pt>
                <c:pt idx="35">
                  <c:v>0.7</c:v>
                </c:pt>
                <c:pt idx="36">
                  <c:v>0.72</c:v>
                </c:pt>
                <c:pt idx="37">
                  <c:v>0.74</c:v>
                </c:pt>
                <c:pt idx="38">
                  <c:v>0.76</c:v>
                </c:pt>
                <c:pt idx="39">
                  <c:v>0.78</c:v>
                </c:pt>
                <c:pt idx="40">
                  <c:v>0.8</c:v>
                </c:pt>
                <c:pt idx="41">
                  <c:v>0.82</c:v>
                </c:pt>
                <c:pt idx="42">
                  <c:v>0.84</c:v>
                </c:pt>
                <c:pt idx="43">
                  <c:v>0.86</c:v>
                </c:pt>
                <c:pt idx="44">
                  <c:v>0.88</c:v>
                </c:pt>
                <c:pt idx="45">
                  <c:v>0.9</c:v>
                </c:pt>
                <c:pt idx="46">
                  <c:v>0.92</c:v>
                </c:pt>
                <c:pt idx="47">
                  <c:v>0.94</c:v>
                </c:pt>
                <c:pt idx="48">
                  <c:v>0.96</c:v>
                </c:pt>
                <c:pt idx="49">
                  <c:v>0.98</c:v>
                </c:pt>
                <c:pt idx="50">
                  <c:v>1</c:v>
                </c:pt>
              </c:numCache>
            </c:numRef>
          </c:xVal>
          <c:yVal>
            <c:numRef>
              <c:f>10</c:f>
              <c:numCache>
                <c:formatCode>General</c:formatCode>
                <c:ptCount val="51"/>
                <c:pt idx="0">
                  <c:v>1.45514504020171E-060</c:v>
                </c:pt>
                <c:pt idx="1">
                  <c:v>1.02772775342534E-057</c:v>
                </c:pt>
                <c:pt idx="2">
                  <c:v>6.18532848682456E-055</c:v>
                </c:pt>
                <c:pt idx="3">
                  <c:v>3.17219835744505E-052</c:v>
                </c:pt>
                <c:pt idx="4">
                  <c:v>1.38634329364121E-049</c:v>
                </c:pt>
                <c:pt idx="5">
                  <c:v>5.16290482005675E-047</c:v>
                </c:pt>
                <c:pt idx="6">
                  <c:v>1.63843921700691E-044</c:v>
                </c:pt>
                <c:pt idx="7">
                  <c:v>4.43077231241301E-042</c:v>
                </c:pt>
                <c:pt idx="8">
                  <c:v>1.02103684608943E-039</c:v>
                </c:pt>
                <c:pt idx="9">
                  <c:v>2.00500878196174E-037</c:v>
                </c:pt>
                <c:pt idx="10">
                  <c:v>3.35508885623115E-035</c:v>
                </c:pt>
                <c:pt idx="11">
                  <c:v>4.7841485558169E-033</c:v>
                </c:pt>
                <c:pt idx="12">
                  <c:v>5.81323888488971E-031</c:v>
                </c:pt>
                <c:pt idx="13">
                  <c:v>6.01928027681648E-029</c:v>
                </c:pt>
                <c:pt idx="14">
                  <c:v>5.3110922496791E-027</c:v>
                </c:pt>
                <c:pt idx="15">
                  <c:v>3.99333740985766E-025</c:v>
                </c:pt>
                <c:pt idx="16">
                  <c:v>2.5585920810487E-023</c:v>
                </c:pt>
                <c:pt idx="17">
                  <c:v>1.39694394314714E-021</c:v>
                </c:pt>
                <c:pt idx="18">
                  <c:v>6.49934797207103E-020</c:v>
                </c:pt>
                <c:pt idx="19">
                  <c:v>2.57675710915505E-018</c:v>
                </c:pt>
                <c:pt idx="20">
                  <c:v>8.70542662229644E-017</c:v>
                </c:pt>
                <c:pt idx="21">
                  <c:v>2.50622188714535E-015</c:v>
                </c:pt>
                <c:pt idx="22">
                  <c:v>6.14839641270495E-014</c:v>
                </c:pt>
                <c:pt idx="23">
                  <c:v>1.28533722513369E-012</c:v>
                </c:pt>
                <c:pt idx="24">
                  <c:v>2.28973484564562E-011</c:v>
                </c:pt>
                <c:pt idx="25">
                  <c:v>3.47589128124001E-010</c:v>
                </c:pt>
                <c:pt idx="26">
                  <c:v>4.49634946228098E-009</c:v>
                </c:pt>
                <c:pt idx="27">
                  <c:v>4.95640531917262E-008</c:v>
                </c:pt>
                <c:pt idx="28">
                  <c:v>4.65571571578319E-007</c:v>
                </c:pt>
                <c:pt idx="29">
                  <c:v>3.72665317207876E-006</c:v>
                </c:pt>
                <c:pt idx="30">
                  <c:v>2.54193465161998E-005</c:v>
                </c:pt>
                <c:pt idx="31">
                  <c:v>0.000147748360232037</c:v>
                </c:pt>
                <c:pt idx="32">
                  <c:v>0.000731802418880489</c:v>
                </c:pt>
                <c:pt idx="33">
                  <c:v>0.00308871540823683</c:v>
                </c:pt>
                <c:pt idx="34">
                  <c:v>0.0111089965382425</c:v>
                </c:pt>
                <c:pt idx="35">
                  <c:v>0.0340474547345999</c:v>
                </c:pt>
                <c:pt idx="36">
                  <c:v>0.0889216174593877</c:v>
                </c:pt>
                <c:pt idx="37">
                  <c:v>0.197898699083617</c:v>
                </c:pt>
                <c:pt idx="38">
                  <c:v>0.375311098851404</c:v>
                </c:pt>
                <c:pt idx="39">
                  <c:v>0.606530659712638</c:v>
                </c:pt>
                <c:pt idx="40">
                  <c:v>0.835270211411276</c:v>
                </c:pt>
                <c:pt idx="41">
                  <c:v>0.980198673306757</c:v>
                </c:pt>
                <c:pt idx="42">
                  <c:v>0.980198673306754</c:v>
                </c:pt>
                <c:pt idx="43">
                  <c:v>0.835270211411267</c:v>
                </c:pt>
                <c:pt idx="44">
                  <c:v>0.606530659712628</c:v>
                </c:pt>
                <c:pt idx="45">
                  <c:v>0.375311098851394</c:v>
                </c:pt>
                <c:pt idx="46">
                  <c:v>0.197898699083611</c:v>
                </c:pt>
                <c:pt idx="47">
                  <c:v>0.0889216174593843</c:v>
                </c:pt>
                <c:pt idx="48">
                  <c:v>0.0340474547345984</c:v>
                </c:pt>
                <c:pt idx="49">
                  <c:v>0.0111089965382419</c:v>
                </c:pt>
                <c:pt idx="50">
                  <c:v>0.00308871540823667</c:v>
                </c:pt>
              </c:numCache>
            </c:numRef>
          </c:yVal>
          <c:smooth val="1"/>
        </c:ser>
        <c:ser>
          <c:idx val="6"/>
          <c:order val="6"/>
          <c:tx>
            <c:strRef>
              <c:f>label 12</c:f>
              <c:strCache>
                <c:ptCount val="1"/>
                <c:pt idx="0">
                  <c:v>Casi la totalidad</c:v>
                </c:pt>
              </c:strCache>
            </c:strRef>
          </c:tx>
          <c:spPr>
            <a:solidFill>
              <a:srgbClr val="98b8df"/>
            </a:solidFill>
            <a:ln w="19080">
              <a:solidFill>
                <a:srgbClr val="98b8df"/>
              </a:solidFill>
              <a:round/>
            </a:ln>
          </c:spPr>
          <c:marker>
            <c:symbol val="none"/>
          </c:marker>
          <c:dLbls>
            <c:dLblPos val="r"/>
            <c:showLegendKey val="0"/>
            <c:showVal val="0"/>
            <c:showCatName val="0"/>
            <c:showSerName val="0"/>
            <c:showPercent val="0"/>
            <c:showLeaderLines val="0"/>
          </c:dLbls>
          <c:xVal>
            <c:numRef>
              <c:f>13</c:f>
              <c:numCache>
                <c:formatCode>General</c:formatCode>
                <c:ptCount val="51"/>
                <c:pt idx="0">
                  <c:v>0</c:v>
                </c:pt>
                <c:pt idx="1">
                  <c:v>0.02</c:v>
                </c:pt>
                <c:pt idx="2">
                  <c:v>0.04</c:v>
                </c:pt>
                <c:pt idx="3">
                  <c:v>0.06</c:v>
                </c:pt>
                <c:pt idx="4">
                  <c:v>0.08</c:v>
                </c:pt>
                <c:pt idx="5">
                  <c:v>0.1</c:v>
                </c:pt>
                <c:pt idx="6">
                  <c:v>0.12</c:v>
                </c:pt>
                <c:pt idx="7">
                  <c:v>0.14</c:v>
                </c:pt>
                <c:pt idx="8">
                  <c:v>0.16</c:v>
                </c:pt>
                <c:pt idx="9">
                  <c:v>0.18</c:v>
                </c:pt>
                <c:pt idx="10">
                  <c:v>0.2</c:v>
                </c:pt>
                <c:pt idx="11">
                  <c:v>0.22</c:v>
                </c:pt>
                <c:pt idx="12">
                  <c:v>0.24</c:v>
                </c:pt>
                <c:pt idx="13">
                  <c:v>0.26</c:v>
                </c:pt>
                <c:pt idx="14">
                  <c:v>0.28</c:v>
                </c:pt>
                <c:pt idx="15">
                  <c:v>0.3</c:v>
                </c:pt>
                <c:pt idx="16">
                  <c:v>0.32</c:v>
                </c:pt>
                <c:pt idx="17">
                  <c:v>0.34</c:v>
                </c:pt>
                <c:pt idx="18">
                  <c:v>0.36</c:v>
                </c:pt>
                <c:pt idx="19">
                  <c:v>0.38</c:v>
                </c:pt>
                <c:pt idx="20">
                  <c:v>0.4</c:v>
                </c:pt>
                <c:pt idx="21">
                  <c:v>0.42</c:v>
                </c:pt>
                <c:pt idx="22">
                  <c:v>0.44</c:v>
                </c:pt>
                <c:pt idx="23">
                  <c:v>0.46</c:v>
                </c:pt>
                <c:pt idx="24">
                  <c:v>0.48</c:v>
                </c:pt>
                <c:pt idx="25">
                  <c:v>0.5</c:v>
                </c:pt>
                <c:pt idx="26">
                  <c:v>0.52</c:v>
                </c:pt>
                <c:pt idx="27">
                  <c:v>0.54</c:v>
                </c:pt>
                <c:pt idx="28">
                  <c:v>0.56</c:v>
                </c:pt>
                <c:pt idx="29">
                  <c:v>0.58</c:v>
                </c:pt>
                <c:pt idx="30">
                  <c:v>0.6</c:v>
                </c:pt>
                <c:pt idx="31">
                  <c:v>0.62</c:v>
                </c:pt>
                <c:pt idx="32">
                  <c:v>0.64</c:v>
                </c:pt>
                <c:pt idx="33">
                  <c:v>0.66</c:v>
                </c:pt>
                <c:pt idx="34">
                  <c:v>0.68</c:v>
                </c:pt>
                <c:pt idx="35">
                  <c:v>0.7</c:v>
                </c:pt>
                <c:pt idx="36">
                  <c:v>0.72</c:v>
                </c:pt>
                <c:pt idx="37">
                  <c:v>0.74</c:v>
                </c:pt>
                <c:pt idx="38">
                  <c:v>0.76</c:v>
                </c:pt>
                <c:pt idx="39">
                  <c:v>0.78</c:v>
                </c:pt>
                <c:pt idx="40">
                  <c:v>0.8</c:v>
                </c:pt>
                <c:pt idx="41">
                  <c:v>0.82</c:v>
                </c:pt>
                <c:pt idx="42">
                  <c:v>0.84</c:v>
                </c:pt>
                <c:pt idx="43">
                  <c:v>0.86</c:v>
                </c:pt>
                <c:pt idx="44">
                  <c:v>0.88</c:v>
                </c:pt>
                <c:pt idx="45">
                  <c:v>0.9</c:v>
                </c:pt>
                <c:pt idx="46">
                  <c:v>0.92</c:v>
                </c:pt>
                <c:pt idx="47">
                  <c:v>0.94</c:v>
                </c:pt>
                <c:pt idx="48">
                  <c:v>0.96</c:v>
                </c:pt>
                <c:pt idx="49">
                  <c:v>0.98</c:v>
                </c:pt>
                <c:pt idx="50">
                  <c:v>1</c:v>
                </c:pt>
              </c:numCache>
            </c:numRef>
          </c:xVal>
          <c:yVal>
            <c:numRef>
              <c:f>12</c:f>
              <c:numCache>
                <c:formatCode>General</c:formatCode>
                <c:ptCount val="51"/>
                <c:pt idx="0">
                  <c:v>1.38389652673678E-087</c:v>
                </c:pt>
                <c:pt idx="1">
                  <c:v>3.80816639256066E-084</c:v>
                </c:pt>
                <c:pt idx="2">
                  <c:v>8.92978691157231E-081</c:v>
                </c:pt>
                <c:pt idx="3">
                  <c:v>1.78434635508587E-077</c:v>
                </c:pt>
                <c:pt idx="4">
                  <c:v>3.03829615073191E-074</c:v>
                </c:pt>
                <c:pt idx="5">
                  <c:v>4.40853133146335E-071</c:v>
                </c:pt>
                <c:pt idx="6">
                  <c:v>5.45093047573471E-068</c:v>
                </c:pt>
                <c:pt idx="7">
                  <c:v>5.74328326742898E-065</c:v>
                </c:pt>
                <c:pt idx="8">
                  <c:v>5.15659132684233E-062</c:v>
                </c:pt>
                <c:pt idx="9">
                  <c:v>3.94528220521746E-059</c:v>
                </c:pt>
                <c:pt idx="10">
                  <c:v>2.57220937264241E-056</c:v>
                </c:pt>
                <c:pt idx="11">
                  <c:v>1.4290500583705E-053</c:v>
                </c:pt>
                <c:pt idx="12">
                  <c:v>6.76552417976963E-051</c:v>
                </c:pt>
                <c:pt idx="13">
                  <c:v>2.72940725719042E-048</c:v>
                </c:pt>
                <c:pt idx="14">
                  <c:v>9.38313827283089E-046</c:v>
                </c:pt>
                <c:pt idx="15">
                  <c:v>2.74878500791029E-043</c:v>
                </c:pt>
                <c:pt idx="16">
                  <c:v>6.86193047676166E-041</c:v>
                </c:pt>
                <c:pt idx="17">
                  <c:v>1.45970379320964E-038</c:v>
                </c:pt>
                <c:pt idx="18">
                  <c:v>2.64603779068773E-036</c:v>
                </c:pt>
                <c:pt idx="19">
                  <c:v>4.08733497286612E-034</c:v>
                </c:pt>
                <c:pt idx="20">
                  <c:v>5.38018616002145E-032</c:v>
                </c:pt>
                <c:pt idx="21">
                  <c:v>6.03486080597135E-030</c:v>
                </c:pt>
                <c:pt idx="22">
                  <c:v>5.76832996124817E-028</c:v>
                </c:pt>
                <c:pt idx="23">
                  <c:v>4.69835486089825E-026</c:v>
                </c:pt>
                <c:pt idx="24">
                  <c:v>3.26102718071121E-024</c:v>
                </c:pt>
                <c:pt idx="25">
                  <c:v>1.92874984796397E-022</c:v>
                </c:pt>
                <c:pt idx="26">
                  <c:v>9.72098502030106E-021</c:v>
                </c:pt>
                <c:pt idx="27">
                  <c:v>4.17501005585066E-019</c:v>
                </c:pt>
                <c:pt idx="28">
                  <c:v>1.52797996828736E-017</c:v>
                </c:pt>
                <c:pt idx="29">
                  <c:v>4.76530473529929E-016</c:v>
                </c:pt>
                <c:pt idx="30">
                  <c:v>1.26641655490947E-014</c:v>
                </c:pt>
                <c:pt idx="31">
                  <c:v>2.86797500888821E-013</c:v>
                </c:pt>
                <c:pt idx="32">
                  <c:v>5.53461007170125E-012</c:v>
                </c:pt>
                <c:pt idx="33">
                  <c:v>9.10147076448829E-011</c:v>
                </c:pt>
                <c:pt idx="34">
                  <c:v>1.27540762952609E-009</c:v>
                </c:pt>
                <c:pt idx="35">
                  <c:v>1.52299797447132E-008</c:v>
                </c:pt>
                <c:pt idx="36">
                  <c:v>1.54975313570295E-007</c:v>
                </c:pt>
                <c:pt idx="37">
                  <c:v>1.34381227763157E-006</c:v>
                </c:pt>
                <c:pt idx="38">
                  <c:v>9.92950430585142E-006</c:v>
                </c:pt>
                <c:pt idx="39">
                  <c:v>6.25215037748224E-005</c:v>
                </c:pt>
                <c:pt idx="40">
                  <c:v>0.000335462627902523</c:v>
                </c:pt>
                <c:pt idx="41">
                  <c:v>0.00153381067932451</c:v>
                </c:pt>
                <c:pt idx="42">
                  <c:v>0.00597602289500611</c:v>
                </c:pt>
                <c:pt idx="43">
                  <c:v>0.0198410947443708</c:v>
                </c:pt>
                <c:pt idx="44">
                  <c:v>0.056134762834135</c:v>
                </c:pt>
                <c:pt idx="45">
                  <c:v>0.135335283236615</c:v>
                </c:pt>
                <c:pt idx="46">
                  <c:v>0.278037300453198</c:v>
                </c:pt>
                <c:pt idx="47">
                  <c:v>0.486752255959978</c:v>
                </c:pt>
                <c:pt idx="48">
                  <c:v>0.726149037073697</c:v>
                </c:pt>
                <c:pt idx="49">
                  <c:v>0.92311634638664</c:v>
                </c:pt>
                <c:pt idx="50">
                  <c:v>1</c:v>
                </c:pt>
              </c:numCache>
            </c:numRef>
          </c:yVal>
          <c:smooth val="1"/>
        </c:ser>
        <c:axId val="34766763"/>
        <c:axId val="89639389"/>
      </c:scatterChart>
      <c:valAx>
        <c:axId val="34766763"/>
        <c:scaling>
          <c:orientation val="minMax"/>
          <c:max val="1"/>
        </c:scaling>
        <c:delete val="0"/>
        <c:axPos val="b"/>
        <c:majorGridlines>
          <c:spPr>
            <a:ln w="9360">
              <a:solidFill>
                <a:srgbClr val="d9d9d9"/>
              </a:solidFill>
              <a:round/>
            </a:ln>
          </c:spPr>
        </c:majorGridlines>
        <c:numFmt formatCode="General" sourceLinked="0"/>
        <c:majorTickMark val="none"/>
        <c:minorTickMark val="none"/>
        <c:tickLblPos val="nextTo"/>
        <c:spPr>
          <a:ln w="3240">
            <a:solidFill>
              <a:srgbClr val="d9d9d9"/>
            </a:solidFill>
            <a:round/>
          </a:ln>
        </c:spPr>
        <c:txPr>
          <a:bodyPr/>
          <a:p>
            <a:pPr>
              <a:defRPr b="0" sz="900" spc="-1" strike="noStrike">
                <a:solidFill>
                  <a:srgbClr val="595959"/>
                </a:solidFill>
                <a:uFill>
                  <a:solidFill>
                    <a:srgbClr val="ffffff"/>
                  </a:solidFill>
                </a:uFill>
                <a:latin typeface="Calibri"/>
              </a:defRPr>
            </a:pPr>
          </a:p>
        </c:txPr>
        <c:crossAx val="89639389"/>
        <c:crosses val="autoZero"/>
        <c:crossBetween val="midCat"/>
      </c:valAx>
      <c:valAx>
        <c:axId val="89639389"/>
        <c:scaling>
          <c:orientation val="minMax"/>
          <c:max val="1.02"/>
          <c:min val="0"/>
        </c:scaling>
        <c:delete val="0"/>
        <c:axPos val="l"/>
        <c:majorGridlines>
          <c:spPr>
            <a:ln w="9360">
              <a:solidFill>
                <a:srgbClr val="d9d9d9"/>
              </a:solidFill>
              <a:round/>
            </a:ln>
          </c:spPr>
        </c:majorGridlines>
        <c:numFmt formatCode="General" sourceLinked="0"/>
        <c:majorTickMark val="none"/>
        <c:minorTickMark val="none"/>
        <c:tickLblPos val="nextTo"/>
        <c:spPr>
          <a:ln w="3240">
            <a:solidFill>
              <a:srgbClr val="d9d9d9"/>
            </a:solidFill>
            <a:round/>
          </a:ln>
        </c:spPr>
        <c:txPr>
          <a:bodyPr/>
          <a:p>
            <a:pPr>
              <a:defRPr b="0" sz="900" spc="-1" strike="noStrike">
                <a:solidFill>
                  <a:srgbClr val="595959"/>
                </a:solidFill>
                <a:uFill>
                  <a:solidFill>
                    <a:srgbClr val="ffffff"/>
                  </a:solidFill>
                </a:uFill>
                <a:latin typeface="Calibri"/>
              </a:defRPr>
            </a:pPr>
          </a:p>
        </c:txPr>
        <c:crossAx val="34766763"/>
        <c:crosses val="autoZero"/>
        <c:crossBetween val="midCat"/>
      </c:valAx>
      <c:spPr>
        <a:solidFill>
          <a:srgbClr val="ffffff"/>
        </a:solidFill>
        <a:ln>
          <a:noFill/>
        </a:ln>
      </c:spPr>
    </c:plotArea>
    <c:legend>
      <c:legendPos val="r"/>
      <c:layout>
        <c:manualLayout>
          <c:xMode val="edge"/>
          <c:yMode val="edge"/>
          <c:x val="0.151"/>
          <c:y val="0.51"/>
        </c:manualLayout>
      </c:layout>
      <c:overlay val="0"/>
      <c:spPr>
        <a:noFill/>
        <a:ln>
          <a:noFill/>
        </a:ln>
      </c:spPr>
    </c:legend>
    <c:plotVisOnly val="1"/>
    <c:dispBlanksAs val="gap"/>
  </c:chart>
  <c:spPr>
    <a:solidFill>
      <a:srgbClr val="ffffff"/>
    </a:solidFill>
    <a:ln>
      <a:noFill/>
    </a:ln>
  </c:spPr>
</c:chartSpace>
</file>

<file path=word/charts/chart10.xml><?xml version="1.0" encoding="utf-8"?>
<c:chartSpace xmlns:c="http://schemas.openxmlformats.org/drawingml/2006/chart" xmlns:a="http://schemas.openxmlformats.org/drawingml/2006/main" xmlns:r="http://schemas.openxmlformats.org/officeDocument/2006/relationships">
  <c:lang val="en-US"/>
  <c:roundedCorners val="0"/>
  <c:chart>
    <c:plotArea>
      <c:radarChart>
        <c:radarStyle val="marker"/>
        <c:ser>
          <c:idx val="0"/>
          <c:order val="0"/>
          <c:tx>
            <c:strRef>
              <c:f>label 0</c:f>
              <c:strCache>
                <c:ptCount val="1"/>
                <c:pt idx="0">
                  <c:v>Dispersión</c:v>
                </c:pt>
              </c:strCache>
            </c:strRef>
          </c:tx>
          <c:spPr>
            <a:solidFill>
              <a:srgbClr val="ed7d31"/>
            </a:solidFill>
            <a:ln w="25560">
              <a:solidFill>
                <a:srgbClr val="ed7d31"/>
              </a:solidFill>
              <a:round/>
            </a:ln>
          </c:spPr>
          <c:marker>
            <c:symbol val="circle"/>
            <c:size val="6"/>
            <c:spPr>
              <a:solidFill>
                <a:srgbClr val="ed7d31"/>
              </a:solidFill>
            </c:spPr>
          </c:marker>
          <c:dLbls>
            <c:dLbl>
              <c:idx val="0"/>
              <c:showLegendKey val="0"/>
              <c:showVal val="0"/>
              <c:showCatName val="0"/>
              <c:showSerName val="0"/>
              <c:showPercent val="0"/>
            </c:dLbl>
            <c:dLbl>
              <c:idx val="1"/>
              <c:showLegendKey val="0"/>
              <c:showVal val="0"/>
              <c:showCatName val="0"/>
              <c:showSerName val="0"/>
              <c:showPercent val="0"/>
            </c:dLbl>
            <c:dLbl>
              <c:idx val="2"/>
              <c:showLegendKey val="0"/>
              <c:showVal val="0"/>
              <c:showCatName val="0"/>
              <c:showSerName val="0"/>
              <c:showPercent val="0"/>
            </c:dLbl>
            <c:dLbl>
              <c:idx val="3"/>
              <c:showLegendKey val="0"/>
              <c:showVal val="0"/>
              <c:showCatName val="0"/>
              <c:showSerName val="0"/>
              <c:showPercent val="0"/>
            </c:dLbl>
            <c:dLbl>
              <c:idx val="4"/>
              <c:showLegendKey val="0"/>
              <c:showVal val="0"/>
              <c:showCatName val="0"/>
              <c:showSerName val="0"/>
              <c:showPercent val="0"/>
            </c:dLbl>
            <c:dLbl>
              <c:idx val="5"/>
              <c:showLegendKey val="0"/>
              <c:showVal val="0"/>
              <c:showCatName val="0"/>
              <c:showSerName val="0"/>
              <c:showPercent val="0"/>
            </c:dLbl>
            <c:dLbl>
              <c:idx val="6"/>
              <c:showLegendKey val="0"/>
              <c:showVal val="0"/>
              <c:showCatName val="0"/>
              <c:showSerName val="0"/>
              <c:showPercent val="0"/>
            </c:dLbl>
            <c:dLbl>
              <c:idx val="7"/>
              <c:showLegendKey val="0"/>
              <c:showVal val="0"/>
              <c:showCatName val="0"/>
              <c:showSerName val="0"/>
              <c:showPercent val="0"/>
            </c:dLbl>
            <c:dLbl>
              <c:idx val="8"/>
              <c:showLegendKey val="0"/>
              <c:showVal val="0"/>
              <c:showCatName val="0"/>
              <c:showSerName val="0"/>
              <c:showPercent val="0"/>
            </c:dLbl>
            <c:dLbl>
              <c:idx val="9"/>
              <c:showLegendKey val="0"/>
              <c:showVal val="0"/>
              <c:showCatName val="0"/>
              <c:showSerName val="0"/>
              <c:showPercent val="0"/>
            </c:dLbl>
            <c:showLegendKey val="0"/>
            <c:showVal val="0"/>
            <c:showCatName val="0"/>
            <c:showSerName val="0"/>
            <c:showPercent val="0"/>
            <c:showLeaderLines val="0"/>
          </c:dLbls>
          <c:cat>
            <c:strRef>
              <c:f>categories</c:f>
              <c:strCache>
                <c:ptCount val="10"/>
                <c:pt idx="0">
                  <c:v>C1</c:v>
                </c:pt>
                <c:pt idx="1">
                  <c:v>C2</c:v>
                </c:pt>
                <c:pt idx="2">
                  <c:v>C3</c:v>
                </c:pt>
                <c:pt idx="3">
                  <c:v>C4</c:v>
                </c:pt>
                <c:pt idx="4">
                  <c:v>C5</c:v>
                </c:pt>
                <c:pt idx="5">
                  <c:v>C6</c:v>
                </c:pt>
                <c:pt idx="6">
                  <c:v>C7</c:v>
                </c:pt>
                <c:pt idx="7">
                  <c:v>C8</c:v>
                </c:pt>
                <c:pt idx="8">
                  <c:v>C9</c:v>
                </c:pt>
                <c:pt idx="9">
                  <c:v>C10</c:v>
                </c:pt>
              </c:strCache>
            </c:strRef>
          </c:cat>
          <c:val>
            <c:numRef>
              <c:f>0</c:f>
              <c:numCache>
                <c:formatCode>General</c:formatCode>
                <c:ptCount val="10"/>
                <c:pt idx="0">
                  <c:v>0.58</c:v>
                </c:pt>
                <c:pt idx="1">
                  <c:v>0.5</c:v>
                </c:pt>
                <c:pt idx="2">
                  <c:v>0.5</c:v>
                </c:pt>
                <c:pt idx="3">
                  <c:v>0.82</c:v>
                </c:pt>
                <c:pt idx="4">
                  <c:v>0.58</c:v>
                </c:pt>
                <c:pt idx="5">
                  <c:v>0</c:v>
                </c:pt>
                <c:pt idx="6">
                  <c:v>0.58</c:v>
                </c:pt>
                <c:pt idx="7">
                  <c:v>0</c:v>
                </c:pt>
                <c:pt idx="8">
                  <c:v>0.5</c:v>
                </c:pt>
                <c:pt idx="9">
                  <c:v>0.58</c:v>
                </c:pt>
              </c:numCache>
            </c:numRef>
          </c:val>
        </c:ser>
        <c:axId val="65206598"/>
        <c:axId val="72306672"/>
      </c:radarChart>
      <c:catAx>
        <c:axId val="65206598"/>
        <c:scaling>
          <c:orientation val="minMax"/>
        </c:scaling>
        <c:delete val="0"/>
        <c:axPos val="b"/>
        <c:numFmt formatCode="General" sourceLinked="1"/>
        <c:majorTickMark val="none"/>
        <c:minorTickMark val="none"/>
        <c:tickLblPos val="nextTo"/>
        <c:spPr>
          <a:ln w="9360">
            <a:noFill/>
          </a:ln>
        </c:spPr>
        <c:txPr>
          <a:bodyPr/>
          <a:p>
            <a:pPr>
              <a:defRPr b="0" sz="800" spc="-1" strike="noStrike">
                <a:solidFill>
                  <a:srgbClr val="595959"/>
                </a:solidFill>
                <a:uFill>
                  <a:solidFill>
                    <a:srgbClr val="ffffff"/>
                  </a:solidFill>
                </a:uFill>
                <a:latin typeface="Calibri"/>
              </a:defRPr>
            </a:pPr>
          </a:p>
        </c:txPr>
        <c:crossAx val="72306672"/>
        <c:crosses val="autoZero"/>
        <c:auto val="1"/>
        <c:lblAlgn val="ctr"/>
        <c:lblOffset val="100"/>
      </c:catAx>
      <c:valAx>
        <c:axId val="72306672"/>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p>
            <a:pPr>
              <a:defRPr b="0" sz="900" spc="-1" strike="noStrike">
                <a:solidFill>
                  <a:srgbClr val="595959"/>
                </a:solidFill>
                <a:uFill>
                  <a:solidFill>
                    <a:srgbClr val="ffffff"/>
                  </a:solidFill>
                </a:uFill>
                <a:latin typeface="Calibri"/>
              </a:defRPr>
            </a:pPr>
          </a:p>
        </c:txPr>
        <c:crossAx val="65206598"/>
        <c:crosses val="autoZero"/>
        <c:crossBetween val="midCat"/>
      </c:valAx>
      <c:spPr>
        <a:noFill/>
        <a:ln>
          <a:noFill/>
        </a:ln>
      </c:spPr>
    </c:plotArea>
    <c:plotVisOnly val="1"/>
    <c:dispBlanksAs val="gap"/>
  </c:chart>
  <c:spPr>
    <a:solidFill>
      <a:srgbClr val="ffffff"/>
    </a:solidFill>
    <a:ln w="9360">
      <a:noFill/>
    </a:ln>
  </c:spPr>
</c:chartSpace>
</file>

<file path=word/charts/chart11.xml><?xml version="1.0" encoding="utf-8"?>
<c:chartSpace xmlns:c="http://schemas.openxmlformats.org/drawingml/2006/chart" xmlns:a="http://schemas.openxmlformats.org/drawingml/2006/main" xmlns:r="http://schemas.openxmlformats.org/officeDocument/2006/relationships">
  <c:lang val="en-US"/>
  <c:roundedCorners val="0"/>
  <c:chart>
    <c:plotArea>
      <c:radarChart>
        <c:radarStyle val="marker"/>
        <c:ser>
          <c:idx val="0"/>
          <c:order val="0"/>
          <c:tx>
            <c:strRef>
              <c:f>label 0</c:f>
              <c:strCache>
                <c:ptCount val="1"/>
                <c:pt idx="0">
                  <c:v>Agregación</c:v>
                </c:pt>
              </c:strCache>
            </c:strRef>
          </c:tx>
          <c:spPr>
            <a:solidFill>
              <a:srgbClr val="5b9bd5"/>
            </a:solidFill>
            <a:ln w="25560">
              <a:solidFill>
                <a:srgbClr val="5b9bd5"/>
              </a:solidFill>
              <a:round/>
            </a:ln>
          </c:spPr>
          <c:marker>
            <c:symbol val="circle"/>
            <c:size val="6"/>
            <c:spPr>
              <a:solidFill>
                <a:srgbClr val="5b9bd5"/>
              </a:solidFill>
            </c:spPr>
          </c:marker>
          <c:dLbls>
            <c:dLbl>
              <c:idx val="0"/>
              <c:showLegendKey val="0"/>
              <c:showVal val="0"/>
              <c:showCatName val="0"/>
              <c:showSerName val="0"/>
              <c:showPercent val="0"/>
            </c:dLbl>
            <c:dLbl>
              <c:idx val="1"/>
              <c:showLegendKey val="0"/>
              <c:showVal val="0"/>
              <c:showCatName val="0"/>
              <c:showSerName val="0"/>
              <c:showPercent val="0"/>
            </c:dLbl>
            <c:dLbl>
              <c:idx val="2"/>
              <c:showLegendKey val="0"/>
              <c:showVal val="0"/>
              <c:showCatName val="0"/>
              <c:showSerName val="0"/>
              <c:showPercent val="0"/>
            </c:dLbl>
            <c:dLbl>
              <c:idx val="3"/>
              <c:showLegendKey val="0"/>
              <c:showVal val="0"/>
              <c:showCatName val="0"/>
              <c:showSerName val="0"/>
              <c:showPercent val="0"/>
            </c:dLbl>
            <c:dLbl>
              <c:idx val="4"/>
              <c:showLegendKey val="0"/>
              <c:showVal val="0"/>
              <c:showCatName val="0"/>
              <c:showSerName val="0"/>
              <c:showPercent val="0"/>
            </c:dLbl>
            <c:dLbl>
              <c:idx val="5"/>
              <c:showLegendKey val="0"/>
              <c:showVal val="0"/>
              <c:showCatName val="0"/>
              <c:showSerName val="0"/>
              <c:showPercent val="0"/>
            </c:dLbl>
            <c:dLbl>
              <c:idx val="6"/>
              <c:showLegendKey val="0"/>
              <c:showVal val="0"/>
              <c:showCatName val="0"/>
              <c:showSerName val="0"/>
              <c:showPercent val="0"/>
            </c:dLbl>
            <c:dLbl>
              <c:idx val="7"/>
              <c:showLegendKey val="0"/>
              <c:showVal val="0"/>
              <c:showCatName val="0"/>
              <c:showSerName val="0"/>
              <c:showPercent val="0"/>
            </c:dLbl>
            <c:dLbl>
              <c:idx val="8"/>
              <c:showLegendKey val="0"/>
              <c:showVal val="0"/>
              <c:showCatName val="0"/>
              <c:showSerName val="0"/>
              <c:showPercent val="0"/>
            </c:dLbl>
            <c:dLbl>
              <c:idx val="9"/>
              <c:showLegendKey val="0"/>
              <c:showVal val="0"/>
              <c:showCatName val="0"/>
              <c:showSerName val="0"/>
              <c:showPercent val="0"/>
            </c:dLbl>
            <c:dLbl>
              <c:idx val="10"/>
              <c:showLegendKey val="0"/>
              <c:showVal val="0"/>
              <c:showCatName val="0"/>
              <c:showSerName val="0"/>
              <c:showPercent val="0"/>
            </c:dLbl>
            <c:showLegendKey val="0"/>
            <c:showVal val="0"/>
            <c:showCatName val="0"/>
            <c:showSerName val="0"/>
            <c:showPercent val="0"/>
            <c:showLeaderLines val="0"/>
          </c:dLbls>
          <c:cat>
            <c:strRef>
              <c:f>categories</c:f>
              <c:strCache>
                <c:ptCount val="11"/>
                <c:pt idx="0">
                  <c:v>C1 (Muy alto, -0,4)</c:v>
                </c:pt>
                <c:pt idx="1">
                  <c:v>C2 (Alto, -0,4)</c:v>
                </c:pt>
                <c:pt idx="2">
                  <c:v>C3 (Muy alto, -0,2)</c:v>
                </c:pt>
                <c:pt idx="3">
                  <c:v>C4 (Alto, 0,2)</c:v>
                </c:pt>
                <c:pt idx="4">
                  <c:v>C5 (Muy alto, -0,4)</c:v>
                </c:pt>
                <c:pt idx="5">
                  <c:v>C6 (Alto, 0,2)</c:v>
                </c:pt>
                <c:pt idx="6">
                  <c:v>C7 (Alto, 0,4)</c:v>
                </c:pt>
                <c:pt idx="7">
                  <c:v>C8 (Alto, -0,2)</c:v>
                </c:pt>
                <c:pt idx="8">
                  <c:v>C9 (Muy alto, -0,2)</c:v>
                </c:pt>
                <c:pt idx="9">
                  <c:v>C10 (Muy alto, -0,2)</c:v>
                </c:pt>
                <c:pt idx="10">
                  <c:v>C11 (Alto, 0)</c:v>
                </c:pt>
              </c:strCache>
            </c:strRef>
          </c:cat>
          <c:val>
            <c:numRef>
              <c:f>0</c:f>
              <c:numCache>
                <c:formatCode>General</c:formatCode>
                <c:ptCount val="11"/>
                <c:pt idx="0">
                  <c:v>3.6</c:v>
                </c:pt>
                <c:pt idx="1">
                  <c:v>2.6</c:v>
                </c:pt>
                <c:pt idx="2">
                  <c:v>3.8</c:v>
                </c:pt>
                <c:pt idx="3">
                  <c:v>3.2</c:v>
                </c:pt>
                <c:pt idx="4">
                  <c:v>3.6</c:v>
                </c:pt>
                <c:pt idx="5">
                  <c:v>3.2</c:v>
                </c:pt>
                <c:pt idx="6">
                  <c:v>3.4</c:v>
                </c:pt>
                <c:pt idx="7">
                  <c:v>2.8</c:v>
                </c:pt>
                <c:pt idx="8">
                  <c:v>3.8</c:v>
                </c:pt>
                <c:pt idx="9">
                  <c:v>3.8</c:v>
                </c:pt>
                <c:pt idx="10">
                  <c:v>3</c:v>
                </c:pt>
              </c:numCache>
            </c:numRef>
          </c:val>
        </c:ser>
        <c:axId val="63027036"/>
        <c:axId val="74067378"/>
      </c:radarChart>
      <c:catAx>
        <c:axId val="63027036"/>
        <c:scaling>
          <c:orientation val="minMax"/>
        </c:scaling>
        <c:delete val="0"/>
        <c:axPos val="b"/>
        <c:numFmt formatCode="General" sourceLinked="1"/>
        <c:majorTickMark val="none"/>
        <c:minorTickMark val="none"/>
        <c:tickLblPos val="nextTo"/>
        <c:spPr>
          <a:ln w="9360">
            <a:noFill/>
          </a:ln>
        </c:spPr>
        <c:txPr>
          <a:bodyPr/>
          <a:p>
            <a:pPr>
              <a:defRPr b="0" sz="800" spc="-1" strike="noStrike">
                <a:solidFill>
                  <a:srgbClr val="595959"/>
                </a:solidFill>
                <a:uFill>
                  <a:solidFill>
                    <a:srgbClr val="ffffff"/>
                  </a:solidFill>
                </a:uFill>
                <a:latin typeface="Calibri"/>
              </a:defRPr>
            </a:pPr>
          </a:p>
        </c:txPr>
        <c:crossAx val="74067378"/>
        <c:crosses val="autoZero"/>
        <c:auto val="1"/>
        <c:lblAlgn val="ctr"/>
        <c:lblOffset val="100"/>
      </c:catAx>
      <c:valAx>
        <c:axId val="74067378"/>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p>
            <a:pPr>
              <a:defRPr b="0" sz="900" spc="-1" strike="noStrike">
                <a:solidFill>
                  <a:srgbClr val="595959"/>
                </a:solidFill>
                <a:uFill>
                  <a:solidFill>
                    <a:srgbClr val="ffffff"/>
                  </a:solidFill>
                </a:uFill>
                <a:latin typeface="Calibri"/>
              </a:defRPr>
            </a:pPr>
          </a:p>
        </c:txPr>
        <c:crossAx val="63027036"/>
        <c:crosses val="autoZero"/>
        <c:crossBetween val="midCat"/>
      </c:valAx>
      <c:spPr>
        <a:noFill/>
        <a:ln>
          <a:noFill/>
        </a:ln>
      </c:spPr>
    </c:plotArea>
    <c:plotVisOnly val="1"/>
    <c:dispBlanksAs val="gap"/>
  </c:chart>
  <c:spPr>
    <a:solidFill>
      <a:srgbClr val="ffffff"/>
    </a:solidFill>
    <a:ln w="9360">
      <a:noFill/>
    </a:ln>
  </c:spPr>
</c:chartSpace>
</file>

<file path=word/charts/chart12.xml><?xml version="1.0" encoding="utf-8"?>
<c:chartSpace xmlns:c="http://schemas.openxmlformats.org/drawingml/2006/chart" xmlns:a="http://schemas.openxmlformats.org/drawingml/2006/main" xmlns:r="http://schemas.openxmlformats.org/officeDocument/2006/relationships">
  <c:lang val="en-US"/>
  <c:roundedCorners val="0"/>
  <c:chart>
    <c:plotArea>
      <c:radarChart>
        <c:radarStyle val="marker"/>
        <c:ser>
          <c:idx val="0"/>
          <c:order val="0"/>
          <c:tx>
            <c:strRef>
              <c:f>label 0</c:f>
              <c:strCache>
                <c:ptCount val="1"/>
                <c:pt idx="0">
                  <c:v>Dispersión</c:v>
                </c:pt>
              </c:strCache>
            </c:strRef>
          </c:tx>
          <c:spPr>
            <a:solidFill>
              <a:srgbClr val="ed7d31"/>
            </a:solidFill>
            <a:ln w="25560">
              <a:solidFill>
                <a:srgbClr val="ed7d31"/>
              </a:solidFill>
              <a:round/>
            </a:ln>
          </c:spPr>
          <c:marker>
            <c:symbol val="circle"/>
            <c:size val="6"/>
            <c:spPr>
              <a:solidFill>
                <a:srgbClr val="ed7d31"/>
              </a:solidFill>
            </c:spPr>
          </c:marker>
          <c:dLbls>
            <c:dLbl>
              <c:idx val="0"/>
              <c:showLegendKey val="0"/>
              <c:showVal val="0"/>
              <c:showCatName val="0"/>
              <c:showSerName val="0"/>
              <c:showPercent val="0"/>
            </c:dLbl>
            <c:dLbl>
              <c:idx val="1"/>
              <c:showLegendKey val="0"/>
              <c:showVal val="0"/>
              <c:showCatName val="0"/>
              <c:showSerName val="0"/>
              <c:showPercent val="0"/>
            </c:dLbl>
            <c:dLbl>
              <c:idx val="2"/>
              <c:showLegendKey val="0"/>
              <c:showVal val="0"/>
              <c:showCatName val="0"/>
              <c:showSerName val="0"/>
              <c:showPercent val="0"/>
            </c:dLbl>
            <c:dLbl>
              <c:idx val="3"/>
              <c:showLegendKey val="0"/>
              <c:showVal val="0"/>
              <c:showCatName val="0"/>
              <c:showSerName val="0"/>
              <c:showPercent val="0"/>
            </c:dLbl>
            <c:dLbl>
              <c:idx val="4"/>
              <c:showLegendKey val="0"/>
              <c:showVal val="0"/>
              <c:showCatName val="0"/>
              <c:showSerName val="0"/>
              <c:showPercent val="0"/>
            </c:dLbl>
            <c:dLbl>
              <c:idx val="5"/>
              <c:showLegendKey val="0"/>
              <c:showVal val="0"/>
              <c:showCatName val="0"/>
              <c:showSerName val="0"/>
              <c:showPercent val="0"/>
            </c:dLbl>
            <c:dLbl>
              <c:idx val="6"/>
              <c:showLegendKey val="0"/>
              <c:showVal val="0"/>
              <c:showCatName val="0"/>
              <c:showSerName val="0"/>
              <c:showPercent val="0"/>
            </c:dLbl>
            <c:dLbl>
              <c:idx val="7"/>
              <c:showLegendKey val="0"/>
              <c:showVal val="0"/>
              <c:showCatName val="0"/>
              <c:showSerName val="0"/>
              <c:showPercent val="0"/>
            </c:dLbl>
            <c:dLbl>
              <c:idx val="8"/>
              <c:showLegendKey val="0"/>
              <c:showVal val="0"/>
              <c:showCatName val="0"/>
              <c:showSerName val="0"/>
              <c:showPercent val="0"/>
            </c:dLbl>
            <c:dLbl>
              <c:idx val="9"/>
              <c:showLegendKey val="0"/>
              <c:showVal val="0"/>
              <c:showCatName val="0"/>
              <c:showSerName val="0"/>
              <c:showPercent val="0"/>
            </c:dLbl>
            <c:dLbl>
              <c:idx val="10"/>
              <c:showLegendKey val="0"/>
              <c:showVal val="0"/>
              <c:showCatName val="0"/>
              <c:showSerName val="0"/>
              <c:showPercent val="0"/>
            </c:dLbl>
            <c:showLegendKey val="0"/>
            <c:showVal val="0"/>
            <c:showCatName val="0"/>
            <c:showSerName val="0"/>
            <c:showPercent val="0"/>
            <c:showLeaderLines val="0"/>
          </c:dLbls>
          <c:cat>
            <c:strRef>
              <c:f>categories</c:f>
              <c:strCache>
                <c:ptCount val="11"/>
                <c:pt idx="0">
                  <c:v>C1</c:v>
                </c:pt>
                <c:pt idx="1">
                  <c:v>C2</c:v>
                </c:pt>
                <c:pt idx="2">
                  <c:v>C3</c:v>
                </c:pt>
                <c:pt idx="3">
                  <c:v>C4</c:v>
                </c:pt>
                <c:pt idx="4">
                  <c:v>C5</c:v>
                </c:pt>
                <c:pt idx="5">
                  <c:v>C6</c:v>
                </c:pt>
                <c:pt idx="6">
                  <c:v>C7</c:v>
                </c:pt>
                <c:pt idx="7">
                  <c:v>C8</c:v>
                </c:pt>
                <c:pt idx="8">
                  <c:v>C9</c:v>
                </c:pt>
                <c:pt idx="9">
                  <c:v>C10</c:v>
                </c:pt>
                <c:pt idx="10">
                  <c:v>C11</c:v>
                </c:pt>
              </c:strCache>
            </c:strRef>
          </c:cat>
          <c:val>
            <c:numRef>
              <c:f>0</c:f>
              <c:numCache>
                <c:formatCode>General</c:formatCode>
                <c:ptCount val="11"/>
                <c:pt idx="0">
                  <c:v>0.55</c:v>
                </c:pt>
                <c:pt idx="1">
                  <c:v>0.55</c:v>
                </c:pt>
                <c:pt idx="2">
                  <c:v>0.45</c:v>
                </c:pt>
                <c:pt idx="3">
                  <c:v>0.84</c:v>
                </c:pt>
                <c:pt idx="4">
                  <c:v>0.55</c:v>
                </c:pt>
                <c:pt idx="5">
                  <c:v>0.84</c:v>
                </c:pt>
                <c:pt idx="6">
                  <c:v>0.55</c:v>
                </c:pt>
                <c:pt idx="7">
                  <c:v>0.45</c:v>
                </c:pt>
                <c:pt idx="8">
                  <c:v>0.45</c:v>
                </c:pt>
                <c:pt idx="9">
                  <c:v>0.45</c:v>
                </c:pt>
                <c:pt idx="10">
                  <c:v>0.71</c:v>
                </c:pt>
              </c:numCache>
            </c:numRef>
          </c:val>
        </c:ser>
        <c:axId val="89079903"/>
        <c:axId val="58998298"/>
      </c:radarChart>
      <c:catAx>
        <c:axId val="89079903"/>
        <c:scaling>
          <c:orientation val="minMax"/>
        </c:scaling>
        <c:delete val="0"/>
        <c:axPos val="b"/>
        <c:numFmt formatCode="General" sourceLinked="1"/>
        <c:majorTickMark val="none"/>
        <c:minorTickMark val="none"/>
        <c:tickLblPos val="nextTo"/>
        <c:spPr>
          <a:ln w="9360">
            <a:noFill/>
          </a:ln>
        </c:spPr>
        <c:txPr>
          <a:bodyPr/>
          <a:p>
            <a:pPr>
              <a:defRPr b="0" sz="800" spc="-1" strike="noStrike">
                <a:solidFill>
                  <a:srgbClr val="595959"/>
                </a:solidFill>
                <a:uFill>
                  <a:solidFill>
                    <a:srgbClr val="ffffff"/>
                  </a:solidFill>
                </a:uFill>
                <a:latin typeface="Calibri"/>
              </a:defRPr>
            </a:pPr>
          </a:p>
        </c:txPr>
        <c:crossAx val="58998298"/>
        <c:crosses val="autoZero"/>
        <c:auto val="1"/>
        <c:lblAlgn val="ctr"/>
        <c:lblOffset val="100"/>
      </c:catAx>
      <c:valAx>
        <c:axId val="58998298"/>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p>
            <a:pPr>
              <a:defRPr b="0" sz="900" spc="-1" strike="noStrike">
                <a:solidFill>
                  <a:srgbClr val="595959"/>
                </a:solidFill>
                <a:uFill>
                  <a:solidFill>
                    <a:srgbClr val="ffffff"/>
                  </a:solidFill>
                </a:uFill>
                <a:latin typeface="Calibri"/>
              </a:defRPr>
            </a:pPr>
          </a:p>
        </c:txPr>
        <c:crossAx val="89079903"/>
        <c:crosses val="autoZero"/>
        <c:crossBetween val="midCat"/>
      </c:valAx>
      <c:spPr>
        <a:noFill/>
        <a:ln>
          <a:noFill/>
        </a:ln>
      </c:spPr>
    </c:plotArea>
    <c:plotVisOnly val="1"/>
    <c:dispBlanksAs val="gap"/>
  </c:chart>
  <c:spPr>
    <a:solidFill>
      <a:srgbClr val="ffffff"/>
    </a:solidFill>
    <a:ln w="9360">
      <a:noFill/>
    </a:ln>
  </c:spPr>
</c:chartSpace>
</file>

<file path=word/charts/chart13.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Total</c:v>
                </c:pt>
              </c:strCache>
            </c:strRef>
          </c:tx>
          <c:spPr>
            <a:solidFill>
              <a:srgbClr val="5b9bd5"/>
            </a:solidFill>
            <a:ln>
              <a:noFill/>
            </a:ln>
          </c:spPr>
          <c:invertIfNegative val="0"/>
          <c:dLbls>
            <c:dLblPos val="outEnd"/>
            <c:showLegendKey val="0"/>
            <c:showVal val="1"/>
            <c:showCatName val="0"/>
            <c:showSerName val="0"/>
            <c:showPercent val="0"/>
            <c:showLeaderLines val="0"/>
          </c:dLbls>
          <c:cat>
            <c:strRef>
              <c:f>categories</c:f>
              <c:strCache>
                <c:ptCount val="13"/>
                <c:pt idx="0">
                  <c:v>Argelia </c:v>
                </c:pt>
                <c:pt idx="1">
                  <c:v>Austria</c:v>
                </c:pt>
                <c:pt idx="2">
                  <c:v>Chile</c:v>
                </c:pt>
                <c:pt idx="3">
                  <c:v>Cuba</c:v>
                </c:pt>
                <c:pt idx="4">
                  <c:v>E.U.A</c:v>
                </c:pt>
                <c:pt idx="5">
                  <c:v>Eslovaquia</c:v>
                </c:pt>
                <c:pt idx="6">
                  <c:v>España</c:v>
                </c:pt>
                <c:pt idx="7">
                  <c:v>Francia</c:v>
                </c:pt>
                <c:pt idx="8">
                  <c:v>México</c:v>
                </c:pt>
                <c:pt idx="9">
                  <c:v>Polonia</c:v>
                </c:pt>
                <c:pt idx="10">
                  <c:v>Taiwan</c:v>
                </c:pt>
                <c:pt idx="11">
                  <c:v>Netherlands</c:v>
                </c:pt>
                <c:pt idx="12">
                  <c:v>Turquía</c:v>
                </c:pt>
              </c:strCache>
            </c:strRef>
          </c:cat>
          <c:val>
            <c:numRef>
              <c:f>0</c:f>
              <c:numCache>
                <c:formatCode>General</c:formatCode>
                <c:ptCount val="13"/>
                <c:pt idx="0">
                  <c:v>1</c:v>
                </c:pt>
                <c:pt idx="1">
                  <c:v>2</c:v>
                </c:pt>
                <c:pt idx="2">
                  <c:v>1</c:v>
                </c:pt>
                <c:pt idx="3">
                  <c:v>4</c:v>
                </c:pt>
                <c:pt idx="4">
                  <c:v>8</c:v>
                </c:pt>
                <c:pt idx="5">
                  <c:v>1</c:v>
                </c:pt>
                <c:pt idx="6">
                  <c:v>7</c:v>
                </c:pt>
                <c:pt idx="7">
                  <c:v>3</c:v>
                </c:pt>
                <c:pt idx="8">
                  <c:v>1</c:v>
                </c:pt>
                <c:pt idx="9">
                  <c:v>29</c:v>
                </c:pt>
                <c:pt idx="10">
                  <c:v>1</c:v>
                </c:pt>
                <c:pt idx="11">
                  <c:v>8</c:v>
                </c:pt>
                <c:pt idx="12">
                  <c:v>1</c:v>
                </c:pt>
              </c:numCache>
            </c:numRef>
          </c:val>
        </c:ser>
        <c:gapWidth val="219"/>
        <c:overlap val="-27"/>
        <c:axId val="45675589"/>
        <c:axId val="55441478"/>
      </c:barChart>
      <c:catAx>
        <c:axId val="45675589"/>
        <c:scaling>
          <c:orientation val="minMax"/>
        </c:scaling>
        <c:delete val="0"/>
        <c:axPos val="b"/>
        <c:numFmt formatCode="MM/DD/YYYY" sourceLinked="1"/>
        <c:majorTickMark val="none"/>
        <c:minorTickMark val="none"/>
        <c:tickLblPos val="nextTo"/>
        <c:spPr>
          <a:ln w="9360">
            <a:solidFill>
              <a:srgbClr val="d9d9d9"/>
            </a:solidFill>
            <a:round/>
          </a:ln>
        </c:spPr>
        <c:txPr>
          <a:bodyPr/>
          <a:p>
            <a:pPr>
              <a:defRPr b="0" sz="1100" spc="-1" strike="noStrike">
                <a:solidFill>
                  <a:srgbClr val="595959"/>
                </a:solidFill>
                <a:uFill>
                  <a:solidFill>
                    <a:srgbClr val="ffffff"/>
                  </a:solidFill>
                </a:uFill>
                <a:latin typeface="Calibri"/>
              </a:defRPr>
            </a:pPr>
          </a:p>
        </c:txPr>
        <c:crossAx val="55441478"/>
        <c:crosses val="autoZero"/>
        <c:auto val="1"/>
        <c:lblAlgn val="ctr"/>
        <c:lblOffset val="100"/>
      </c:catAx>
      <c:valAx>
        <c:axId val="55441478"/>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p>
            <a:pPr>
              <a:defRPr b="0" sz="1000" spc="-1" strike="noStrike">
                <a:solidFill>
                  <a:srgbClr val="595959"/>
                </a:solidFill>
                <a:uFill>
                  <a:solidFill>
                    <a:srgbClr val="ffffff"/>
                  </a:solidFill>
                </a:uFill>
                <a:latin typeface="Calibri"/>
              </a:defRPr>
            </a:pPr>
          </a:p>
        </c:txPr>
        <c:crossAx val="45675589"/>
        <c:crosses val="autoZero"/>
        <c:crossBetween val="midCat"/>
      </c:valAx>
      <c:spPr>
        <a:noFill/>
        <a:ln>
          <a:noFill/>
        </a:ln>
      </c:spPr>
    </c:plotArea>
    <c:plotVisOnly val="1"/>
    <c:dispBlanksAs val="gap"/>
  </c:chart>
  <c:spPr>
    <a:solidFill>
      <a:srgbClr val="ffffff"/>
    </a:solidFill>
    <a:ln w="9360">
      <a:noFill/>
    </a:ln>
  </c:spPr>
</c:chartSpace>
</file>

<file path=word/charts/chart14.xml><?xml version="1.0" encoding="utf-8"?>
<c:chartSpace xmlns:c="http://schemas.openxmlformats.org/drawingml/2006/chart" xmlns:a="http://schemas.openxmlformats.org/drawingml/2006/main" xmlns:r="http://schemas.openxmlformats.org/officeDocument/2006/relationships">
  <c:lang val="en-US"/>
  <c:roundedCorners val="0"/>
  <c:chart>
    <c:plotArea>
      <c:pieChart>
        <c:varyColors val="1"/>
        <c:ser>
          <c:idx val="0"/>
          <c:order val="0"/>
          <c:tx>
            <c:strRef>
              <c:f>label 0</c:f>
              <c:strCache>
                <c:ptCount val="1"/>
                <c:pt idx="0">
                  <c:v/>
                </c:pt>
              </c:strCache>
            </c:strRef>
          </c:tx>
          <c:spPr>
            <a:solidFill>
              <a:srgbClr val="5b9bd5"/>
            </a:solidFill>
            <a:ln>
              <a:noFill/>
            </a:ln>
          </c:spPr>
          <c:explosion val="0"/>
          <c:dPt>
            <c:idx val="0"/>
            <c:spPr>
              <a:solidFill>
                <a:srgbClr val="a9d18e"/>
              </a:solidFill>
              <a:ln w="19080">
                <a:solidFill>
                  <a:srgbClr val="ffffff"/>
                </a:solidFill>
                <a:round/>
              </a:ln>
            </c:spPr>
          </c:dPt>
          <c:dPt>
            <c:idx val="1"/>
            <c:spPr>
              <a:solidFill>
                <a:srgbClr val="0099ff"/>
              </a:solidFill>
              <a:ln w="19080">
                <a:solidFill>
                  <a:srgbClr val="ffffff"/>
                </a:solidFill>
                <a:round/>
              </a:ln>
            </c:spPr>
          </c:dPt>
          <c:dPt>
            <c:idx val="2"/>
            <c:spPr>
              <a:solidFill>
                <a:srgbClr val="ffe699"/>
              </a:solidFill>
              <a:ln w="19080">
                <a:solidFill>
                  <a:srgbClr val="ffffff"/>
                </a:solidFill>
                <a:round/>
              </a:ln>
            </c:spPr>
          </c:dPt>
          <c:dPt>
            <c:idx val="3"/>
            <c:spPr>
              <a:solidFill>
                <a:srgbClr val="ff0000"/>
              </a:solidFill>
              <a:ln w="19080">
                <a:solidFill>
                  <a:srgbClr val="ffffff"/>
                </a:solidFill>
                <a:round/>
              </a:ln>
            </c:spPr>
          </c:dPt>
          <c:dLbls>
            <c:dLbl>
              <c:idx val="0"/>
              <c:dLblPos val="bestFit"/>
              <c:showLegendKey val="0"/>
              <c:showVal val="1"/>
              <c:showCatName val="0"/>
              <c:showSerName val="0"/>
              <c:showPercent val="0"/>
            </c:dLbl>
            <c:dLbl>
              <c:idx val="1"/>
              <c:dLblPos val="bestFit"/>
              <c:showLegendKey val="0"/>
              <c:showVal val="1"/>
              <c:showCatName val="0"/>
              <c:showSerName val="0"/>
              <c:showPercent val="0"/>
            </c:dLbl>
            <c:dLbl>
              <c:idx val="2"/>
              <c:dLblPos val="bestFit"/>
              <c:showLegendKey val="0"/>
              <c:showVal val="1"/>
              <c:showCatName val="0"/>
              <c:showSerName val="0"/>
              <c:showPercent val="0"/>
            </c:dLbl>
            <c:dLbl>
              <c:idx val="3"/>
              <c:dLblPos val="bestFit"/>
              <c:showLegendKey val="0"/>
              <c:showVal val="1"/>
              <c:showCatName val="0"/>
              <c:showSerName val="0"/>
              <c:showPercent val="0"/>
            </c:dLbl>
            <c:dLblPos val="bestFit"/>
            <c:showLegendKey val="0"/>
            <c:showVal val="1"/>
            <c:showCatName val="0"/>
            <c:showSerName val="0"/>
            <c:showPercent val="0"/>
            <c:showLeaderLines val="0"/>
          </c:dLbls>
          <c:cat>
            <c:strRef>
              <c:f>categories</c:f>
              <c:strCache>
                <c:ptCount val="4"/>
                <c:pt idx="0">
                  <c:v>Conferencia</c:v>
                </c:pt>
                <c:pt idx="1">
                  <c:v>Revista</c:v>
                </c:pt>
                <c:pt idx="2">
                  <c:v>Sección de libro</c:v>
                </c:pt>
                <c:pt idx="3">
                  <c:v>Tesis</c:v>
                </c:pt>
              </c:strCache>
            </c:strRef>
          </c:cat>
          <c:val>
            <c:numRef>
              <c:f>0</c:f>
              <c:numCache>
                <c:formatCode>General</c:formatCode>
                <c:ptCount val="4"/>
                <c:pt idx="0">
                  <c:v>5</c:v>
                </c:pt>
                <c:pt idx="1">
                  <c:v>58</c:v>
                </c:pt>
                <c:pt idx="2">
                  <c:v>6</c:v>
                </c:pt>
                <c:pt idx="3">
                  <c:v>1</c:v>
                </c:pt>
              </c:numCache>
            </c:numRef>
          </c:val>
        </c:ser>
        <c:firstSliceAng val="0"/>
      </c:pieChart>
      <c:spPr>
        <a:noFill/>
        <a:ln>
          <a:noFill/>
        </a:ln>
      </c:spPr>
    </c:plotArea>
    <c:legend>
      <c:legendPos val="r"/>
      <c:layout>
        <c:manualLayout>
          <c:xMode val="edge"/>
          <c:yMode val="edge"/>
          <c:x val="0.3615"/>
          <c:y val="0.337"/>
        </c:manualLayout>
      </c:layout>
      <c:overlay val="0"/>
      <c:spPr>
        <a:noFill/>
        <a:ln>
          <a:noFill/>
        </a:ln>
      </c:spPr>
    </c:legend>
    <c:plotVisOnly val="1"/>
    <c:dispBlanksAs val="gap"/>
  </c:chart>
  <c:spPr>
    <a:solidFill>
      <a:srgbClr val="ffffff"/>
    </a:solidFill>
    <a:ln w="9360">
      <a:noFill/>
    </a:ln>
  </c:spPr>
</c:chartSpace>
</file>

<file path=word/charts/chart15.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Cantidad</c:v>
                </c:pt>
              </c:strCache>
            </c:strRef>
          </c:tx>
          <c:spPr>
            <a:solidFill>
              <a:srgbClr val="5b9bd5"/>
            </a:solidFill>
            <a:ln>
              <a:noFill/>
            </a:ln>
          </c:spPr>
          <c:invertIfNegative val="0"/>
          <c:dLbls>
            <c:dLblPos val="outEnd"/>
            <c:showLegendKey val="0"/>
            <c:showVal val="1"/>
            <c:showCatName val="0"/>
            <c:showSerName val="0"/>
            <c:showPercent val="0"/>
            <c:showLeaderLines val="0"/>
          </c:dLbls>
          <c:cat>
            <c:strRef>
              <c:f>categories</c:f>
              <c:strCache>
                <c:ptCount val="3"/>
                <c:pt idx="0">
                  <c:v>Inspec</c:v>
                </c:pt>
                <c:pt idx="1">
                  <c:v>Scopus</c:v>
                </c:pt>
                <c:pt idx="2">
                  <c:v>WOS</c:v>
                </c:pt>
              </c:strCache>
            </c:strRef>
          </c:cat>
          <c:val>
            <c:numRef>
              <c:f>0</c:f>
              <c:numCache>
                <c:formatCode>General</c:formatCode>
                <c:ptCount val="3"/>
                <c:pt idx="0">
                  <c:v>2</c:v>
                </c:pt>
                <c:pt idx="1">
                  <c:v>39</c:v>
                </c:pt>
                <c:pt idx="2">
                  <c:v>26</c:v>
                </c:pt>
              </c:numCache>
            </c:numRef>
          </c:val>
        </c:ser>
        <c:gapWidth val="219"/>
        <c:overlap val="-27"/>
        <c:axId val="50818398"/>
        <c:axId val="63182834"/>
      </c:barChart>
      <c:catAx>
        <c:axId val="50818398"/>
        <c:scaling>
          <c:orientation val="minMax"/>
        </c:scaling>
        <c:delete val="0"/>
        <c:axPos val="b"/>
        <c:numFmt formatCode="MM/DD/YYYY" sourceLinked="1"/>
        <c:majorTickMark val="none"/>
        <c:minorTickMark val="none"/>
        <c:tickLblPos val="nextTo"/>
        <c:spPr>
          <a:ln w="9360">
            <a:solidFill>
              <a:srgbClr val="d9d9d9"/>
            </a:solidFill>
            <a:round/>
          </a:ln>
        </c:spPr>
        <c:txPr>
          <a:bodyPr/>
          <a:p>
            <a:pPr>
              <a:defRPr b="0" sz="1100" spc="-1" strike="noStrike">
                <a:solidFill>
                  <a:srgbClr val="595959"/>
                </a:solidFill>
                <a:uFill>
                  <a:solidFill>
                    <a:srgbClr val="ffffff"/>
                  </a:solidFill>
                </a:uFill>
                <a:latin typeface="Calibri"/>
              </a:defRPr>
            </a:pPr>
          </a:p>
        </c:txPr>
        <c:crossAx val="63182834"/>
        <c:crosses val="autoZero"/>
        <c:auto val="1"/>
        <c:lblAlgn val="ctr"/>
        <c:lblOffset val="100"/>
      </c:catAx>
      <c:valAx>
        <c:axId val="63182834"/>
        <c:scaling>
          <c:orientation val="minMax"/>
        </c:scaling>
        <c:delete val="0"/>
        <c:axPos val="l"/>
        <c:numFmt formatCode="General" sourceLinked="0"/>
        <c:majorTickMark val="none"/>
        <c:minorTickMark val="none"/>
        <c:tickLblPos val="nextTo"/>
        <c:spPr>
          <a:ln w="6480">
            <a:noFill/>
          </a:ln>
        </c:spPr>
        <c:txPr>
          <a:bodyPr/>
          <a:p>
            <a:pPr>
              <a:defRPr b="0" sz="1000" spc="-1" strike="noStrike">
                <a:solidFill>
                  <a:srgbClr val="595959"/>
                </a:solidFill>
                <a:uFill>
                  <a:solidFill>
                    <a:srgbClr val="ffffff"/>
                  </a:solidFill>
                </a:uFill>
                <a:latin typeface="Calibri"/>
              </a:defRPr>
            </a:pPr>
          </a:p>
        </c:txPr>
        <c:crossAx val="50818398"/>
        <c:crosses val="autoZero"/>
        <c:crossBetween val="midCat"/>
      </c:valAx>
      <c:spPr>
        <a:noFill/>
        <a:ln>
          <a:noFill/>
        </a:ln>
      </c:spPr>
    </c:plotArea>
    <c:plotVisOnly val="1"/>
    <c:dispBlanksAs val="gap"/>
  </c:chart>
  <c:spPr>
    <a:solidFill>
      <a:srgbClr val="ffffff"/>
    </a:solidFill>
    <a:ln w="9360">
      <a:noFill/>
    </a:ln>
  </c:spPr>
</c:chartSpace>
</file>

<file path=word/charts/chart16.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Cantidad</c:v>
                </c:pt>
              </c:strCache>
            </c:strRef>
          </c:tx>
          <c:spPr>
            <a:solidFill>
              <a:srgbClr val="5b9bd5"/>
            </a:solidFill>
            <a:ln>
              <a:noFill/>
            </a:ln>
          </c:spPr>
          <c:invertIfNegative val="0"/>
          <c:dLbls>
            <c:dLblPos val="outEnd"/>
            <c:showLegendKey val="0"/>
            <c:showVal val="1"/>
            <c:showCatName val="0"/>
            <c:showSerName val="0"/>
            <c:showPercent val="0"/>
            <c:showLeaderLines val="0"/>
          </c:dLbls>
          <c:cat>
            <c:strRef>
              <c:f>categories</c:f>
              <c:strCache>
                <c:ptCount val="16"/>
                <c:pt idx="0">
                  <c:v>Modern Education and Computer Science Press</c:v>
                </c:pt>
                <c:pt idx="1">
                  <c:v>John Wiley </c:v>
                </c:pt>
                <c:pt idx="2">
                  <c:v>Kybernetika</c:v>
                </c:pt>
                <c:pt idx="3">
                  <c:v>Hindawi</c:v>
                </c:pt>
                <c:pt idx="4">
                  <c:v>Statistics Sweden</c:v>
                </c:pt>
                <c:pt idx="5">
                  <c:v>University of Bahrain</c:v>
                </c:pt>
                <c:pt idx="6">
                  <c:v>Walter de Gruyter</c:v>
                </c:pt>
                <c:pt idx="7">
                  <c:v>Wydawnictwo Uniwersytetu Jagiellonskiego</c:v>
                </c:pt>
                <c:pt idx="8">
                  <c:v>Wiley Periodical</c:v>
                </c:pt>
                <c:pt idx="9">
                  <c:v>Towarzystwo Milosnikow Jezyka Polskiego</c:v>
                </c:pt>
                <c:pt idx="10">
                  <c:v>Taylor &amp; Francis </c:v>
                </c:pt>
                <c:pt idx="11">
                  <c:v>IGI Global</c:v>
                </c:pt>
                <c:pt idx="12">
                  <c:v>Atlantis Press</c:v>
                </c:pt>
                <c:pt idx="13">
                  <c:v>Springer</c:v>
                </c:pt>
                <c:pt idx="14">
                  <c:v>Elsevier</c:v>
                </c:pt>
                <c:pt idx="15">
                  <c:v>IEEE</c:v>
                </c:pt>
              </c:strCache>
            </c:strRef>
          </c:cat>
          <c:val>
            <c:numRef>
              <c:f>0</c:f>
              <c:numCache>
                <c:formatCode>General</c:formatCode>
                <c:ptCount val="16"/>
                <c:pt idx="0">
                  <c:v>1</c:v>
                </c:pt>
                <c:pt idx="1">
                  <c:v>1</c:v>
                </c:pt>
                <c:pt idx="2">
                  <c:v>1</c:v>
                </c:pt>
                <c:pt idx="3">
                  <c:v>1</c:v>
                </c:pt>
                <c:pt idx="4">
                  <c:v>1</c:v>
                </c:pt>
                <c:pt idx="5">
                  <c:v>1</c:v>
                </c:pt>
                <c:pt idx="6">
                  <c:v>1</c:v>
                </c:pt>
                <c:pt idx="7">
                  <c:v>1</c:v>
                </c:pt>
                <c:pt idx="8">
                  <c:v>2</c:v>
                </c:pt>
                <c:pt idx="9">
                  <c:v>2</c:v>
                </c:pt>
                <c:pt idx="10">
                  <c:v>2</c:v>
                </c:pt>
                <c:pt idx="11">
                  <c:v>2</c:v>
                </c:pt>
                <c:pt idx="12">
                  <c:v>3</c:v>
                </c:pt>
                <c:pt idx="13">
                  <c:v>9</c:v>
                </c:pt>
                <c:pt idx="14">
                  <c:v>18</c:v>
                </c:pt>
                <c:pt idx="15">
                  <c:v>20</c:v>
                </c:pt>
              </c:numCache>
            </c:numRef>
          </c:val>
        </c:ser>
        <c:gapWidth val="219"/>
        <c:overlap val="-27"/>
        <c:axId val="54924360"/>
        <c:axId val="51898854"/>
      </c:barChart>
      <c:catAx>
        <c:axId val="54924360"/>
        <c:scaling>
          <c:orientation val="minMax"/>
        </c:scaling>
        <c:delete val="0"/>
        <c:axPos val="b"/>
        <c:numFmt formatCode="MM/DD/YYYY" sourceLinked="1"/>
        <c:majorTickMark val="none"/>
        <c:minorTickMark val="none"/>
        <c:tickLblPos val="nextTo"/>
        <c:spPr>
          <a:ln w="9360">
            <a:solidFill>
              <a:srgbClr val="d9d9d9"/>
            </a:solidFill>
            <a:round/>
          </a:ln>
        </c:spPr>
        <c:txPr>
          <a:bodyPr/>
          <a:p>
            <a:pPr>
              <a:defRPr b="0" sz="1100" spc="-1" strike="noStrike">
                <a:solidFill>
                  <a:srgbClr val="595959"/>
                </a:solidFill>
                <a:uFill>
                  <a:solidFill>
                    <a:srgbClr val="ffffff"/>
                  </a:solidFill>
                </a:uFill>
                <a:latin typeface="Calibri"/>
              </a:defRPr>
            </a:pPr>
          </a:p>
        </c:txPr>
        <c:crossAx val="51898854"/>
        <c:crosses val="autoZero"/>
        <c:auto val="1"/>
        <c:lblAlgn val="ctr"/>
        <c:lblOffset val="100"/>
      </c:catAx>
      <c:valAx>
        <c:axId val="51898854"/>
        <c:scaling>
          <c:orientation val="minMax"/>
        </c:scaling>
        <c:delete val="0"/>
        <c:axPos val="l"/>
        <c:numFmt formatCode="General" sourceLinked="0"/>
        <c:majorTickMark val="none"/>
        <c:minorTickMark val="none"/>
        <c:tickLblPos val="nextTo"/>
        <c:spPr>
          <a:ln w="6480">
            <a:noFill/>
          </a:ln>
        </c:spPr>
        <c:txPr>
          <a:bodyPr/>
          <a:p>
            <a:pPr>
              <a:defRPr b="0" sz="1000" spc="-1" strike="noStrike">
                <a:solidFill>
                  <a:srgbClr val="595959"/>
                </a:solidFill>
                <a:uFill>
                  <a:solidFill>
                    <a:srgbClr val="ffffff"/>
                  </a:solidFill>
                </a:uFill>
                <a:latin typeface="Calibri"/>
              </a:defRPr>
            </a:pPr>
          </a:p>
        </c:txPr>
        <c:crossAx val="54924360"/>
        <c:crosses val="autoZero"/>
        <c:crossBetween val="midCat"/>
      </c:valAx>
      <c:spPr>
        <a:noFill/>
        <a:ln w="25560">
          <a:noFill/>
        </a:ln>
      </c:spPr>
    </c:plotArea>
    <c:plotVisOnly val="1"/>
    <c:dispBlanksAs val="gap"/>
  </c:chart>
  <c:spPr>
    <a:solidFill>
      <a:srgbClr val="ffffff"/>
    </a:solidFill>
    <a:ln w="9360">
      <a:noFill/>
    </a:ln>
  </c:spPr>
</c:chartSpace>
</file>

<file path=word/charts/chart17.xml><?xml version="1.0" encoding="utf-8"?>
<c:chartSpace xmlns:c="http://schemas.openxmlformats.org/drawingml/2006/chart" xmlns:a="http://schemas.openxmlformats.org/drawingml/2006/main" xmlns:r="http://schemas.openxmlformats.org/officeDocument/2006/relationships">
  <c:lang val="en-US"/>
  <c:roundedCorners val="0"/>
  <c:chart>
    <c:plotArea>
      <c:scatterChart>
        <c:scatterStyle val="line"/>
        <c:varyColors val="0"/>
        <c:ser>
          <c:idx val="0"/>
          <c:order val="0"/>
          <c:tx>
            <c:strRef>
              <c:f>label 0</c:f>
              <c:strCache>
                <c:ptCount val="1"/>
                <c:pt idx="0">
                  <c:v>Pocos</c:v>
                </c:pt>
              </c:strCache>
            </c:strRef>
          </c:tx>
          <c:spPr>
            <a:solidFill>
              <a:srgbClr val="ffc000"/>
            </a:solidFill>
            <a:ln w="22320">
              <a:solidFill>
                <a:srgbClr val="ffc000"/>
              </a:solidFill>
              <a:round/>
            </a:ln>
          </c:spPr>
          <c:marker>
            <c:symbol val="none"/>
          </c:marker>
          <c:dLbls>
            <c:dLblPos val="r"/>
            <c:showLegendKey val="0"/>
            <c:showVal val="0"/>
            <c:showCatName val="0"/>
            <c:showSerName val="0"/>
            <c:showPercent val="0"/>
            <c:showLeaderLines val="0"/>
          </c:dLbls>
          <c:xVal>
            <c:numRef>
              <c:f>1</c:f>
              <c:numCache>
                <c:formatCode>General</c:formatCode>
                <c:ptCount val="51"/>
                <c:pt idx="0">
                  <c:v>0</c:v>
                </c:pt>
                <c:pt idx="1">
                  <c:v>0.02</c:v>
                </c:pt>
                <c:pt idx="2">
                  <c:v>0.04</c:v>
                </c:pt>
                <c:pt idx="3">
                  <c:v>0.06</c:v>
                </c:pt>
                <c:pt idx="4">
                  <c:v>0.08</c:v>
                </c:pt>
                <c:pt idx="5">
                  <c:v>0.1</c:v>
                </c:pt>
                <c:pt idx="6">
                  <c:v>0.12</c:v>
                </c:pt>
                <c:pt idx="7">
                  <c:v>0.14</c:v>
                </c:pt>
                <c:pt idx="8">
                  <c:v>0.16</c:v>
                </c:pt>
                <c:pt idx="9">
                  <c:v>0.18</c:v>
                </c:pt>
                <c:pt idx="10">
                  <c:v>0.2</c:v>
                </c:pt>
                <c:pt idx="11">
                  <c:v>0.22</c:v>
                </c:pt>
                <c:pt idx="12">
                  <c:v>0.24</c:v>
                </c:pt>
                <c:pt idx="13">
                  <c:v>0.26</c:v>
                </c:pt>
                <c:pt idx="14">
                  <c:v>0.28</c:v>
                </c:pt>
                <c:pt idx="15">
                  <c:v>0.3</c:v>
                </c:pt>
                <c:pt idx="16">
                  <c:v>0.32</c:v>
                </c:pt>
                <c:pt idx="17">
                  <c:v>0.34</c:v>
                </c:pt>
                <c:pt idx="18">
                  <c:v>0.36</c:v>
                </c:pt>
                <c:pt idx="19">
                  <c:v>0.38</c:v>
                </c:pt>
                <c:pt idx="20">
                  <c:v>0.4</c:v>
                </c:pt>
                <c:pt idx="21">
                  <c:v>0.42</c:v>
                </c:pt>
                <c:pt idx="22">
                  <c:v>0.44</c:v>
                </c:pt>
                <c:pt idx="23">
                  <c:v>0.46</c:v>
                </c:pt>
                <c:pt idx="24">
                  <c:v>0.48</c:v>
                </c:pt>
                <c:pt idx="25">
                  <c:v>0.5</c:v>
                </c:pt>
                <c:pt idx="26">
                  <c:v>0.52</c:v>
                </c:pt>
                <c:pt idx="27">
                  <c:v>0.54</c:v>
                </c:pt>
                <c:pt idx="28">
                  <c:v>0.56</c:v>
                </c:pt>
                <c:pt idx="29">
                  <c:v>0.58</c:v>
                </c:pt>
                <c:pt idx="30">
                  <c:v>0.6</c:v>
                </c:pt>
                <c:pt idx="31">
                  <c:v>0.62</c:v>
                </c:pt>
                <c:pt idx="32">
                  <c:v>0.64</c:v>
                </c:pt>
                <c:pt idx="33">
                  <c:v>0.66</c:v>
                </c:pt>
                <c:pt idx="34">
                  <c:v>0.68</c:v>
                </c:pt>
                <c:pt idx="35">
                  <c:v>0.7</c:v>
                </c:pt>
                <c:pt idx="36">
                  <c:v>0.72</c:v>
                </c:pt>
                <c:pt idx="37">
                  <c:v>0.74</c:v>
                </c:pt>
                <c:pt idx="38">
                  <c:v>0.76</c:v>
                </c:pt>
                <c:pt idx="39">
                  <c:v>0.78</c:v>
                </c:pt>
                <c:pt idx="40">
                  <c:v>0.8</c:v>
                </c:pt>
                <c:pt idx="41">
                  <c:v>0.82</c:v>
                </c:pt>
                <c:pt idx="42">
                  <c:v>0.84</c:v>
                </c:pt>
                <c:pt idx="43">
                  <c:v>0.86</c:v>
                </c:pt>
                <c:pt idx="44">
                  <c:v>0.88</c:v>
                </c:pt>
                <c:pt idx="45">
                  <c:v>0.9</c:v>
                </c:pt>
                <c:pt idx="46">
                  <c:v>0.92</c:v>
                </c:pt>
                <c:pt idx="47">
                  <c:v>0.94</c:v>
                </c:pt>
                <c:pt idx="48">
                  <c:v>0.96</c:v>
                </c:pt>
                <c:pt idx="49">
                  <c:v>0.98</c:v>
                </c:pt>
                <c:pt idx="50">
                  <c:v>1</c:v>
                </c:pt>
              </c:numCache>
            </c:numRef>
          </c:xVal>
          <c:yVal>
            <c:numRef>
              <c:f>0</c:f>
              <c:numCache>
                <c:formatCode>General</c:formatCode>
                <c:ptCount val="51"/>
                <c:pt idx="0">
                  <c:v>1</c:v>
                </c:pt>
                <c:pt idx="1">
                  <c:v>0.991150500488285</c:v>
                </c:pt>
                <c:pt idx="2">
                  <c:v>0.96506911778968</c:v>
                </c:pt>
                <c:pt idx="3">
                  <c:v>0.923116346386636</c:v>
                </c:pt>
                <c:pt idx="4">
                  <c:v>0.867428473183411</c:v>
                </c:pt>
                <c:pt idx="5">
                  <c:v>0.800737402916808</c:v>
                </c:pt>
                <c:pt idx="6">
                  <c:v>0.726149037073691</c:v>
                </c:pt>
                <c:pt idx="7">
                  <c:v>0.646905175464352</c:v>
                </c:pt>
                <c:pt idx="8">
                  <c:v>0.566154149517198</c:v>
                </c:pt>
                <c:pt idx="9">
                  <c:v>0.486752255959972</c:v>
                </c:pt>
                <c:pt idx="10">
                  <c:v>0.411112290507187</c:v>
                </c:pt>
                <c:pt idx="11">
                  <c:v>0.341108198096592</c:v>
                </c:pt>
                <c:pt idx="12">
                  <c:v>0.278037300453194</c:v>
                </c:pt>
                <c:pt idx="13">
                  <c:v>0.222634865878891</c:v>
                </c:pt>
                <c:pt idx="14">
                  <c:v>0.175130788345151</c:v>
                </c:pt>
                <c:pt idx="15">
                  <c:v>0.135335283236613</c:v>
                </c:pt>
                <c:pt idx="16">
                  <c:v>0.102739814902494</c:v>
                </c:pt>
                <c:pt idx="17">
                  <c:v>0.0766206321804935</c:v>
                </c:pt>
                <c:pt idx="18">
                  <c:v>0.0561347628341337</c:v>
                </c:pt>
                <c:pt idx="19">
                  <c:v>0.0404014788741632</c:v>
                </c:pt>
                <c:pt idx="20">
                  <c:v>0.0285655007845503</c:v>
                </c:pt>
                <c:pt idx="21">
                  <c:v>0.0198410947443702</c:v>
                </c:pt>
                <c:pt idx="22">
                  <c:v>0.0135384401366523</c:v>
                </c:pt>
                <c:pt idx="23">
                  <c:v>0.00907508781565153</c:v>
                </c:pt>
                <c:pt idx="24">
                  <c:v>0.00597602289500593</c:v>
                </c:pt>
                <c:pt idx="25">
                  <c:v>0.0038659201394728</c:v>
                </c:pt>
                <c:pt idx="26">
                  <c:v>0.00245681646048928</c:v>
                </c:pt>
                <c:pt idx="27">
                  <c:v>0.00153381067932446</c:v>
                </c:pt>
                <c:pt idx="28">
                  <c:v>0.000940697544867899</c:v>
                </c:pt>
                <c:pt idx="29">
                  <c:v>0.000566770807486645</c:v>
                </c:pt>
                <c:pt idx="30">
                  <c:v>0.00033546262790251</c:v>
                </c:pt>
                <c:pt idx="31">
                  <c:v>0.000195056319681296</c:v>
                </c:pt>
                <c:pt idx="32">
                  <c:v>0.000111417937762948</c:v>
                </c:pt>
                <c:pt idx="33">
                  <c:v>6.25215037748198E-005</c:v>
                </c:pt>
                <c:pt idx="34">
                  <c:v>3.44653682974081E-005</c:v>
                </c:pt>
                <c:pt idx="35">
                  <c:v>1.86644691135204E-005</c:v>
                </c:pt>
                <c:pt idx="36">
                  <c:v>9.92950430585098E-006</c:v>
                </c:pt>
                <c:pt idx="37">
                  <c:v>5.18941860671522E-006</c:v>
                </c:pt>
                <c:pt idx="38">
                  <c:v>2.66433635051385E-006</c:v>
                </c:pt>
                <c:pt idx="39">
                  <c:v>1.3438122776315E-006</c:v>
                </c:pt>
                <c:pt idx="40">
                  <c:v>6.65836146985722E-007</c:v>
                </c:pt>
                <c:pt idx="41">
                  <c:v>3.24097246644995E-007</c:v>
                </c:pt>
                <c:pt idx="42">
                  <c:v>1.54975313570287E-007</c:v>
                </c:pt>
                <c:pt idx="43">
                  <c:v>7.27995869476728E-008</c:v>
                </c:pt>
                <c:pt idx="44">
                  <c:v>3.35949899781222E-008</c:v>
                </c:pt>
                <c:pt idx="45">
                  <c:v>1.52299797447124E-008</c:v>
                </c:pt>
                <c:pt idx="46">
                  <c:v>6.78271149864821E-009</c:v>
                </c:pt>
                <c:pt idx="47">
                  <c:v>2.96747161270183E-009</c:v>
                </c:pt>
                <c:pt idx="48">
                  <c:v>1.27540762952602E-009</c:v>
                </c:pt>
                <c:pt idx="49">
                  <c:v>5.38506137378633E-010</c:v>
                </c:pt>
                <c:pt idx="50">
                  <c:v>2.23363143620312E-010</c:v>
                </c:pt>
              </c:numCache>
            </c:numRef>
          </c:yVal>
          <c:smooth val="1"/>
        </c:ser>
        <c:ser>
          <c:idx val="1"/>
          <c:order val="1"/>
          <c:tx>
            <c:strRef>
              <c:f>label 2</c:f>
              <c:strCache>
                <c:ptCount val="1"/>
                <c:pt idx="0">
                  <c:v>Aproximadamente el 50%</c:v>
                </c:pt>
              </c:strCache>
            </c:strRef>
          </c:tx>
          <c:spPr>
            <a:solidFill>
              <a:srgbClr val="4472c4"/>
            </a:solidFill>
            <a:ln w="22320">
              <a:solidFill>
                <a:srgbClr val="4472c4"/>
              </a:solidFill>
              <a:round/>
            </a:ln>
          </c:spPr>
          <c:marker>
            <c:symbol val="none"/>
          </c:marker>
          <c:dLbls>
            <c:dLblPos val="r"/>
            <c:showLegendKey val="0"/>
            <c:showVal val="0"/>
            <c:showCatName val="0"/>
            <c:showSerName val="0"/>
            <c:showPercent val="0"/>
            <c:showLeaderLines val="0"/>
          </c:dLbls>
          <c:xVal>
            <c:numRef>
              <c:f>3</c:f>
              <c:numCache>
                <c:formatCode>General</c:formatCode>
                <c:ptCount val="51"/>
                <c:pt idx="0">
                  <c:v>0</c:v>
                </c:pt>
                <c:pt idx="1">
                  <c:v>0.02</c:v>
                </c:pt>
                <c:pt idx="2">
                  <c:v>0.04</c:v>
                </c:pt>
                <c:pt idx="3">
                  <c:v>0.06</c:v>
                </c:pt>
                <c:pt idx="4">
                  <c:v>0.08</c:v>
                </c:pt>
                <c:pt idx="5">
                  <c:v>0.1</c:v>
                </c:pt>
                <c:pt idx="6">
                  <c:v>0.12</c:v>
                </c:pt>
                <c:pt idx="7">
                  <c:v>0.14</c:v>
                </c:pt>
                <c:pt idx="8">
                  <c:v>0.16</c:v>
                </c:pt>
                <c:pt idx="9">
                  <c:v>0.18</c:v>
                </c:pt>
                <c:pt idx="10">
                  <c:v>0.2</c:v>
                </c:pt>
                <c:pt idx="11">
                  <c:v>0.22</c:v>
                </c:pt>
                <c:pt idx="12">
                  <c:v>0.24</c:v>
                </c:pt>
                <c:pt idx="13">
                  <c:v>0.26</c:v>
                </c:pt>
                <c:pt idx="14">
                  <c:v>0.28</c:v>
                </c:pt>
                <c:pt idx="15">
                  <c:v>0.3</c:v>
                </c:pt>
                <c:pt idx="16">
                  <c:v>0.32</c:v>
                </c:pt>
                <c:pt idx="17">
                  <c:v>0.34</c:v>
                </c:pt>
                <c:pt idx="18">
                  <c:v>0.36</c:v>
                </c:pt>
                <c:pt idx="19">
                  <c:v>0.38</c:v>
                </c:pt>
                <c:pt idx="20">
                  <c:v>0.4</c:v>
                </c:pt>
                <c:pt idx="21">
                  <c:v>0.42</c:v>
                </c:pt>
                <c:pt idx="22">
                  <c:v>0.44</c:v>
                </c:pt>
                <c:pt idx="23">
                  <c:v>0.46</c:v>
                </c:pt>
                <c:pt idx="24">
                  <c:v>0.48</c:v>
                </c:pt>
                <c:pt idx="25">
                  <c:v>0.5</c:v>
                </c:pt>
                <c:pt idx="26">
                  <c:v>0.52</c:v>
                </c:pt>
                <c:pt idx="27">
                  <c:v>0.54</c:v>
                </c:pt>
                <c:pt idx="28">
                  <c:v>0.56</c:v>
                </c:pt>
                <c:pt idx="29">
                  <c:v>0.58</c:v>
                </c:pt>
                <c:pt idx="30">
                  <c:v>0.6</c:v>
                </c:pt>
                <c:pt idx="31">
                  <c:v>0.62</c:v>
                </c:pt>
                <c:pt idx="32">
                  <c:v>0.64</c:v>
                </c:pt>
                <c:pt idx="33">
                  <c:v>0.66</c:v>
                </c:pt>
                <c:pt idx="34">
                  <c:v>0.68</c:v>
                </c:pt>
                <c:pt idx="35">
                  <c:v>0.7</c:v>
                </c:pt>
                <c:pt idx="36">
                  <c:v>0.72</c:v>
                </c:pt>
                <c:pt idx="37">
                  <c:v>0.74</c:v>
                </c:pt>
                <c:pt idx="38">
                  <c:v>0.76</c:v>
                </c:pt>
                <c:pt idx="39">
                  <c:v>0.78</c:v>
                </c:pt>
                <c:pt idx="40">
                  <c:v>0.8</c:v>
                </c:pt>
                <c:pt idx="41">
                  <c:v>0.82</c:v>
                </c:pt>
                <c:pt idx="42">
                  <c:v>0.84</c:v>
                </c:pt>
                <c:pt idx="43">
                  <c:v>0.86</c:v>
                </c:pt>
                <c:pt idx="44">
                  <c:v>0.88</c:v>
                </c:pt>
                <c:pt idx="45">
                  <c:v>0.9</c:v>
                </c:pt>
                <c:pt idx="46">
                  <c:v>0.92</c:v>
                </c:pt>
                <c:pt idx="47">
                  <c:v>0.94</c:v>
                </c:pt>
                <c:pt idx="48">
                  <c:v>0.96</c:v>
                </c:pt>
                <c:pt idx="49">
                  <c:v>0.98</c:v>
                </c:pt>
                <c:pt idx="50">
                  <c:v>1</c:v>
                </c:pt>
              </c:numCache>
            </c:numRef>
          </c:xVal>
          <c:yVal>
            <c:numRef>
              <c:f>2</c:f>
              <c:numCache>
                <c:formatCode>General</c:formatCode>
                <c:ptCount val="51"/>
                <c:pt idx="0">
                  <c:v>0.00386592013947281</c:v>
                </c:pt>
                <c:pt idx="1">
                  <c:v>0.00597602289500594</c:v>
                </c:pt>
                <c:pt idx="2">
                  <c:v>0.00907508781565155</c:v>
                </c:pt>
                <c:pt idx="3">
                  <c:v>0.0135384401366524</c:v>
                </c:pt>
                <c:pt idx="4">
                  <c:v>0.0198410947443703</c:v>
                </c:pt>
                <c:pt idx="5">
                  <c:v>0.0285655007845504</c:v>
                </c:pt>
                <c:pt idx="6">
                  <c:v>0.0404014788741632</c:v>
                </c:pt>
                <c:pt idx="7">
                  <c:v>0.0561347628341337</c:v>
                </c:pt>
                <c:pt idx="8">
                  <c:v>0.0766206321804935</c:v>
                </c:pt>
                <c:pt idx="9">
                  <c:v>0.102739814902494</c:v>
                </c:pt>
                <c:pt idx="10">
                  <c:v>0.135335283236613</c:v>
                </c:pt>
                <c:pt idx="11">
                  <c:v>0.175130788345151</c:v>
                </c:pt>
                <c:pt idx="12">
                  <c:v>0.222634865878891</c:v>
                </c:pt>
                <c:pt idx="13">
                  <c:v>0.278037300453194</c:v>
                </c:pt>
                <c:pt idx="14">
                  <c:v>0.341108198096592</c:v>
                </c:pt>
                <c:pt idx="15">
                  <c:v>0.411112290507187</c:v>
                </c:pt>
                <c:pt idx="16">
                  <c:v>0.486752255959972</c:v>
                </c:pt>
                <c:pt idx="17">
                  <c:v>0.566154149517198</c:v>
                </c:pt>
                <c:pt idx="18">
                  <c:v>0.646905175464353</c:v>
                </c:pt>
                <c:pt idx="19">
                  <c:v>0.726149037073691</c:v>
                </c:pt>
                <c:pt idx="20">
                  <c:v>0.800737402916808</c:v>
                </c:pt>
                <c:pt idx="21">
                  <c:v>0.867428473183411</c:v>
                </c:pt>
                <c:pt idx="22">
                  <c:v>0.923116346386636</c:v>
                </c:pt>
                <c:pt idx="23">
                  <c:v>0.965069117789681</c:v>
                </c:pt>
                <c:pt idx="24">
                  <c:v>0.991150500488285</c:v>
                </c:pt>
                <c:pt idx="25">
                  <c:v>1</c:v>
                </c:pt>
                <c:pt idx="26">
                  <c:v>0.991150500488285</c:v>
                </c:pt>
                <c:pt idx="27">
                  <c:v>0.96506911778968</c:v>
                </c:pt>
                <c:pt idx="28">
                  <c:v>0.923116346386635</c:v>
                </c:pt>
                <c:pt idx="29">
                  <c:v>0.86742847318341</c:v>
                </c:pt>
                <c:pt idx="30">
                  <c:v>0.800737402916807</c:v>
                </c:pt>
                <c:pt idx="31">
                  <c:v>0.72614903707369</c:v>
                </c:pt>
                <c:pt idx="32">
                  <c:v>0.646905175464351</c:v>
                </c:pt>
                <c:pt idx="33">
                  <c:v>0.566154149517197</c:v>
                </c:pt>
                <c:pt idx="34">
                  <c:v>0.486752255959971</c:v>
                </c:pt>
                <c:pt idx="35">
                  <c:v>0.411112290507186</c:v>
                </c:pt>
                <c:pt idx="36">
                  <c:v>0.341108198096591</c:v>
                </c:pt>
                <c:pt idx="37">
                  <c:v>0.278037300453193</c:v>
                </c:pt>
                <c:pt idx="38">
                  <c:v>0.22263486587889</c:v>
                </c:pt>
                <c:pt idx="39">
                  <c:v>0.17513078834515</c:v>
                </c:pt>
                <c:pt idx="40">
                  <c:v>0.135335283236612</c:v>
                </c:pt>
                <c:pt idx="41">
                  <c:v>0.102739814902494</c:v>
                </c:pt>
                <c:pt idx="42">
                  <c:v>0.076620632180493</c:v>
                </c:pt>
                <c:pt idx="43">
                  <c:v>0.0561347628341334</c:v>
                </c:pt>
                <c:pt idx="44">
                  <c:v>0.0404014788741629</c:v>
                </c:pt>
                <c:pt idx="45">
                  <c:v>0.0285655007845501</c:v>
                </c:pt>
                <c:pt idx="46">
                  <c:v>0.0198410947443701</c:v>
                </c:pt>
                <c:pt idx="47">
                  <c:v>0.0135384401366522</c:v>
                </c:pt>
                <c:pt idx="48">
                  <c:v>0.00907508781565146</c:v>
                </c:pt>
                <c:pt idx="49">
                  <c:v>0.00597602289500587</c:v>
                </c:pt>
                <c:pt idx="50">
                  <c:v>0.00386592013947277</c:v>
                </c:pt>
              </c:numCache>
            </c:numRef>
          </c:yVal>
          <c:smooth val="1"/>
        </c:ser>
        <c:ser>
          <c:idx val="2"/>
          <c:order val="2"/>
          <c:tx>
            <c:strRef>
              <c:f>label 4</c:f>
              <c:strCache>
                <c:ptCount val="1"/>
                <c:pt idx="0">
                  <c:v>La mayoría</c:v>
                </c:pt>
              </c:strCache>
            </c:strRef>
          </c:tx>
          <c:spPr>
            <a:solidFill>
              <a:srgbClr val="70ad47"/>
            </a:solidFill>
            <a:ln w="22320">
              <a:solidFill>
                <a:srgbClr val="70ad47"/>
              </a:solidFill>
              <a:round/>
            </a:ln>
          </c:spPr>
          <c:marker>
            <c:symbol val="none"/>
          </c:marker>
          <c:dLbls>
            <c:dLblPos val="r"/>
            <c:showLegendKey val="0"/>
            <c:showVal val="0"/>
            <c:showCatName val="0"/>
            <c:showSerName val="0"/>
            <c:showPercent val="0"/>
            <c:showLeaderLines val="0"/>
          </c:dLbls>
          <c:xVal>
            <c:numRef>
              <c:f>5</c:f>
              <c:numCache>
                <c:formatCode>General</c:formatCode>
                <c:ptCount val="51"/>
                <c:pt idx="0">
                  <c:v>0</c:v>
                </c:pt>
                <c:pt idx="1">
                  <c:v>0.02</c:v>
                </c:pt>
                <c:pt idx="2">
                  <c:v>0.04</c:v>
                </c:pt>
                <c:pt idx="3">
                  <c:v>0.06</c:v>
                </c:pt>
                <c:pt idx="4">
                  <c:v>0.08</c:v>
                </c:pt>
                <c:pt idx="5">
                  <c:v>0.1</c:v>
                </c:pt>
                <c:pt idx="6">
                  <c:v>0.12</c:v>
                </c:pt>
                <c:pt idx="7">
                  <c:v>0.14</c:v>
                </c:pt>
                <c:pt idx="8">
                  <c:v>0.16</c:v>
                </c:pt>
                <c:pt idx="9">
                  <c:v>0.18</c:v>
                </c:pt>
                <c:pt idx="10">
                  <c:v>0.2</c:v>
                </c:pt>
                <c:pt idx="11">
                  <c:v>0.22</c:v>
                </c:pt>
                <c:pt idx="12">
                  <c:v>0.24</c:v>
                </c:pt>
                <c:pt idx="13">
                  <c:v>0.26</c:v>
                </c:pt>
                <c:pt idx="14">
                  <c:v>0.28</c:v>
                </c:pt>
                <c:pt idx="15">
                  <c:v>0.3</c:v>
                </c:pt>
                <c:pt idx="16">
                  <c:v>0.32</c:v>
                </c:pt>
                <c:pt idx="17">
                  <c:v>0.34</c:v>
                </c:pt>
                <c:pt idx="18">
                  <c:v>0.36</c:v>
                </c:pt>
                <c:pt idx="19">
                  <c:v>0.38</c:v>
                </c:pt>
                <c:pt idx="20">
                  <c:v>0.4</c:v>
                </c:pt>
                <c:pt idx="21">
                  <c:v>0.42</c:v>
                </c:pt>
                <c:pt idx="22">
                  <c:v>0.44</c:v>
                </c:pt>
                <c:pt idx="23">
                  <c:v>0.46</c:v>
                </c:pt>
                <c:pt idx="24">
                  <c:v>0.48</c:v>
                </c:pt>
                <c:pt idx="25">
                  <c:v>0.5</c:v>
                </c:pt>
                <c:pt idx="26">
                  <c:v>0.52</c:v>
                </c:pt>
                <c:pt idx="27">
                  <c:v>0.54</c:v>
                </c:pt>
                <c:pt idx="28">
                  <c:v>0.56</c:v>
                </c:pt>
                <c:pt idx="29">
                  <c:v>0.58</c:v>
                </c:pt>
                <c:pt idx="30">
                  <c:v>0.6</c:v>
                </c:pt>
                <c:pt idx="31">
                  <c:v>0.62</c:v>
                </c:pt>
                <c:pt idx="32">
                  <c:v>0.64</c:v>
                </c:pt>
                <c:pt idx="33">
                  <c:v>0.66</c:v>
                </c:pt>
                <c:pt idx="34">
                  <c:v>0.68</c:v>
                </c:pt>
                <c:pt idx="35">
                  <c:v>0.7</c:v>
                </c:pt>
                <c:pt idx="36">
                  <c:v>0.72</c:v>
                </c:pt>
                <c:pt idx="37">
                  <c:v>0.74</c:v>
                </c:pt>
                <c:pt idx="38">
                  <c:v>0.76</c:v>
                </c:pt>
                <c:pt idx="39">
                  <c:v>0.78</c:v>
                </c:pt>
                <c:pt idx="40">
                  <c:v>0.8</c:v>
                </c:pt>
                <c:pt idx="41">
                  <c:v>0.82</c:v>
                </c:pt>
                <c:pt idx="42">
                  <c:v>0.84</c:v>
                </c:pt>
                <c:pt idx="43">
                  <c:v>0.86</c:v>
                </c:pt>
                <c:pt idx="44">
                  <c:v>0.88</c:v>
                </c:pt>
                <c:pt idx="45">
                  <c:v>0.9</c:v>
                </c:pt>
                <c:pt idx="46">
                  <c:v>0.92</c:v>
                </c:pt>
                <c:pt idx="47">
                  <c:v>0.94</c:v>
                </c:pt>
                <c:pt idx="48">
                  <c:v>0.96</c:v>
                </c:pt>
                <c:pt idx="49">
                  <c:v>0.98</c:v>
                </c:pt>
                <c:pt idx="50">
                  <c:v>1</c:v>
                </c:pt>
              </c:numCache>
            </c:numRef>
          </c:xVal>
          <c:yVal>
            <c:numRef>
              <c:f>4</c:f>
              <c:numCache>
                <c:formatCode>General</c:formatCode>
                <c:ptCount val="51"/>
                <c:pt idx="0">
                  <c:v>2.23363143620317E-010</c:v>
                </c:pt>
                <c:pt idx="1">
                  <c:v>5.38506137378646E-010</c:v>
                </c:pt>
                <c:pt idx="2">
                  <c:v>1.27540762952604E-009</c:v>
                </c:pt>
                <c:pt idx="3">
                  <c:v>2.96747161270189E-009</c:v>
                </c:pt>
                <c:pt idx="4">
                  <c:v>6.78271149864833E-009</c:v>
                </c:pt>
                <c:pt idx="5">
                  <c:v>1.52299797447126E-008</c:v>
                </c:pt>
                <c:pt idx="6">
                  <c:v>3.35949899781228E-008</c:v>
                </c:pt>
                <c:pt idx="7">
                  <c:v>7.27995869476738E-008</c:v>
                </c:pt>
                <c:pt idx="8">
                  <c:v>1.5497531357029E-007</c:v>
                </c:pt>
                <c:pt idx="9">
                  <c:v>3.24097246644999E-007</c:v>
                </c:pt>
                <c:pt idx="10">
                  <c:v>6.65836146985729E-007</c:v>
                </c:pt>
                <c:pt idx="11">
                  <c:v>1.34381227763152E-006</c:v>
                </c:pt>
                <c:pt idx="12">
                  <c:v>2.66433635051389E-006</c:v>
                </c:pt>
                <c:pt idx="13">
                  <c:v>5.18941860671528E-006</c:v>
                </c:pt>
                <c:pt idx="14">
                  <c:v>9.92950430585108E-006</c:v>
                </c:pt>
                <c:pt idx="15">
                  <c:v>1.86644691135206E-005</c:v>
                </c:pt>
                <c:pt idx="16">
                  <c:v>3.44653682974084E-005</c:v>
                </c:pt>
                <c:pt idx="17">
                  <c:v>6.25215037748204E-005</c:v>
                </c:pt>
                <c:pt idx="18">
                  <c:v>0.000111417937762949</c:v>
                </c:pt>
                <c:pt idx="19">
                  <c:v>0.000195056319681298</c:v>
                </c:pt>
                <c:pt idx="20">
                  <c:v>0.000335462627902513</c:v>
                </c:pt>
                <c:pt idx="21">
                  <c:v>0.00056677080748665</c:v>
                </c:pt>
                <c:pt idx="22">
                  <c:v>0.000940697544867906</c:v>
                </c:pt>
                <c:pt idx="23">
                  <c:v>0.00153381067932447</c:v>
                </c:pt>
                <c:pt idx="24">
                  <c:v>0.0024568164604893</c:v>
                </c:pt>
                <c:pt idx="25">
                  <c:v>0.00386592013947281</c:v>
                </c:pt>
                <c:pt idx="26">
                  <c:v>0.00597602289500596</c:v>
                </c:pt>
                <c:pt idx="27">
                  <c:v>0.00907508781565158</c:v>
                </c:pt>
                <c:pt idx="28">
                  <c:v>0.0135384401366524</c:v>
                </c:pt>
                <c:pt idx="29">
                  <c:v>0.0198410947443704</c:v>
                </c:pt>
                <c:pt idx="30">
                  <c:v>0.0285655007845505</c:v>
                </c:pt>
                <c:pt idx="31">
                  <c:v>0.0404014788741634</c:v>
                </c:pt>
                <c:pt idx="32">
                  <c:v>0.0561347628341339</c:v>
                </c:pt>
                <c:pt idx="33">
                  <c:v>0.0766206321804938</c:v>
                </c:pt>
                <c:pt idx="34">
                  <c:v>0.102739814902495</c:v>
                </c:pt>
                <c:pt idx="35">
                  <c:v>0.135335283236613</c:v>
                </c:pt>
                <c:pt idx="36">
                  <c:v>0.175130788345152</c:v>
                </c:pt>
                <c:pt idx="37">
                  <c:v>0.222634865878892</c:v>
                </c:pt>
                <c:pt idx="38">
                  <c:v>0.278037300453195</c:v>
                </c:pt>
                <c:pt idx="39">
                  <c:v>0.341108198096593</c:v>
                </c:pt>
                <c:pt idx="40">
                  <c:v>0.411112290507189</c:v>
                </c:pt>
                <c:pt idx="41">
                  <c:v>0.486752255959973</c:v>
                </c:pt>
                <c:pt idx="42">
                  <c:v>0.566154149517199</c:v>
                </c:pt>
                <c:pt idx="43">
                  <c:v>0.646905175464354</c:v>
                </c:pt>
                <c:pt idx="44">
                  <c:v>0.726149037073693</c:v>
                </c:pt>
                <c:pt idx="45">
                  <c:v>0.80073740291681</c:v>
                </c:pt>
                <c:pt idx="46">
                  <c:v>0.867428473183412</c:v>
                </c:pt>
                <c:pt idx="47">
                  <c:v>0.923116346386637</c:v>
                </c:pt>
                <c:pt idx="48">
                  <c:v>0.965069117789681</c:v>
                </c:pt>
                <c:pt idx="49">
                  <c:v>0.991150500488285</c:v>
                </c:pt>
                <c:pt idx="50">
                  <c:v>1</c:v>
                </c:pt>
              </c:numCache>
            </c:numRef>
          </c:yVal>
          <c:smooth val="1"/>
        </c:ser>
        <c:axId val="44601523"/>
        <c:axId val="72713303"/>
      </c:scatterChart>
      <c:valAx>
        <c:axId val="44601523"/>
        <c:scaling>
          <c:orientation val="minMax"/>
          <c:max val="1"/>
        </c:scaling>
        <c:delete val="0"/>
        <c:axPos val="b"/>
        <c:majorGridlines>
          <c:spPr>
            <a:ln w="9360">
              <a:solidFill>
                <a:srgbClr val="d9d9d9"/>
              </a:solidFill>
              <a:round/>
            </a:ln>
          </c:spPr>
        </c:majorGridlines>
        <c:numFmt formatCode="General" sourceLinked="0"/>
        <c:majorTickMark val="none"/>
        <c:minorTickMark val="none"/>
        <c:tickLblPos val="nextTo"/>
        <c:spPr>
          <a:ln w="3240">
            <a:solidFill>
              <a:srgbClr val="d9d9d9"/>
            </a:solidFill>
            <a:round/>
          </a:ln>
        </c:spPr>
        <c:txPr>
          <a:bodyPr/>
          <a:p>
            <a:pPr>
              <a:defRPr b="0" sz="900" spc="-1" strike="noStrike">
                <a:solidFill>
                  <a:srgbClr val="595959"/>
                </a:solidFill>
                <a:uFill>
                  <a:solidFill>
                    <a:srgbClr val="ffffff"/>
                  </a:solidFill>
                </a:uFill>
                <a:latin typeface="Calibri"/>
              </a:defRPr>
            </a:pPr>
          </a:p>
        </c:txPr>
        <c:crossAx val="72713303"/>
        <c:crosses val="autoZero"/>
        <c:crossBetween val="midCat"/>
      </c:valAx>
      <c:valAx>
        <c:axId val="72713303"/>
        <c:scaling>
          <c:orientation val="minMax"/>
          <c:max val="1.02"/>
          <c:min val="0"/>
        </c:scaling>
        <c:delete val="0"/>
        <c:axPos val="l"/>
        <c:majorGridlines>
          <c:spPr>
            <a:ln w="9360">
              <a:solidFill>
                <a:srgbClr val="d9d9d9"/>
              </a:solidFill>
              <a:round/>
            </a:ln>
          </c:spPr>
        </c:majorGridlines>
        <c:numFmt formatCode="General" sourceLinked="0"/>
        <c:majorTickMark val="none"/>
        <c:minorTickMark val="none"/>
        <c:tickLblPos val="nextTo"/>
        <c:spPr>
          <a:ln w="3240">
            <a:solidFill>
              <a:srgbClr val="d9d9d9"/>
            </a:solidFill>
            <a:round/>
          </a:ln>
        </c:spPr>
        <c:txPr>
          <a:bodyPr/>
          <a:p>
            <a:pPr>
              <a:defRPr b="0" sz="900" spc="-1" strike="noStrike">
                <a:solidFill>
                  <a:srgbClr val="595959"/>
                </a:solidFill>
                <a:uFill>
                  <a:solidFill>
                    <a:srgbClr val="ffffff"/>
                  </a:solidFill>
                </a:uFill>
                <a:latin typeface="Calibri"/>
              </a:defRPr>
            </a:pPr>
          </a:p>
        </c:txPr>
        <c:crossAx val="44601523"/>
        <c:crosses val="autoZero"/>
        <c:crossBetween val="midCat"/>
      </c:valAx>
      <c:spPr>
        <a:solidFill>
          <a:srgbClr val="ffffff"/>
        </a:solidFill>
        <a:ln>
          <a:noFill/>
        </a:ln>
      </c:spPr>
    </c:plotArea>
    <c:legend>
      <c:legendPos val="t"/>
      <c:overlay val="0"/>
      <c:spPr>
        <a:noFill/>
        <a:ln>
          <a:noFill/>
        </a:ln>
      </c:spPr>
    </c:legend>
    <c:plotVisOnly val="1"/>
    <c:dispBlanksAs val="gap"/>
  </c:chart>
  <c:spPr>
    <a:solidFill>
      <a:srgbClr val="ffffff"/>
    </a:solidFill>
    <a:ln>
      <a:noFill/>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plotArea>
      <c:lineChart>
        <c:grouping val="standard"/>
        <c:ser>
          <c:idx val="0"/>
          <c:order val="0"/>
          <c:tx>
            <c:strRef>
              <c:f>label 0</c:f>
              <c:strCache>
                <c:ptCount val="1"/>
                <c:pt idx="0">
                  <c:v>Muy pocos (menos del 5%)</c:v>
                </c:pt>
              </c:strCache>
            </c:strRef>
          </c:tx>
          <c:spPr>
            <a:solidFill>
              <a:srgbClr val="5b9bd5"/>
            </a:solidFill>
            <a:ln w="28440">
              <a:solidFill>
                <a:srgbClr val="5b9bd5"/>
              </a:solidFill>
              <a:round/>
            </a:ln>
          </c:spPr>
          <c:marker>
            <c:symbol val="none"/>
          </c:marker>
          <c:dLbls>
            <c:dLblPos val="r"/>
            <c:showLegendKey val="0"/>
            <c:showVal val="0"/>
            <c:showCatName val="0"/>
            <c:showSerName val="0"/>
            <c:showPercent val="0"/>
            <c:showLeaderLines val="0"/>
          </c:dLbls>
          <c:cat>
            <c:strRef>
              <c:f>categories</c:f>
              <c:strCache>
                <c:ptCount val="7"/>
                <c:pt idx="0">
                  <c:v>0.000</c:v>
                </c:pt>
                <c:pt idx="1">
                  <c:v>0.170</c:v>
                </c:pt>
                <c:pt idx="2">
                  <c:v>0.330</c:v>
                </c:pt>
                <c:pt idx="3">
                  <c:v>0.500</c:v>
                </c:pt>
                <c:pt idx="4">
                  <c:v>0.670</c:v>
                </c:pt>
                <c:pt idx="5">
                  <c:v>0.830</c:v>
                </c:pt>
                <c:pt idx="6">
                  <c:v>1.000</c:v>
                </c:pt>
              </c:strCache>
            </c:strRef>
          </c:cat>
          <c:val>
            <c:numRef>
              <c:f>0</c:f>
              <c:numCache>
                <c:formatCode>General</c:formatCode>
                <c:ptCount val="7"/>
                <c:pt idx="0">
                  <c:v>1</c:v>
                </c:pt>
                <c:pt idx="1">
                  <c:v>0</c:v>
                </c:pt>
                <c:pt idx="2">
                  <c:v>0</c:v>
                </c:pt>
                <c:pt idx="3">
                  <c:v>0</c:v>
                </c:pt>
                <c:pt idx="4">
                  <c:v>0</c:v>
                </c:pt>
                <c:pt idx="5">
                  <c:v>0</c:v>
                </c:pt>
                <c:pt idx="6">
                  <c:v>0</c:v>
                </c:pt>
              </c:numCache>
            </c:numRef>
          </c:val>
          <c:smooth val="0"/>
        </c:ser>
        <c:ser>
          <c:idx val="1"/>
          <c:order val="1"/>
          <c:tx>
            <c:strRef>
              <c:f>label 1</c:f>
              <c:strCache>
                <c:ptCount val="1"/>
                <c:pt idx="0">
                  <c:v>Pocos (alrededor del 15%)</c:v>
                </c:pt>
              </c:strCache>
            </c:strRef>
          </c:tx>
          <c:spPr>
            <a:solidFill>
              <a:srgbClr val="ed7d31"/>
            </a:solidFill>
            <a:ln w="28440">
              <a:solidFill>
                <a:srgbClr val="ed7d31"/>
              </a:solidFill>
              <a:round/>
            </a:ln>
          </c:spPr>
          <c:marker>
            <c:symbol val="none"/>
          </c:marker>
          <c:dLbls>
            <c:dLblPos val="r"/>
            <c:showLegendKey val="0"/>
            <c:showVal val="0"/>
            <c:showCatName val="0"/>
            <c:showSerName val="0"/>
            <c:showPercent val="0"/>
            <c:showLeaderLines val="0"/>
          </c:dLbls>
          <c:cat>
            <c:strRef>
              <c:f>categories</c:f>
              <c:strCache>
                <c:ptCount val="7"/>
                <c:pt idx="0">
                  <c:v>0.000</c:v>
                </c:pt>
                <c:pt idx="1">
                  <c:v>0.170</c:v>
                </c:pt>
                <c:pt idx="2">
                  <c:v>0.330</c:v>
                </c:pt>
                <c:pt idx="3">
                  <c:v>0.500</c:v>
                </c:pt>
                <c:pt idx="4">
                  <c:v>0.670</c:v>
                </c:pt>
                <c:pt idx="5">
                  <c:v>0.830</c:v>
                </c:pt>
                <c:pt idx="6">
                  <c:v>1.000</c:v>
                </c:pt>
              </c:strCache>
            </c:strRef>
          </c:cat>
          <c:val>
            <c:numRef>
              <c:f>1</c:f>
              <c:numCache>
                <c:formatCode>General</c:formatCode>
                <c:ptCount val="7"/>
                <c:pt idx="0">
                  <c:v>0</c:v>
                </c:pt>
                <c:pt idx="1">
                  <c:v>1</c:v>
                </c:pt>
                <c:pt idx="2">
                  <c:v>0</c:v>
                </c:pt>
                <c:pt idx="3">
                  <c:v>0</c:v>
                </c:pt>
                <c:pt idx="4">
                  <c:v>0</c:v>
                </c:pt>
                <c:pt idx="5">
                  <c:v>0</c:v>
                </c:pt>
                <c:pt idx="6">
                  <c:v>0</c:v>
                </c:pt>
              </c:numCache>
            </c:numRef>
          </c:val>
          <c:smooth val="0"/>
        </c:ser>
        <c:ser>
          <c:idx val="2"/>
          <c:order val="2"/>
          <c:tx>
            <c:strRef>
              <c:f>label 2</c:f>
              <c:strCache>
                <c:ptCount val="1"/>
                <c:pt idx="0">
                  <c:v>Algunos (alrededor del 33%)</c:v>
                </c:pt>
              </c:strCache>
            </c:strRef>
          </c:tx>
          <c:spPr>
            <a:solidFill>
              <a:srgbClr val="a5a5a5"/>
            </a:solidFill>
            <a:ln w="28440">
              <a:solidFill>
                <a:srgbClr val="a5a5a5"/>
              </a:solidFill>
              <a:round/>
            </a:ln>
          </c:spPr>
          <c:marker>
            <c:symbol val="none"/>
          </c:marker>
          <c:dLbls>
            <c:dLblPos val="r"/>
            <c:showLegendKey val="0"/>
            <c:showVal val="0"/>
            <c:showCatName val="0"/>
            <c:showSerName val="0"/>
            <c:showPercent val="0"/>
            <c:showLeaderLines val="0"/>
          </c:dLbls>
          <c:cat>
            <c:strRef>
              <c:f>categories</c:f>
              <c:strCache>
                <c:ptCount val="7"/>
                <c:pt idx="0">
                  <c:v>0.000</c:v>
                </c:pt>
                <c:pt idx="1">
                  <c:v>0.170</c:v>
                </c:pt>
                <c:pt idx="2">
                  <c:v>0.330</c:v>
                </c:pt>
                <c:pt idx="3">
                  <c:v>0.500</c:v>
                </c:pt>
                <c:pt idx="4">
                  <c:v>0.670</c:v>
                </c:pt>
                <c:pt idx="5">
                  <c:v>0.830</c:v>
                </c:pt>
                <c:pt idx="6">
                  <c:v>1.000</c:v>
                </c:pt>
              </c:strCache>
            </c:strRef>
          </c:cat>
          <c:val>
            <c:numRef>
              <c:f>2</c:f>
              <c:numCache>
                <c:formatCode>General</c:formatCode>
                <c:ptCount val="7"/>
                <c:pt idx="0">
                  <c:v>0</c:v>
                </c:pt>
                <c:pt idx="1">
                  <c:v>0</c:v>
                </c:pt>
                <c:pt idx="2">
                  <c:v>1</c:v>
                </c:pt>
                <c:pt idx="3">
                  <c:v>0</c:v>
                </c:pt>
                <c:pt idx="4">
                  <c:v>0</c:v>
                </c:pt>
                <c:pt idx="5">
                  <c:v>0</c:v>
                </c:pt>
                <c:pt idx="6">
                  <c:v>0</c:v>
                </c:pt>
              </c:numCache>
            </c:numRef>
          </c:val>
          <c:smooth val="0"/>
        </c:ser>
        <c:ser>
          <c:idx val="3"/>
          <c:order val="3"/>
          <c:tx>
            <c:strRef>
              <c:f>label 3</c:f>
              <c:strCache>
                <c:ptCount val="1"/>
                <c:pt idx="0">
                  <c:v>Aproximadamente la mitad</c:v>
                </c:pt>
              </c:strCache>
            </c:strRef>
          </c:tx>
          <c:spPr>
            <a:solidFill>
              <a:srgbClr val="ffc000"/>
            </a:solidFill>
            <a:ln w="28440">
              <a:solidFill>
                <a:srgbClr val="ffc000"/>
              </a:solidFill>
              <a:round/>
            </a:ln>
          </c:spPr>
          <c:marker>
            <c:symbol val="none"/>
          </c:marker>
          <c:dLbls>
            <c:dLblPos val="r"/>
            <c:showLegendKey val="0"/>
            <c:showVal val="0"/>
            <c:showCatName val="0"/>
            <c:showSerName val="0"/>
            <c:showPercent val="0"/>
            <c:showLeaderLines val="0"/>
          </c:dLbls>
          <c:cat>
            <c:strRef>
              <c:f>categories</c:f>
              <c:strCache>
                <c:ptCount val="7"/>
                <c:pt idx="0">
                  <c:v>0.000</c:v>
                </c:pt>
                <c:pt idx="1">
                  <c:v>0.170</c:v>
                </c:pt>
                <c:pt idx="2">
                  <c:v>0.330</c:v>
                </c:pt>
                <c:pt idx="3">
                  <c:v>0.500</c:v>
                </c:pt>
                <c:pt idx="4">
                  <c:v>0.670</c:v>
                </c:pt>
                <c:pt idx="5">
                  <c:v>0.830</c:v>
                </c:pt>
                <c:pt idx="6">
                  <c:v>1.000</c:v>
                </c:pt>
              </c:strCache>
            </c:strRef>
          </c:cat>
          <c:val>
            <c:numRef>
              <c:f>3</c:f>
              <c:numCache>
                <c:formatCode>General</c:formatCode>
                <c:ptCount val="7"/>
                <c:pt idx="0">
                  <c:v>0</c:v>
                </c:pt>
                <c:pt idx="1">
                  <c:v>0</c:v>
                </c:pt>
                <c:pt idx="2">
                  <c:v>0</c:v>
                </c:pt>
                <c:pt idx="3">
                  <c:v>1</c:v>
                </c:pt>
                <c:pt idx="4">
                  <c:v>0</c:v>
                </c:pt>
                <c:pt idx="5">
                  <c:v>0</c:v>
                </c:pt>
                <c:pt idx="6">
                  <c:v>0</c:v>
                </c:pt>
              </c:numCache>
            </c:numRef>
          </c:val>
          <c:smooth val="0"/>
        </c:ser>
        <c:ser>
          <c:idx val="4"/>
          <c:order val="4"/>
          <c:tx>
            <c:strRef>
              <c:f>label 4</c:f>
              <c:strCache>
                <c:ptCount val="1"/>
                <c:pt idx="0">
                  <c:v>Muchos (cerca del 65%)</c:v>
                </c:pt>
              </c:strCache>
            </c:strRef>
          </c:tx>
          <c:spPr>
            <a:solidFill>
              <a:srgbClr val="4472c4"/>
            </a:solidFill>
            <a:ln w="28440">
              <a:solidFill>
                <a:srgbClr val="4472c4"/>
              </a:solidFill>
              <a:round/>
            </a:ln>
          </c:spPr>
          <c:marker>
            <c:symbol val="none"/>
          </c:marker>
          <c:dLbls>
            <c:dLblPos val="r"/>
            <c:showLegendKey val="0"/>
            <c:showVal val="0"/>
            <c:showCatName val="0"/>
            <c:showSerName val="0"/>
            <c:showPercent val="0"/>
            <c:showLeaderLines val="0"/>
          </c:dLbls>
          <c:cat>
            <c:strRef>
              <c:f>categories</c:f>
              <c:strCache>
                <c:ptCount val="7"/>
                <c:pt idx="0">
                  <c:v>0.000</c:v>
                </c:pt>
                <c:pt idx="1">
                  <c:v>0.170</c:v>
                </c:pt>
                <c:pt idx="2">
                  <c:v>0.330</c:v>
                </c:pt>
                <c:pt idx="3">
                  <c:v>0.500</c:v>
                </c:pt>
                <c:pt idx="4">
                  <c:v>0.670</c:v>
                </c:pt>
                <c:pt idx="5">
                  <c:v>0.830</c:v>
                </c:pt>
                <c:pt idx="6">
                  <c:v>1.000</c:v>
                </c:pt>
              </c:strCache>
            </c:strRef>
          </c:cat>
          <c:val>
            <c:numRef>
              <c:f>4</c:f>
              <c:numCache>
                <c:formatCode>General</c:formatCode>
                <c:ptCount val="7"/>
                <c:pt idx="0">
                  <c:v>0</c:v>
                </c:pt>
                <c:pt idx="1">
                  <c:v>0</c:v>
                </c:pt>
                <c:pt idx="2">
                  <c:v>0</c:v>
                </c:pt>
                <c:pt idx="3">
                  <c:v>0</c:v>
                </c:pt>
                <c:pt idx="4">
                  <c:v>1</c:v>
                </c:pt>
                <c:pt idx="5">
                  <c:v>0</c:v>
                </c:pt>
                <c:pt idx="6">
                  <c:v>0</c:v>
                </c:pt>
              </c:numCache>
            </c:numRef>
          </c:val>
          <c:smooth val="0"/>
        </c:ser>
        <c:ser>
          <c:idx val="5"/>
          <c:order val="5"/>
          <c:tx>
            <c:strRef>
              <c:f>label 5</c:f>
              <c:strCache>
                <c:ptCount val="1"/>
                <c:pt idx="0">
                  <c:v>La mayoría (alrededor del 83%)</c:v>
                </c:pt>
              </c:strCache>
            </c:strRef>
          </c:tx>
          <c:spPr>
            <a:solidFill>
              <a:srgbClr val="70ad47"/>
            </a:solidFill>
            <a:ln w="28440">
              <a:solidFill>
                <a:srgbClr val="70ad47"/>
              </a:solidFill>
              <a:round/>
            </a:ln>
          </c:spPr>
          <c:marker>
            <c:symbol val="none"/>
          </c:marker>
          <c:dLbls>
            <c:dLblPos val="r"/>
            <c:showLegendKey val="0"/>
            <c:showVal val="0"/>
            <c:showCatName val="0"/>
            <c:showSerName val="0"/>
            <c:showPercent val="0"/>
            <c:showLeaderLines val="0"/>
          </c:dLbls>
          <c:cat>
            <c:strRef>
              <c:f>categories</c:f>
              <c:strCache>
                <c:ptCount val="7"/>
                <c:pt idx="0">
                  <c:v>0.000</c:v>
                </c:pt>
                <c:pt idx="1">
                  <c:v>0.170</c:v>
                </c:pt>
                <c:pt idx="2">
                  <c:v>0.330</c:v>
                </c:pt>
                <c:pt idx="3">
                  <c:v>0.500</c:v>
                </c:pt>
                <c:pt idx="4">
                  <c:v>0.670</c:v>
                </c:pt>
                <c:pt idx="5">
                  <c:v>0.830</c:v>
                </c:pt>
                <c:pt idx="6">
                  <c:v>1.000</c:v>
                </c:pt>
              </c:strCache>
            </c:strRef>
          </c:cat>
          <c:val>
            <c:numRef>
              <c:f>5</c:f>
              <c:numCache>
                <c:formatCode>General</c:formatCode>
                <c:ptCount val="7"/>
                <c:pt idx="0">
                  <c:v>0</c:v>
                </c:pt>
                <c:pt idx="1">
                  <c:v>0</c:v>
                </c:pt>
                <c:pt idx="2">
                  <c:v>0</c:v>
                </c:pt>
                <c:pt idx="3">
                  <c:v>0</c:v>
                </c:pt>
                <c:pt idx="4">
                  <c:v>0</c:v>
                </c:pt>
                <c:pt idx="5">
                  <c:v>1</c:v>
                </c:pt>
                <c:pt idx="6">
                  <c:v>0</c:v>
                </c:pt>
              </c:numCache>
            </c:numRef>
          </c:val>
          <c:smooth val="0"/>
        </c:ser>
        <c:ser>
          <c:idx val="6"/>
          <c:order val="6"/>
          <c:tx>
            <c:strRef>
              <c:f>label 6</c:f>
              <c:strCache>
                <c:ptCount val="1"/>
                <c:pt idx="0">
                  <c:v>Casi la totalidad</c:v>
                </c:pt>
              </c:strCache>
            </c:strRef>
          </c:tx>
          <c:spPr>
            <a:solidFill>
              <a:srgbClr val="255e91"/>
            </a:solidFill>
            <a:ln w="28440">
              <a:solidFill>
                <a:srgbClr val="255e91"/>
              </a:solidFill>
              <a:round/>
            </a:ln>
          </c:spPr>
          <c:marker>
            <c:symbol val="none"/>
          </c:marker>
          <c:dLbls>
            <c:dLblPos val="r"/>
            <c:showLegendKey val="0"/>
            <c:showVal val="0"/>
            <c:showCatName val="0"/>
            <c:showSerName val="0"/>
            <c:showPercent val="0"/>
            <c:showLeaderLines val="0"/>
          </c:dLbls>
          <c:cat>
            <c:strRef>
              <c:f>categories</c:f>
              <c:strCache>
                <c:ptCount val="7"/>
                <c:pt idx="0">
                  <c:v>0.000</c:v>
                </c:pt>
                <c:pt idx="1">
                  <c:v>0.170</c:v>
                </c:pt>
                <c:pt idx="2">
                  <c:v>0.330</c:v>
                </c:pt>
                <c:pt idx="3">
                  <c:v>0.500</c:v>
                </c:pt>
                <c:pt idx="4">
                  <c:v>0.670</c:v>
                </c:pt>
                <c:pt idx="5">
                  <c:v>0.830</c:v>
                </c:pt>
                <c:pt idx="6">
                  <c:v>1.000</c:v>
                </c:pt>
              </c:strCache>
            </c:strRef>
          </c:cat>
          <c:val>
            <c:numRef>
              <c:f>6</c:f>
              <c:numCache>
                <c:formatCode>General</c:formatCode>
                <c:ptCount val="7"/>
                <c:pt idx="0">
                  <c:v>0</c:v>
                </c:pt>
                <c:pt idx="1">
                  <c:v>0</c:v>
                </c:pt>
                <c:pt idx="2">
                  <c:v>0</c:v>
                </c:pt>
                <c:pt idx="3">
                  <c:v>0</c:v>
                </c:pt>
                <c:pt idx="4">
                  <c:v>0</c:v>
                </c:pt>
                <c:pt idx="5">
                  <c:v>0</c:v>
                </c:pt>
                <c:pt idx="6">
                  <c:v>1</c:v>
                </c:pt>
              </c:numCache>
            </c:numRef>
          </c:val>
          <c:smooth val="0"/>
        </c:ser>
        <c:hiLowLines>
          <c:spPr>
            <a:ln>
              <a:noFill/>
            </a:ln>
          </c:spPr>
        </c:hiLowLines>
        <c:marker val="0"/>
        <c:axId val="21921293"/>
        <c:axId val="40810598"/>
      </c:lineChart>
      <c:catAx>
        <c:axId val="21921293"/>
        <c:scaling>
          <c:orientation val="minMax"/>
        </c:scaling>
        <c:delete val="0"/>
        <c:axPos val="b"/>
        <c:numFmt formatCode="MM/DD/YYYY" sourceLinked="1"/>
        <c:majorTickMark val="none"/>
        <c:minorTickMark val="none"/>
        <c:tickLblPos val="nextTo"/>
        <c:spPr>
          <a:ln w="9360">
            <a:solidFill>
              <a:srgbClr val="d9d9d9"/>
            </a:solidFill>
            <a:round/>
          </a:ln>
        </c:spPr>
        <c:txPr>
          <a:bodyPr/>
          <a:p>
            <a:pPr>
              <a:defRPr b="0" sz="900" spc="-1" strike="noStrike">
                <a:solidFill>
                  <a:srgbClr val="595959"/>
                </a:solidFill>
                <a:uFill>
                  <a:solidFill>
                    <a:srgbClr val="ffffff"/>
                  </a:solidFill>
                </a:uFill>
                <a:latin typeface="Calibri"/>
              </a:defRPr>
            </a:pPr>
          </a:p>
        </c:txPr>
        <c:crossAx val="40810598"/>
        <c:crosses val="autoZero"/>
        <c:auto val="1"/>
        <c:lblAlgn val="ctr"/>
        <c:lblOffset val="100"/>
      </c:catAx>
      <c:valAx>
        <c:axId val="40810598"/>
        <c:scaling>
          <c:orientation val="minMax"/>
          <c:max val="1"/>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p>
            <a:pPr>
              <a:defRPr b="0" sz="900" spc="-1" strike="noStrike">
                <a:solidFill>
                  <a:srgbClr val="595959"/>
                </a:solidFill>
                <a:uFill>
                  <a:solidFill>
                    <a:srgbClr val="ffffff"/>
                  </a:solidFill>
                </a:uFill>
                <a:latin typeface="Calibri"/>
              </a:defRPr>
            </a:pPr>
          </a:p>
        </c:txPr>
        <c:crossAx val="21921293"/>
        <c:crosses val="autoZero"/>
        <c:crossBetween val="midCat"/>
      </c:valAx>
      <c:spPr>
        <a:noFill/>
        <a:ln>
          <a:noFill/>
        </a:ln>
      </c:spPr>
    </c:plotArea>
    <c:legend>
      <c:legendPos val="b"/>
      <c:overlay val="0"/>
      <c:spPr>
        <a:noFill/>
        <a:ln>
          <a:noFill/>
        </a:ln>
      </c:spPr>
    </c:legend>
    <c:plotVisOnly val="1"/>
    <c:dispBlanksAs val="gap"/>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plotArea>
      <c:scatterChart>
        <c:scatterStyle val="lineMarker"/>
        <c:varyColors val="0"/>
        <c:ser>
          <c:idx val="0"/>
          <c:order val="0"/>
          <c:tx>
            <c:strRef>
              <c:f>label 0</c:f>
              <c:strCache>
                <c:ptCount val="1"/>
                <c:pt idx="0">
                  <c:v>T5 Tradicional</c:v>
                </c:pt>
              </c:strCache>
            </c:strRef>
          </c:tx>
          <c:spPr>
            <a:solidFill>
              <a:srgbClr val="5b9bd5"/>
            </a:solidFill>
            <a:ln w="19080">
              <a:solidFill>
                <a:srgbClr val="5b9bd5"/>
              </a:solidFill>
              <a:round/>
            </a:ln>
          </c:spPr>
          <c:marker>
            <c:symbol val="circle"/>
            <c:size val="5"/>
            <c:spPr>
              <a:solidFill>
                <a:srgbClr val="5b9bd5"/>
              </a:solidFill>
            </c:spPr>
          </c:marker>
          <c:dLbls>
            <c:dLblPos val="r"/>
            <c:showLegendKey val="0"/>
            <c:showVal val="1"/>
            <c:showCatName val="0"/>
            <c:showSerName val="0"/>
            <c:showPercent val="0"/>
            <c:showLeaderLines val="0"/>
          </c:dLbls>
          <c:xVal>
            <c:numRef>
              <c:f>1</c:f>
              <c:numCache>
                <c:formatCode>General</c:formatCode>
                <c:ptCount val="8"/>
                <c:pt idx="0">
                  <c:v>1</c:v>
                </c:pt>
                <c:pt idx="1">
                  <c:v>2</c:v>
                </c:pt>
                <c:pt idx="2">
                  <c:v>3</c:v>
                </c:pt>
                <c:pt idx="3">
                  <c:v>4</c:v>
                </c:pt>
                <c:pt idx="4">
                  <c:v>5</c:v>
                </c:pt>
                <c:pt idx="5">
                  <c:v>6</c:v>
                </c:pt>
                <c:pt idx="6">
                  <c:v>7</c:v>
                </c:pt>
                <c:pt idx="7">
                  <c:v>8</c:v>
                </c:pt>
              </c:numCache>
            </c:numRef>
          </c:xVal>
          <c:yVal>
            <c:numRef>
              <c:f>0</c:f>
              <c:numCache>
                <c:formatCode>General</c:formatCode>
                <c:ptCount val="8"/>
                <c:pt idx="0">
                  <c:v>1</c:v>
                </c:pt>
                <c:pt idx="1">
                  <c:v>0.5</c:v>
                </c:pt>
                <c:pt idx="2">
                  <c:v>0.25</c:v>
                </c:pt>
                <c:pt idx="3">
                  <c:v>0.125</c:v>
                </c:pt>
                <c:pt idx="4">
                  <c:v>0.063</c:v>
                </c:pt>
                <c:pt idx="5">
                  <c:v>0.031</c:v>
                </c:pt>
                <c:pt idx="6">
                  <c:v>0.016</c:v>
                </c:pt>
                <c:pt idx="7">
                  <c:v>0.008</c:v>
                </c:pt>
              </c:numCache>
            </c:numRef>
          </c:yVal>
          <c:smooth val="1"/>
        </c:ser>
        <c:axId val="26552231"/>
        <c:axId val="56588104"/>
      </c:scatterChart>
      <c:valAx>
        <c:axId val="26552231"/>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9360">
            <a:solidFill>
              <a:srgbClr val="bfbfbf"/>
            </a:solidFill>
            <a:round/>
          </a:ln>
        </c:spPr>
        <c:txPr>
          <a:bodyPr/>
          <a:p>
            <a:pPr>
              <a:defRPr b="0" sz="900" spc="-1" strike="noStrike">
                <a:solidFill>
                  <a:srgbClr val="595959"/>
                </a:solidFill>
                <a:uFill>
                  <a:solidFill>
                    <a:srgbClr val="ffffff"/>
                  </a:solidFill>
                </a:uFill>
                <a:latin typeface="Calibri"/>
              </a:defRPr>
            </a:pPr>
          </a:p>
        </c:txPr>
        <c:crossAx val="56588104"/>
        <c:crosses val="autoZero"/>
        <c:crossBetween val="midCat"/>
      </c:valAx>
      <c:valAx>
        <c:axId val="56588104"/>
        <c:scaling>
          <c:orientation val="minMax"/>
          <c:max val="1"/>
        </c:scaling>
        <c:delete val="0"/>
        <c:axPos val="l"/>
        <c:majorGridlines>
          <c:spPr>
            <a:ln w="9360">
              <a:solidFill>
                <a:srgbClr val="d9d9d9"/>
              </a:solidFill>
              <a:round/>
            </a:ln>
          </c:spPr>
        </c:majorGridlines>
        <c:numFmt formatCode="General" sourceLinked="0"/>
        <c:majorTickMark val="none"/>
        <c:minorTickMark val="none"/>
        <c:tickLblPos val="nextTo"/>
        <c:spPr>
          <a:ln w="9360">
            <a:solidFill>
              <a:srgbClr val="bfbfbf"/>
            </a:solidFill>
            <a:round/>
          </a:ln>
        </c:spPr>
        <c:txPr>
          <a:bodyPr/>
          <a:p>
            <a:pPr>
              <a:defRPr b="0" sz="900" spc="-1" strike="noStrike">
                <a:solidFill>
                  <a:srgbClr val="595959"/>
                </a:solidFill>
                <a:uFill>
                  <a:solidFill>
                    <a:srgbClr val="ffffff"/>
                  </a:solidFill>
                </a:uFill>
                <a:latin typeface="Calibri"/>
              </a:defRPr>
            </a:pPr>
          </a:p>
        </c:txPr>
        <c:crossAx val="26552231"/>
        <c:crosses val="autoZero"/>
        <c:crossBetween val="midCat"/>
      </c:valAx>
      <c:spPr>
        <a:noFill/>
        <a:ln>
          <a:noFill/>
        </a:ln>
      </c:spPr>
    </c:plotArea>
    <c:legend>
      <c:legendPos val="b"/>
      <c:overlay val="0"/>
      <c:spPr>
        <a:noFill/>
        <a:ln>
          <a:noFill/>
        </a:ln>
      </c:spPr>
    </c:legend>
    <c:plotVisOnly val="1"/>
    <c:dispBlanksAs val="gap"/>
  </c:chart>
  <c:spPr>
    <a:solidFill>
      <a:srgbClr val="ffffff"/>
    </a:solidFill>
    <a:ln w="9360">
      <a:noFill/>
    </a:ln>
  </c:spPr>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plotArea>
      <c:lineChart>
        <c:grouping val="standard"/>
        <c:ser>
          <c:idx val="0"/>
          <c:order val="0"/>
          <c:tx>
            <c:strRef>
              <c:f>label 0</c:f>
              <c:strCache>
                <c:ptCount val="1"/>
                <c:pt idx="0">
                  <c:v>T1 QRy's are S</c:v>
                </c:pt>
              </c:strCache>
            </c:strRef>
          </c:tx>
          <c:spPr>
            <a:solidFill>
              <a:srgbClr val="5b9bd5"/>
            </a:solidFill>
            <a:ln w="6480">
              <a:solidFill>
                <a:srgbClr val="5b9bd5"/>
              </a:solidFill>
              <a:round/>
            </a:ln>
          </c:spPr>
          <c:marker>
            <c:symbol val="circle"/>
            <c:size val="5"/>
            <c:spPr>
              <a:solidFill>
                <a:srgbClr val="5b9bd5"/>
              </a:solidFill>
            </c:spPr>
          </c:marker>
          <c:dLbls>
            <c:dLblPos val="r"/>
            <c:showLegendKey val="0"/>
            <c:showVal val="0"/>
            <c:showCatName val="0"/>
            <c:showSerName val="0"/>
            <c:showPercent val="0"/>
            <c:showLeaderLines val="0"/>
          </c:dLbls>
          <c:cat>
            <c:strRef>
              <c:f>categories</c:f>
              <c:strCache>
                <c:ptCount val="29"/>
                <c:pt idx="0">
                  <c:v>Clase ER1</c:v>
                </c:pt>
                <c:pt idx="1">
                  <c:v>Clase ER2</c:v>
                </c:pt>
                <c:pt idx="2">
                  <c:v>Clase ER3</c:v>
                </c:pt>
                <c:pt idx="3">
                  <c:v>Clase ER4</c:v>
                </c:pt>
                <c:pt idx="4">
                  <c:v>Clase ER5</c:v>
                </c:pt>
                <c:pt idx="5">
                  <c:v>Clase ER6</c:v>
                </c:pt>
                <c:pt idx="6">
                  <c:v>Clase ER7</c:v>
                </c:pt>
                <c:pt idx="7">
                  <c:v>Clase ER8</c:v>
                </c:pt>
                <c:pt idx="8">
                  <c:v>Clase ER9</c:v>
                </c:pt>
                <c:pt idx="9">
                  <c:v>Clase ER10</c:v>
                </c:pt>
                <c:pt idx="10">
                  <c:v>Clase ER11</c:v>
                </c:pt>
                <c:pt idx="11">
                  <c:v>Clase ER12</c:v>
                </c:pt>
                <c:pt idx="12">
                  <c:v>Clase ER13</c:v>
                </c:pt>
                <c:pt idx="13">
                  <c:v>Clase ER14</c:v>
                </c:pt>
                <c:pt idx="14">
                  <c:v>Clase ER15</c:v>
                </c:pt>
                <c:pt idx="15">
                  <c:v>Clase ER16</c:v>
                </c:pt>
                <c:pt idx="16">
                  <c:v>Clase ER17</c:v>
                </c:pt>
                <c:pt idx="17">
                  <c:v>Clase ER18</c:v>
                </c:pt>
                <c:pt idx="18">
                  <c:v>Clase ER19</c:v>
                </c:pt>
                <c:pt idx="19">
                  <c:v>Clase ER20</c:v>
                </c:pt>
                <c:pt idx="20">
                  <c:v>Clase ER21</c:v>
                </c:pt>
                <c:pt idx="21">
                  <c:v>Clase ER22</c:v>
                </c:pt>
                <c:pt idx="22">
                  <c:v>Clase ER23</c:v>
                </c:pt>
                <c:pt idx="23">
                  <c:v>Clase ER24</c:v>
                </c:pt>
                <c:pt idx="24">
                  <c:v>Clase ER25</c:v>
                </c:pt>
                <c:pt idx="25">
                  <c:v>Clase ER26</c:v>
                </c:pt>
                <c:pt idx="26">
                  <c:v>Clase ER27</c:v>
                </c:pt>
                <c:pt idx="27">
                  <c:v>Clase ER28</c:v>
                </c:pt>
                <c:pt idx="28">
                  <c:v>Clase ER29</c:v>
                </c:pt>
              </c:strCache>
            </c:strRef>
          </c:cat>
          <c:val>
            <c:numRef>
              <c:f>0</c:f>
              <c:numCache>
                <c:formatCode>General</c:formatCode>
                <c:ptCount val="29"/>
                <c:pt idx="0">
                  <c:v>3.54019002558614E-010</c:v>
                </c:pt>
                <c:pt idx="1">
                  <c:v>9.48395915581151E-009</c:v>
                </c:pt>
                <c:pt idx="2">
                  <c:v>2.23363143620317E-010</c:v>
                </c:pt>
                <c:pt idx="3">
                  <c:v>0.000289469003774374</c:v>
                </c:pt>
                <c:pt idx="4">
                  <c:v>5.77296360980078E-010</c:v>
                </c:pt>
                <c:pt idx="5">
                  <c:v>1.59920339681824E-009</c:v>
                </c:pt>
                <c:pt idx="6">
                  <c:v>0.0881404196579228</c:v>
                </c:pt>
                <c:pt idx="7">
                  <c:v>0.00155484501875888</c:v>
                </c:pt>
                <c:pt idx="8">
                  <c:v>2.52482567402218E-008</c:v>
                </c:pt>
                <c:pt idx="9">
                  <c:v>0.0410051057901489</c:v>
                </c:pt>
                <c:pt idx="10">
                  <c:v>0.0195632845236286</c:v>
                </c:pt>
                <c:pt idx="11">
                  <c:v>0.00567019528996249</c:v>
                </c:pt>
                <c:pt idx="12">
                  <c:v>0.972165392731246</c:v>
                </c:pt>
                <c:pt idx="13">
                  <c:v>0.00712608139610533</c:v>
                </c:pt>
                <c:pt idx="14">
                  <c:v>0.00386592013947281</c:v>
                </c:pt>
                <c:pt idx="15">
                  <c:v>0.429284749511585</c:v>
                </c:pt>
                <c:pt idx="16">
                  <c:v>0.718911183118518</c:v>
                </c:pt>
                <c:pt idx="17">
                  <c:v>0.0185464809430742</c:v>
                </c:pt>
                <c:pt idx="18">
                  <c:v>0.557048239230558</c:v>
                </c:pt>
                <c:pt idx="19">
                  <c:v>0.894849461407201</c:v>
                </c:pt>
                <c:pt idx="20">
                  <c:v>0.963655309216781</c:v>
                </c:pt>
                <c:pt idx="21">
                  <c:v>0.00184316295892435</c:v>
                </c:pt>
                <c:pt idx="22">
                  <c:v>0.445099524579449</c:v>
                </c:pt>
                <c:pt idx="23">
                  <c:v>0.823852778892136</c:v>
                </c:pt>
                <c:pt idx="24">
                  <c:v>0.000101926181850614</c:v>
                </c:pt>
                <c:pt idx="25">
                  <c:v>0.0437680106121192</c:v>
                </c:pt>
                <c:pt idx="26">
                  <c:v>0.854202537613339</c:v>
                </c:pt>
                <c:pt idx="27">
                  <c:v>0.00557783008175763</c:v>
                </c:pt>
                <c:pt idx="28">
                  <c:v>0.923116346386636</c:v>
                </c:pt>
              </c:numCache>
            </c:numRef>
          </c:val>
          <c:smooth val="0"/>
        </c:ser>
        <c:ser>
          <c:idx val="1"/>
          <c:order val="1"/>
          <c:tx>
            <c:strRef>
              <c:f>label 1</c:f>
              <c:strCache>
                <c:ptCount val="1"/>
                <c:pt idx="0">
                  <c:v>Te1a QRy's are S</c:v>
                </c:pt>
              </c:strCache>
            </c:strRef>
          </c:tx>
          <c:spPr>
            <a:solidFill>
              <a:srgbClr val="ff0000"/>
            </a:solidFill>
            <a:ln w="12600">
              <a:solidFill>
                <a:srgbClr val="ff0000"/>
              </a:solidFill>
              <a:round/>
            </a:ln>
          </c:spPr>
          <c:marker>
            <c:symbol val="circle"/>
            <c:size val="5"/>
            <c:spPr>
              <a:solidFill>
                <a:srgbClr val="ff0000"/>
              </a:solidFill>
            </c:spPr>
          </c:marker>
          <c:dLbls>
            <c:dLblPos val="r"/>
            <c:showLegendKey val="0"/>
            <c:showVal val="0"/>
            <c:showCatName val="0"/>
            <c:showSerName val="0"/>
            <c:showPercent val="0"/>
            <c:showLeaderLines val="0"/>
          </c:dLbls>
          <c:cat>
            <c:strRef>
              <c:f>categories</c:f>
              <c:strCache>
                <c:ptCount val="29"/>
                <c:pt idx="0">
                  <c:v>Clase ER1</c:v>
                </c:pt>
                <c:pt idx="1">
                  <c:v>Clase ER2</c:v>
                </c:pt>
                <c:pt idx="2">
                  <c:v>Clase ER3</c:v>
                </c:pt>
                <c:pt idx="3">
                  <c:v>Clase ER4</c:v>
                </c:pt>
                <c:pt idx="4">
                  <c:v>Clase ER5</c:v>
                </c:pt>
                <c:pt idx="5">
                  <c:v>Clase ER6</c:v>
                </c:pt>
                <c:pt idx="6">
                  <c:v>Clase ER7</c:v>
                </c:pt>
                <c:pt idx="7">
                  <c:v>Clase ER8</c:v>
                </c:pt>
                <c:pt idx="8">
                  <c:v>Clase ER9</c:v>
                </c:pt>
                <c:pt idx="9">
                  <c:v>Clase ER10</c:v>
                </c:pt>
                <c:pt idx="10">
                  <c:v>Clase ER11</c:v>
                </c:pt>
                <c:pt idx="11">
                  <c:v>Clase ER12</c:v>
                </c:pt>
                <c:pt idx="12">
                  <c:v>Clase ER13</c:v>
                </c:pt>
                <c:pt idx="13">
                  <c:v>Clase ER14</c:v>
                </c:pt>
                <c:pt idx="14">
                  <c:v>Clase ER15</c:v>
                </c:pt>
                <c:pt idx="15">
                  <c:v>Clase ER16</c:v>
                </c:pt>
                <c:pt idx="16">
                  <c:v>Clase ER17</c:v>
                </c:pt>
                <c:pt idx="17">
                  <c:v>Clase ER18</c:v>
                </c:pt>
                <c:pt idx="18">
                  <c:v>Clase ER19</c:v>
                </c:pt>
                <c:pt idx="19">
                  <c:v>Clase ER20</c:v>
                </c:pt>
                <c:pt idx="20">
                  <c:v>Clase ER21</c:v>
                </c:pt>
                <c:pt idx="21">
                  <c:v>Clase ER22</c:v>
                </c:pt>
                <c:pt idx="22">
                  <c:v>Clase ER23</c:v>
                </c:pt>
                <c:pt idx="23">
                  <c:v>Clase ER24</c:v>
                </c:pt>
                <c:pt idx="24">
                  <c:v>Clase ER25</c:v>
                </c:pt>
                <c:pt idx="25">
                  <c:v>Clase ER26</c:v>
                </c:pt>
                <c:pt idx="26">
                  <c:v>Clase ER27</c:v>
                </c:pt>
                <c:pt idx="27">
                  <c:v>Clase ER28</c:v>
                </c:pt>
                <c:pt idx="28">
                  <c:v>Clase ER29</c:v>
                </c:pt>
              </c:strCache>
            </c:strRef>
          </c:cat>
          <c:val>
            <c:numRef>
              <c:f>1</c:f>
              <c:numCache>
                <c:formatCode>General</c:formatCode>
                <c:ptCount val="29"/>
                <c:pt idx="0">
                  <c:v>0.539407507237627</c:v>
                </c:pt>
                <c:pt idx="1">
                  <c:v>0.411112290507187</c:v>
                </c:pt>
                <c:pt idx="2">
                  <c:v>0.539407507237627</c:v>
                </c:pt>
                <c:pt idx="3">
                  <c:v>0.760067204607124</c:v>
                </c:pt>
                <c:pt idx="4">
                  <c:v>0.333739780491631</c:v>
                </c:pt>
                <c:pt idx="5">
                  <c:v>0.760067204607124</c:v>
                </c:pt>
                <c:pt idx="6">
                  <c:v>0.411112290507187</c:v>
                </c:pt>
                <c:pt idx="7">
                  <c:v>1</c:v>
                </c:pt>
                <c:pt idx="8">
                  <c:v>1.45126828819064E-006</c:v>
                </c:pt>
                <c:pt idx="9">
                  <c:v>0.539407507237627</c:v>
                </c:pt>
                <c:pt idx="10">
                  <c:v>0.249352208777296</c:v>
                </c:pt>
                <c:pt idx="11">
                  <c:v>0.180021743061023</c:v>
                </c:pt>
                <c:pt idx="12">
                  <c:v>0.135335283236613</c:v>
                </c:pt>
                <c:pt idx="13">
                  <c:v>0.180021743061023</c:v>
                </c:pt>
                <c:pt idx="14">
                  <c:v>0.00386592013947281</c:v>
                </c:pt>
                <c:pt idx="15">
                  <c:v>0.0285655007845504</c:v>
                </c:pt>
                <c:pt idx="16">
                  <c:v>0.00386592013947281</c:v>
                </c:pt>
                <c:pt idx="17">
                  <c:v>0.180021743061023</c:v>
                </c:pt>
                <c:pt idx="18">
                  <c:v>2.36879575124501E-008</c:v>
                </c:pt>
                <c:pt idx="19">
                  <c:v>1.45126828819064E-006</c:v>
                </c:pt>
                <c:pt idx="20">
                  <c:v>2.36879575124501E-008</c:v>
                </c:pt>
                <c:pt idx="21">
                  <c:v>1.52299797447126E-008</c:v>
                </c:pt>
                <c:pt idx="22">
                  <c:v>1.52299797447126E-008</c:v>
                </c:pt>
                <c:pt idx="23">
                  <c:v>1.52299797447126E-008</c:v>
                </c:pt>
                <c:pt idx="24">
                  <c:v>1.86644691135206E-005</c:v>
                </c:pt>
                <c:pt idx="25">
                  <c:v>2.36879575124501E-008</c:v>
                </c:pt>
                <c:pt idx="26">
                  <c:v>0.333739780491631</c:v>
                </c:pt>
                <c:pt idx="27">
                  <c:v>0.00386592013947281</c:v>
                </c:pt>
                <c:pt idx="28">
                  <c:v>1</c:v>
                </c:pt>
              </c:numCache>
            </c:numRef>
          </c:val>
          <c:smooth val="0"/>
        </c:ser>
        <c:hiLowLines>
          <c:spPr>
            <a:ln>
              <a:noFill/>
            </a:ln>
          </c:spPr>
        </c:hiLowLines>
        <c:marker val="1"/>
        <c:axId val="86112360"/>
        <c:axId val="25861516"/>
      </c:lineChart>
      <c:catAx>
        <c:axId val="86112360"/>
        <c:scaling>
          <c:orientation val="minMax"/>
        </c:scaling>
        <c:delete val="0"/>
        <c:axPos val="b"/>
        <c:numFmt formatCode="MM/DD/YYYY" sourceLinked="1"/>
        <c:majorTickMark val="none"/>
        <c:minorTickMark val="none"/>
        <c:tickLblPos val="nextTo"/>
        <c:spPr>
          <a:ln w="9360">
            <a:solidFill>
              <a:srgbClr val="d9d9d9"/>
            </a:solidFill>
            <a:round/>
          </a:ln>
        </c:spPr>
        <c:txPr>
          <a:bodyPr/>
          <a:p>
            <a:pPr>
              <a:defRPr b="0" sz="900" spc="-1" strike="noStrike">
                <a:solidFill>
                  <a:srgbClr val="595959"/>
                </a:solidFill>
                <a:uFill>
                  <a:solidFill>
                    <a:srgbClr val="ffffff"/>
                  </a:solidFill>
                </a:uFill>
                <a:latin typeface="Calibri"/>
              </a:defRPr>
            </a:pPr>
          </a:p>
        </c:txPr>
        <c:crossAx val="25861516"/>
        <c:crosses val="autoZero"/>
        <c:auto val="1"/>
        <c:lblAlgn val="ctr"/>
        <c:lblOffset val="100"/>
      </c:catAx>
      <c:valAx>
        <c:axId val="25861516"/>
        <c:scaling>
          <c:orientation val="minMax"/>
          <c:max val="1"/>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p>
            <a:pPr>
              <a:defRPr b="0" sz="900" spc="-1" strike="noStrike">
                <a:solidFill>
                  <a:srgbClr val="595959"/>
                </a:solidFill>
                <a:uFill>
                  <a:solidFill>
                    <a:srgbClr val="ffffff"/>
                  </a:solidFill>
                </a:uFill>
                <a:latin typeface="Calibri"/>
              </a:defRPr>
            </a:pPr>
          </a:p>
        </c:txPr>
        <c:crossAx val="86112360"/>
        <c:crosses val="autoZero"/>
        <c:crossBetween val="midCat"/>
      </c:valAx>
      <c:spPr>
        <a:noFill/>
        <a:ln>
          <a:noFill/>
        </a:ln>
      </c:spPr>
    </c:plotArea>
    <c:legend>
      <c:legendPos val="b"/>
      <c:overlay val="0"/>
      <c:spPr>
        <a:noFill/>
        <a:ln>
          <a:noFill/>
        </a:ln>
      </c:spPr>
    </c:legend>
    <c:plotVisOnly val="1"/>
    <c:dispBlanksAs val="gap"/>
  </c:chart>
  <c:spPr>
    <a:solidFill>
      <a:srgbClr val="ffffff"/>
    </a:solidFill>
    <a:ln w="9360">
      <a:noFill/>
    </a:ln>
  </c:spPr>
</c:chartSpace>
</file>

<file path=word/charts/chart5.xml><?xml version="1.0" encoding="utf-8"?>
<c:chartSpace xmlns:c="http://schemas.openxmlformats.org/drawingml/2006/chart" xmlns:a="http://schemas.openxmlformats.org/drawingml/2006/main" xmlns:r="http://schemas.openxmlformats.org/officeDocument/2006/relationships">
  <c:lang val="en-US"/>
  <c:roundedCorners val="0"/>
  <c:chart>
    <c:plotArea>
      <c:lineChart>
        <c:grouping val="standard"/>
        <c:ser>
          <c:idx val="0"/>
          <c:order val="0"/>
          <c:tx>
            <c:strRef>
              <c:f>label 0</c:f>
              <c:strCache>
                <c:ptCount val="1"/>
                <c:pt idx="0">
                  <c:v>T1 Qy's are S</c:v>
                </c:pt>
              </c:strCache>
            </c:strRef>
          </c:tx>
          <c:spPr>
            <a:solidFill>
              <a:srgbClr val="5b9bd5"/>
            </a:solidFill>
            <a:ln w="12600">
              <a:solidFill>
                <a:srgbClr val="5b9bd5"/>
              </a:solidFill>
              <a:round/>
            </a:ln>
          </c:spPr>
          <c:marker>
            <c:symbol val="circle"/>
            <c:size val="5"/>
            <c:spPr>
              <a:solidFill>
                <a:srgbClr val="5b9bd5"/>
              </a:solidFill>
            </c:spPr>
          </c:marker>
          <c:dLbls>
            <c:dLblPos val="r"/>
            <c:showLegendKey val="0"/>
            <c:showVal val="0"/>
            <c:showCatName val="0"/>
            <c:showSerName val="0"/>
            <c:showPercent val="0"/>
            <c:showLeaderLines val="0"/>
          </c:dLbls>
          <c:cat>
            <c:strRef>
              <c:f>categories</c:f>
              <c:strCache>
                <c:ptCount val="29"/>
                <c:pt idx="0">
                  <c:v>Clase ER1</c:v>
                </c:pt>
                <c:pt idx="1">
                  <c:v>Clase ER2</c:v>
                </c:pt>
                <c:pt idx="2">
                  <c:v>Clase ER3</c:v>
                </c:pt>
                <c:pt idx="3">
                  <c:v>Clase ER4</c:v>
                </c:pt>
                <c:pt idx="4">
                  <c:v>Clase ER5</c:v>
                </c:pt>
                <c:pt idx="5">
                  <c:v>Clase ER6</c:v>
                </c:pt>
                <c:pt idx="6">
                  <c:v>Clase ER7</c:v>
                </c:pt>
                <c:pt idx="7">
                  <c:v>Clase ER8</c:v>
                </c:pt>
                <c:pt idx="8">
                  <c:v>Clase ER9</c:v>
                </c:pt>
                <c:pt idx="9">
                  <c:v>Clase ER10</c:v>
                </c:pt>
                <c:pt idx="10">
                  <c:v>Clase ER11</c:v>
                </c:pt>
                <c:pt idx="11">
                  <c:v>Clase ER12</c:v>
                </c:pt>
                <c:pt idx="12">
                  <c:v>Clase ER13</c:v>
                </c:pt>
                <c:pt idx="13">
                  <c:v>Clase ER14</c:v>
                </c:pt>
                <c:pt idx="14">
                  <c:v>Clase ER15</c:v>
                </c:pt>
                <c:pt idx="15">
                  <c:v>Clase ER16</c:v>
                </c:pt>
                <c:pt idx="16">
                  <c:v>Clase ER17</c:v>
                </c:pt>
                <c:pt idx="17">
                  <c:v>Clase ER18</c:v>
                </c:pt>
                <c:pt idx="18">
                  <c:v>Clase ER19</c:v>
                </c:pt>
                <c:pt idx="19">
                  <c:v>Clase ER20</c:v>
                </c:pt>
                <c:pt idx="20">
                  <c:v>Clase ER21</c:v>
                </c:pt>
                <c:pt idx="21">
                  <c:v>Clase ER22</c:v>
                </c:pt>
                <c:pt idx="22">
                  <c:v>Clase ER23</c:v>
                </c:pt>
                <c:pt idx="23">
                  <c:v>Clase ER24</c:v>
                </c:pt>
                <c:pt idx="24">
                  <c:v>Clase ER25</c:v>
                </c:pt>
                <c:pt idx="25">
                  <c:v>Clase ER26</c:v>
                </c:pt>
                <c:pt idx="26">
                  <c:v>Clase ER27</c:v>
                </c:pt>
                <c:pt idx="27">
                  <c:v>Clase ER28</c:v>
                </c:pt>
                <c:pt idx="28">
                  <c:v>Clase ER29</c:v>
                </c:pt>
              </c:strCache>
            </c:strRef>
          </c:cat>
          <c:val>
            <c:numRef>
              <c:f>0</c:f>
              <c:numCache>
                <c:formatCode>General</c:formatCode>
                <c:ptCount val="29"/>
                <c:pt idx="0">
                  <c:v>0.371816228732343</c:v>
                </c:pt>
                <c:pt idx="1">
                  <c:v>0.00315945556572122</c:v>
                </c:pt>
                <c:pt idx="2">
                  <c:v>1.02521591865027E-005</c:v>
                </c:pt>
                <c:pt idx="3">
                  <c:v>0.172961044024709</c:v>
                </c:pt>
                <c:pt idx="4">
                  <c:v>0.000581557912145801</c:v>
                </c:pt>
                <c:pt idx="5">
                  <c:v>0.00103880019663114</c:v>
                </c:pt>
                <c:pt idx="6">
                  <c:v>0.230442119726468</c:v>
                </c:pt>
                <c:pt idx="7">
                  <c:v>0.0493201666261147</c:v>
                </c:pt>
                <c:pt idx="8">
                  <c:v>0.00142697280233476</c:v>
                </c:pt>
                <c:pt idx="9">
                  <c:v>0.393022314475509</c:v>
                </c:pt>
                <c:pt idx="10">
                  <c:v>0.999444598736858</c:v>
                </c:pt>
                <c:pt idx="11">
                  <c:v>0.308647461236619</c:v>
                </c:pt>
                <c:pt idx="12">
                  <c:v>0.212502824275022</c:v>
                </c:pt>
                <c:pt idx="13">
                  <c:v>0.978870859715476</c:v>
                </c:pt>
                <c:pt idx="14">
                  <c:v>0.756724857796028</c:v>
                </c:pt>
                <c:pt idx="15">
                  <c:v>0.197898699083615</c:v>
                </c:pt>
                <c:pt idx="16">
                  <c:v>0.666976810858474</c:v>
                </c:pt>
                <c:pt idx="17">
                  <c:v>0.737713309033535</c:v>
                </c:pt>
                <c:pt idx="18">
                  <c:v>1.64746307777527E-005</c:v>
                </c:pt>
                <c:pt idx="19">
                  <c:v>0.0117935795679506</c:v>
                </c:pt>
                <c:pt idx="20">
                  <c:v>0.400214127820399</c:v>
                </c:pt>
                <c:pt idx="21">
                  <c:v>4.70090480743778E-006</c:v>
                </c:pt>
                <c:pt idx="22">
                  <c:v>0.000713480425746925</c:v>
                </c:pt>
                <c:pt idx="23">
                  <c:v>0.0657285286165305</c:v>
                </c:pt>
                <c:pt idx="24">
                  <c:v>2.24769049579903E-005</c:v>
                </c:pt>
                <c:pt idx="25">
                  <c:v>0.00012131878513854</c:v>
                </c:pt>
                <c:pt idx="26">
                  <c:v>0.0100462529423641</c:v>
                </c:pt>
                <c:pt idx="27">
                  <c:v>1.71101769325503E-006</c:v>
                </c:pt>
                <c:pt idx="28">
                  <c:v>0.00572589989178938</c:v>
                </c:pt>
              </c:numCache>
            </c:numRef>
          </c:val>
          <c:smooth val="0"/>
        </c:ser>
        <c:ser>
          <c:idx val="1"/>
          <c:order val="1"/>
          <c:tx>
            <c:strRef>
              <c:f>label 1</c:f>
              <c:strCache>
                <c:ptCount val="1"/>
                <c:pt idx="0">
                  <c:v>Te1a Qy's are S</c:v>
                </c:pt>
              </c:strCache>
            </c:strRef>
          </c:tx>
          <c:spPr>
            <a:solidFill>
              <a:srgbClr val="ff0000"/>
            </a:solidFill>
            <a:ln w="12600">
              <a:solidFill>
                <a:srgbClr val="ff0000"/>
              </a:solidFill>
              <a:round/>
            </a:ln>
          </c:spPr>
          <c:marker>
            <c:symbol val="circle"/>
            <c:size val="5"/>
            <c:spPr>
              <a:solidFill>
                <a:srgbClr val="ff0000"/>
              </a:solidFill>
            </c:spPr>
          </c:marker>
          <c:dLbls>
            <c:dLblPos val="r"/>
            <c:showLegendKey val="0"/>
            <c:showVal val="0"/>
            <c:showCatName val="0"/>
            <c:showSerName val="0"/>
            <c:showPercent val="0"/>
            <c:showLeaderLines val="0"/>
          </c:dLbls>
          <c:cat>
            <c:strRef>
              <c:f>categories</c:f>
              <c:strCache>
                <c:ptCount val="29"/>
                <c:pt idx="0">
                  <c:v>Clase ER1</c:v>
                </c:pt>
                <c:pt idx="1">
                  <c:v>Clase ER2</c:v>
                </c:pt>
                <c:pt idx="2">
                  <c:v>Clase ER3</c:v>
                </c:pt>
                <c:pt idx="3">
                  <c:v>Clase ER4</c:v>
                </c:pt>
                <c:pt idx="4">
                  <c:v>Clase ER5</c:v>
                </c:pt>
                <c:pt idx="5">
                  <c:v>Clase ER6</c:v>
                </c:pt>
                <c:pt idx="6">
                  <c:v>Clase ER7</c:v>
                </c:pt>
                <c:pt idx="7">
                  <c:v>Clase ER8</c:v>
                </c:pt>
                <c:pt idx="8">
                  <c:v>Clase ER9</c:v>
                </c:pt>
                <c:pt idx="9">
                  <c:v>Clase ER10</c:v>
                </c:pt>
                <c:pt idx="10">
                  <c:v>Clase ER11</c:v>
                </c:pt>
                <c:pt idx="11">
                  <c:v>Clase ER12</c:v>
                </c:pt>
                <c:pt idx="12">
                  <c:v>Clase ER13</c:v>
                </c:pt>
                <c:pt idx="13">
                  <c:v>Clase ER14</c:v>
                </c:pt>
                <c:pt idx="14">
                  <c:v>Clase ER15</c:v>
                </c:pt>
                <c:pt idx="15">
                  <c:v>Clase ER16</c:v>
                </c:pt>
                <c:pt idx="16">
                  <c:v>Clase ER17</c:v>
                </c:pt>
                <c:pt idx="17">
                  <c:v>Clase ER18</c:v>
                </c:pt>
                <c:pt idx="18">
                  <c:v>Clase ER19</c:v>
                </c:pt>
                <c:pt idx="19">
                  <c:v>Clase ER20</c:v>
                </c:pt>
                <c:pt idx="20">
                  <c:v>Clase ER21</c:v>
                </c:pt>
                <c:pt idx="21">
                  <c:v>Clase ER22</c:v>
                </c:pt>
                <c:pt idx="22">
                  <c:v>Clase ER23</c:v>
                </c:pt>
                <c:pt idx="23">
                  <c:v>Clase ER24</c:v>
                </c:pt>
                <c:pt idx="24">
                  <c:v>Clase ER25</c:v>
                </c:pt>
                <c:pt idx="25">
                  <c:v>Clase ER26</c:v>
                </c:pt>
                <c:pt idx="26">
                  <c:v>Clase ER27</c:v>
                </c:pt>
                <c:pt idx="27">
                  <c:v>Clase ER28</c:v>
                </c:pt>
                <c:pt idx="28">
                  <c:v>Clase ER29</c:v>
                </c:pt>
              </c:strCache>
            </c:strRef>
          </c:cat>
          <c:val>
            <c:numRef>
              <c:f>1</c:f>
              <c:numCache>
                <c:formatCode>General</c:formatCode>
                <c:ptCount val="29"/>
                <c:pt idx="0">
                  <c:v>0.00386592013947281</c:v>
                </c:pt>
                <c:pt idx="1">
                  <c:v>0.135335283236613</c:v>
                </c:pt>
                <c:pt idx="2">
                  <c:v>1.52299797447126E-008</c:v>
                </c:pt>
                <c:pt idx="3">
                  <c:v>0.800737402916808</c:v>
                </c:pt>
                <c:pt idx="4">
                  <c:v>0.0285655007845504</c:v>
                </c:pt>
                <c:pt idx="5">
                  <c:v>1.45126828819064E-006</c:v>
                </c:pt>
                <c:pt idx="6">
                  <c:v>0.08465798862253</c:v>
                </c:pt>
                <c:pt idx="7">
                  <c:v>1</c:v>
                </c:pt>
                <c:pt idx="8">
                  <c:v>1.86644691135206E-005</c:v>
                </c:pt>
                <c:pt idx="9">
                  <c:v>0.411112290507187</c:v>
                </c:pt>
                <c:pt idx="10">
                  <c:v>0.135335283236613</c:v>
                </c:pt>
                <c:pt idx="11">
                  <c:v>0.0285655007845504</c:v>
                </c:pt>
                <c:pt idx="12">
                  <c:v>0.249352208777296</c:v>
                </c:pt>
                <c:pt idx="13">
                  <c:v>0.411112290507187</c:v>
                </c:pt>
                <c:pt idx="14">
                  <c:v>0.411112290507188</c:v>
                </c:pt>
                <c:pt idx="15">
                  <c:v>0.0347085864128538</c:v>
                </c:pt>
                <c:pt idx="16">
                  <c:v>0.00386592013947281</c:v>
                </c:pt>
                <c:pt idx="17">
                  <c:v>0.411112290507188</c:v>
                </c:pt>
                <c:pt idx="18">
                  <c:v>1.45126828819064E-006</c:v>
                </c:pt>
                <c:pt idx="19">
                  <c:v>0.000335462627902512</c:v>
                </c:pt>
                <c:pt idx="20">
                  <c:v>0.800737402916808</c:v>
                </c:pt>
                <c:pt idx="21">
                  <c:v>1.45126828819064E-006</c:v>
                </c:pt>
                <c:pt idx="22">
                  <c:v>1.45126828819064E-006</c:v>
                </c:pt>
                <c:pt idx="23">
                  <c:v>0.411112290507187</c:v>
                </c:pt>
                <c:pt idx="24">
                  <c:v>5.13655311897593E-005</c:v>
                </c:pt>
                <c:pt idx="25">
                  <c:v>1.52299797447126E-008</c:v>
                </c:pt>
                <c:pt idx="26">
                  <c:v>0.135335283236613</c:v>
                </c:pt>
                <c:pt idx="27">
                  <c:v>1</c:v>
                </c:pt>
                <c:pt idx="28">
                  <c:v>1</c:v>
                </c:pt>
              </c:numCache>
            </c:numRef>
          </c:val>
          <c:smooth val="0"/>
        </c:ser>
        <c:hiLowLines>
          <c:spPr>
            <a:ln>
              <a:noFill/>
            </a:ln>
          </c:spPr>
        </c:hiLowLines>
        <c:marker val="1"/>
        <c:axId val="84766767"/>
        <c:axId val="67291614"/>
      </c:lineChart>
      <c:catAx>
        <c:axId val="84766767"/>
        <c:scaling>
          <c:orientation val="minMax"/>
        </c:scaling>
        <c:delete val="0"/>
        <c:axPos val="b"/>
        <c:numFmt formatCode="MM/DD/YYYY" sourceLinked="1"/>
        <c:majorTickMark val="none"/>
        <c:minorTickMark val="none"/>
        <c:tickLblPos val="nextTo"/>
        <c:spPr>
          <a:ln w="9360">
            <a:solidFill>
              <a:srgbClr val="d9d9d9"/>
            </a:solidFill>
            <a:round/>
          </a:ln>
        </c:spPr>
        <c:txPr>
          <a:bodyPr/>
          <a:p>
            <a:pPr>
              <a:defRPr b="0" sz="900" spc="-1" strike="noStrike">
                <a:solidFill>
                  <a:srgbClr val="595959"/>
                </a:solidFill>
                <a:uFill>
                  <a:solidFill>
                    <a:srgbClr val="ffffff"/>
                  </a:solidFill>
                </a:uFill>
                <a:latin typeface="Calibri"/>
              </a:defRPr>
            </a:pPr>
          </a:p>
        </c:txPr>
        <c:crossAx val="67291614"/>
        <c:crosses val="autoZero"/>
        <c:auto val="1"/>
        <c:lblAlgn val="ctr"/>
        <c:lblOffset val="100"/>
      </c:catAx>
      <c:valAx>
        <c:axId val="67291614"/>
        <c:scaling>
          <c:orientation val="minMax"/>
          <c:max val="1"/>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p>
            <a:pPr>
              <a:defRPr b="0" sz="900" spc="-1" strike="noStrike">
                <a:solidFill>
                  <a:srgbClr val="595959"/>
                </a:solidFill>
                <a:uFill>
                  <a:solidFill>
                    <a:srgbClr val="ffffff"/>
                  </a:solidFill>
                </a:uFill>
                <a:latin typeface="Calibri"/>
              </a:defRPr>
            </a:pPr>
          </a:p>
        </c:txPr>
        <c:crossAx val="84766767"/>
        <c:crosses val="autoZero"/>
        <c:crossBetween val="midCat"/>
      </c:valAx>
      <c:spPr>
        <a:noFill/>
        <a:ln>
          <a:noFill/>
        </a:ln>
      </c:spPr>
    </c:plotArea>
    <c:legend>
      <c:legendPos val="b"/>
      <c:overlay val="0"/>
      <c:spPr>
        <a:noFill/>
        <a:ln>
          <a:noFill/>
        </a:ln>
      </c:spPr>
    </c:legend>
    <c:plotVisOnly val="1"/>
    <c:dispBlanksAs val="gap"/>
  </c:chart>
  <c:spPr>
    <a:solidFill>
      <a:srgbClr val="ffffff"/>
    </a:solidFill>
    <a:ln w="9360">
      <a:noFill/>
    </a:ln>
  </c:spPr>
</c:chartSpace>
</file>

<file path=word/charts/chart6.xml><?xml version="1.0" encoding="utf-8"?>
<c:chartSpace xmlns:c="http://schemas.openxmlformats.org/drawingml/2006/chart" xmlns:a="http://schemas.openxmlformats.org/drawingml/2006/main" xmlns:r="http://schemas.openxmlformats.org/officeDocument/2006/relationships">
  <c:lang val="en-US"/>
  <c:roundedCorners val="0"/>
  <c:chart>
    <c:plotArea>
      <c:lineChart>
        <c:grouping val="standard"/>
        <c:ser>
          <c:idx val="0"/>
          <c:order val="0"/>
          <c:tx>
            <c:strRef>
              <c:f>label 0</c:f>
              <c:strCache>
                <c:ptCount val="1"/>
                <c:pt idx="0">
                  <c:v>T3</c:v>
                </c:pt>
              </c:strCache>
            </c:strRef>
          </c:tx>
          <c:spPr>
            <a:solidFill>
              <a:srgbClr val="5b9bd5"/>
            </a:solidFill>
            <a:ln w="12600">
              <a:solidFill>
                <a:srgbClr val="5b9bd5"/>
              </a:solidFill>
              <a:round/>
            </a:ln>
          </c:spPr>
          <c:marker>
            <c:symbol val="circle"/>
            <c:size val="5"/>
            <c:spPr>
              <a:solidFill>
                <a:srgbClr val="5b9bd5"/>
              </a:solidFill>
            </c:spPr>
          </c:marker>
          <c:dLbls>
            <c:dLblPos val="r"/>
            <c:showLegendKey val="0"/>
            <c:showVal val="0"/>
            <c:showCatName val="0"/>
            <c:showSerName val="0"/>
            <c:showPercent val="0"/>
            <c:showLeaderLines val="0"/>
          </c:dLbls>
          <c:cat>
            <c:strRef>
              <c:f>categories</c:f>
              <c:strCache>
                <c:ptCount val="29"/>
                <c:pt idx="0">
                  <c:v>Clase ER1</c:v>
                </c:pt>
                <c:pt idx="1">
                  <c:v>Clase ER2</c:v>
                </c:pt>
                <c:pt idx="2">
                  <c:v>Clase ER3</c:v>
                </c:pt>
                <c:pt idx="3">
                  <c:v>Clase ER4</c:v>
                </c:pt>
                <c:pt idx="4">
                  <c:v>Clase ER5</c:v>
                </c:pt>
                <c:pt idx="5">
                  <c:v>Clase ER6</c:v>
                </c:pt>
                <c:pt idx="6">
                  <c:v>Clase ER7</c:v>
                </c:pt>
                <c:pt idx="7">
                  <c:v>Clase ER8</c:v>
                </c:pt>
                <c:pt idx="8">
                  <c:v>Clase ER9</c:v>
                </c:pt>
                <c:pt idx="9">
                  <c:v>Clase ER10</c:v>
                </c:pt>
                <c:pt idx="10">
                  <c:v>Clase ER11</c:v>
                </c:pt>
                <c:pt idx="11">
                  <c:v>Clase ER12</c:v>
                </c:pt>
                <c:pt idx="12">
                  <c:v>Clase ER13</c:v>
                </c:pt>
                <c:pt idx="13">
                  <c:v>Clase ER14</c:v>
                </c:pt>
                <c:pt idx="14">
                  <c:v>Clase ER15</c:v>
                </c:pt>
                <c:pt idx="15">
                  <c:v>Clase ER16</c:v>
                </c:pt>
                <c:pt idx="16">
                  <c:v>Clase ER17</c:v>
                </c:pt>
                <c:pt idx="17">
                  <c:v>Clase ER18</c:v>
                </c:pt>
                <c:pt idx="18">
                  <c:v>Clase ER19</c:v>
                </c:pt>
                <c:pt idx="19">
                  <c:v>Clase ER20</c:v>
                </c:pt>
                <c:pt idx="20">
                  <c:v>Clase ER21</c:v>
                </c:pt>
                <c:pt idx="21">
                  <c:v>Clase ER22</c:v>
                </c:pt>
                <c:pt idx="22">
                  <c:v>Clase ER23</c:v>
                </c:pt>
                <c:pt idx="23">
                  <c:v>Clase ER24</c:v>
                </c:pt>
                <c:pt idx="24">
                  <c:v>Clase ER25</c:v>
                </c:pt>
                <c:pt idx="25">
                  <c:v>Clase ER26</c:v>
                </c:pt>
                <c:pt idx="26">
                  <c:v>Clase ER27</c:v>
                </c:pt>
                <c:pt idx="27">
                  <c:v>Clase ER28</c:v>
                </c:pt>
                <c:pt idx="28">
                  <c:v>Clase ER29</c:v>
                </c:pt>
              </c:strCache>
            </c:strRef>
          </c:cat>
          <c:val>
            <c:numRef>
              <c:f>0</c:f>
              <c:numCache>
                <c:formatCode>General</c:formatCode>
                <c:ptCount val="29"/>
                <c:pt idx="0">
                  <c:v>0.666666666666667</c:v>
                </c:pt>
                <c:pt idx="1">
                  <c:v>1</c:v>
                </c:pt>
                <c:pt idx="2">
                  <c:v>0.75</c:v>
                </c:pt>
                <c:pt idx="3">
                  <c:v>0.9</c:v>
                </c:pt>
                <c:pt idx="4">
                  <c:v>0.9</c:v>
                </c:pt>
                <c:pt idx="5">
                  <c:v>0.9</c:v>
                </c:pt>
                <c:pt idx="6">
                  <c:v>0.9</c:v>
                </c:pt>
                <c:pt idx="7">
                  <c:v>0.9</c:v>
                </c:pt>
                <c:pt idx="8">
                  <c:v>0.9</c:v>
                </c:pt>
                <c:pt idx="9">
                  <c:v>0.9</c:v>
                </c:pt>
                <c:pt idx="10">
                  <c:v>0.888888888888889</c:v>
                </c:pt>
                <c:pt idx="11">
                  <c:v>0.9</c:v>
                </c:pt>
                <c:pt idx="12">
                  <c:v>0.888888888888889</c:v>
                </c:pt>
                <c:pt idx="13">
                  <c:v>0.9</c:v>
                </c:pt>
                <c:pt idx="14">
                  <c:v>0.9</c:v>
                </c:pt>
                <c:pt idx="15">
                  <c:v>0.9</c:v>
                </c:pt>
                <c:pt idx="16">
                  <c:v>0.9</c:v>
                </c:pt>
                <c:pt idx="17">
                  <c:v>0.9</c:v>
                </c:pt>
                <c:pt idx="18">
                  <c:v>0.888888888888889</c:v>
                </c:pt>
                <c:pt idx="19">
                  <c:v>0.9</c:v>
                </c:pt>
                <c:pt idx="20">
                  <c:v>0.9</c:v>
                </c:pt>
                <c:pt idx="21">
                  <c:v>0.9</c:v>
                </c:pt>
                <c:pt idx="22">
                  <c:v>0.9</c:v>
                </c:pt>
                <c:pt idx="23">
                  <c:v>0.9</c:v>
                </c:pt>
                <c:pt idx="24">
                  <c:v>0.9</c:v>
                </c:pt>
                <c:pt idx="25">
                  <c:v>0.9</c:v>
                </c:pt>
                <c:pt idx="26">
                  <c:v>0.9</c:v>
                </c:pt>
                <c:pt idx="27">
                  <c:v>0.2</c:v>
                </c:pt>
                <c:pt idx="28">
                  <c:v>0.666666666666667</c:v>
                </c:pt>
              </c:numCache>
            </c:numRef>
          </c:val>
          <c:smooth val="0"/>
        </c:ser>
        <c:ser>
          <c:idx val="1"/>
          <c:order val="1"/>
          <c:tx>
            <c:strRef>
              <c:f>label 1</c:f>
              <c:strCache>
                <c:ptCount val="1"/>
                <c:pt idx="0">
                  <c:v>Te3</c:v>
                </c:pt>
              </c:strCache>
            </c:strRef>
          </c:tx>
          <c:spPr>
            <a:solidFill>
              <a:srgbClr val="ff0000"/>
            </a:solidFill>
            <a:ln w="12600">
              <a:solidFill>
                <a:srgbClr val="ff0000"/>
              </a:solidFill>
              <a:round/>
            </a:ln>
          </c:spPr>
          <c:marker>
            <c:symbol val="circle"/>
            <c:size val="5"/>
            <c:spPr>
              <a:solidFill>
                <a:srgbClr val="ff0000"/>
              </a:solidFill>
            </c:spPr>
          </c:marker>
          <c:dLbls>
            <c:dLblPos val="r"/>
            <c:showLegendKey val="0"/>
            <c:showVal val="0"/>
            <c:showCatName val="0"/>
            <c:showSerName val="0"/>
            <c:showPercent val="0"/>
            <c:showLeaderLines val="0"/>
          </c:dLbls>
          <c:cat>
            <c:strRef>
              <c:f>categories</c:f>
              <c:strCache>
                <c:ptCount val="29"/>
                <c:pt idx="0">
                  <c:v>Clase ER1</c:v>
                </c:pt>
                <c:pt idx="1">
                  <c:v>Clase ER2</c:v>
                </c:pt>
                <c:pt idx="2">
                  <c:v>Clase ER3</c:v>
                </c:pt>
                <c:pt idx="3">
                  <c:v>Clase ER4</c:v>
                </c:pt>
                <c:pt idx="4">
                  <c:v>Clase ER5</c:v>
                </c:pt>
                <c:pt idx="5">
                  <c:v>Clase ER6</c:v>
                </c:pt>
                <c:pt idx="6">
                  <c:v>Clase ER7</c:v>
                </c:pt>
                <c:pt idx="7">
                  <c:v>Clase ER8</c:v>
                </c:pt>
                <c:pt idx="8">
                  <c:v>Clase ER9</c:v>
                </c:pt>
                <c:pt idx="9">
                  <c:v>Clase ER10</c:v>
                </c:pt>
                <c:pt idx="10">
                  <c:v>Clase ER11</c:v>
                </c:pt>
                <c:pt idx="11">
                  <c:v>Clase ER12</c:v>
                </c:pt>
                <c:pt idx="12">
                  <c:v>Clase ER13</c:v>
                </c:pt>
                <c:pt idx="13">
                  <c:v>Clase ER14</c:v>
                </c:pt>
                <c:pt idx="14">
                  <c:v>Clase ER15</c:v>
                </c:pt>
                <c:pt idx="15">
                  <c:v>Clase ER16</c:v>
                </c:pt>
                <c:pt idx="16">
                  <c:v>Clase ER17</c:v>
                </c:pt>
                <c:pt idx="17">
                  <c:v>Clase ER18</c:v>
                </c:pt>
                <c:pt idx="18">
                  <c:v>Clase ER19</c:v>
                </c:pt>
                <c:pt idx="19">
                  <c:v>Clase ER20</c:v>
                </c:pt>
                <c:pt idx="20">
                  <c:v>Clase ER21</c:v>
                </c:pt>
                <c:pt idx="21">
                  <c:v>Clase ER22</c:v>
                </c:pt>
                <c:pt idx="22">
                  <c:v>Clase ER23</c:v>
                </c:pt>
                <c:pt idx="23">
                  <c:v>Clase ER24</c:v>
                </c:pt>
                <c:pt idx="24">
                  <c:v>Clase ER25</c:v>
                </c:pt>
                <c:pt idx="25">
                  <c:v>Clase ER26</c:v>
                </c:pt>
                <c:pt idx="26">
                  <c:v>Clase ER27</c:v>
                </c:pt>
                <c:pt idx="27">
                  <c:v>Clase ER28</c:v>
                </c:pt>
                <c:pt idx="28">
                  <c:v>Clase ER29</c:v>
                </c:pt>
              </c:strCache>
            </c:strRef>
          </c:cat>
          <c:val>
            <c:numRef>
              <c:f>1</c:f>
              <c:numCache>
                <c:formatCode>General</c:formatCode>
                <c:ptCount val="29"/>
                <c:pt idx="0">
                  <c:v>0.1</c:v>
                </c:pt>
                <c:pt idx="1">
                  <c:v>0.2</c:v>
                </c:pt>
                <c:pt idx="2">
                  <c:v>0.1</c:v>
                </c:pt>
                <c:pt idx="3">
                  <c:v>0.1</c:v>
                </c:pt>
                <c:pt idx="4">
                  <c:v>0.2</c:v>
                </c:pt>
                <c:pt idx="5">
                  <c:v>0.1</c:v>
                </c:pt>
                <c:pt idx="6">
                  <c:v>0.2</c:v>
                </c:pt>
                <c:pt idx="7">
                  <c:v>0</c:v>
                </c:pt>
                <c:pt idx="8">
                  <c:v>0.7</c:v>
                </c:pt>
                <c:pt idx="9">
                  <c:v>0.3</c:v>
                </c:pt>
                <c:pt idx="10">
                  <c:v>0.2</c:v>
                </c:pt>
                <c:pt idx="11">
                  <c:v>0.2</c:v>
                </c:pt>
                <c:pt idx="12">
                  <c:v>0.2</c:v>
                </c:pt>
                <c:pt idx="13">
                  <c:v>0.2</c:v>
                </c:pt>
                <c:pt idx="14">
                  <c:v>0</c:v>
                </c:pt>
                <c:pt idx="15">
                  <c:v>0.1</c:v>
                </c:pt>
                <c:pt idx="16">
                  <c:v>0</c:v>
                </c:pt>
                <c:pt idx="17">
                  <c:v>0.7</c:v>
                </c:pt>
                <c:pt idx="18">
                  <c:v>0.1</c:v>
                </c:pt>
                <c:pt idx="19">
                  <c:v>0.2</c:v>
                </c:pt>
                <c:pt idx="20">
                  <c:v>0.1</c:v>
                </c:pt>
                <c:pt idx="21">
                  <c:v>0.1</c:v>
                </c:pt>
                <c:pt idx="22">
                  <c:v>0.1</c:v>
                </c:pt>
                <c:pt idx="23">
                  <c:v>0</c:v>
                </c:pt>
                <c:pt idx="24">
                  <c:v>0.3</c:v>
                </c:pt>
                <c:pt idx="25">
                  <c:v>0.1</c:v>
                </c:pt>
                <c:pt idx="26">
                  <c:v>0.7</c:v>
                </c:pt>
                <c:pt idx="27">
                  <c:v>0.1</c:v>
                </c:pt>
                <c:pt idx="28">
                  <c:v>0.2</c:v>
                </c:pt>
              </c:numCache>
            </c:numRef>
          </c:val>
          <c:smooth val="0"/>
        </c:ser>
        <c:hiLowLines>
          <c:spPr>
            <a:ln>
              <a:noFill/>
            </a:ln>
          </c:spPr>
        </c:hiLowLines>
        <c:marker val="1"/>
        <c:axId val="78625094"/>
        <c:axId val="35549433"/>
      </c:lineChart>
      <c:catAx>
        <c:axId val="78625094"/>
        <c:scaling>
          <c:orientation val="minMax"/>
        </c:scaling>
        <c:delete val="0"/>
        <c:axPos val="b"/>
        <c:numFmt formatCode="MM/DD/YYYY" sourceLinked="1"/>
        <c:majorTickMark val="none"/>
        <c:minorTickMark val="none"/>
        <c:tickLblPos val="nextTo"/>
        <c:spPr>
          <a:ln w="9360">
            <a:solidFill>
              <a:srgbClr val="d9d9d9"/>
            </a:solidFill>
            <a:round/>
          </a:ln>
        </c:spPr>
        <c:txPr>
          <a:bodyPr/>
          <a:p>
            <a:pPr>
              <a:defRPr b="0" sz="900" spc="-1" strike="noStrike">
                <a:solidFill>
                  <a:srgbClr val="595959"/>
                </a:solidFill>
                <a:uFill>
                  <a:solidFill>
                    <a:srgbClr val="ffffff"/>
                  </a:solidFill>
                </a:uFill>
                <a:latin typeface="Calibri"/>
              </a:defRPr>
            </a:pPr>
          </a:p>
        </c:txPr>
        <c:crossAx val="35549433"/>
        <c:crosses val="autoZero"/>
        <c:auto val="1"/>
        <c:lblAlgn val="ctr"/>
        <c:lblOffset val="100"/>
      </c:catAx>
      <c:valAx>
        <c:axId val="35549433"/>
        <c:scaling>
          <c:orientation val="minMax"/>
          <c:max val="1"/>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p>
            <a:pPr>
              <a:defRPr b="0" sz="900" spc="-1" strike="noStrike">
                <a:solidFill>
                  <a:srgbClr val="595959"/>
                </a:solidFill>
                <a:uFill>
                  <a:solidFill>
                    <a:srgbClr val="ffffff"/>
                  </a:solidFill>
                </a:uFill>
                <a:latin typeface="Calibri"/>
              </a:defRPr>
            </a:pPr>
          </a:p>
        </c:txPr>
        <c:crossAx val="78625094"/>
        <c:crosses val="autoZero"/>
        <c:crossBetween val="midCat"/>
      </c:valAx>
      <c:spPr>
        <a:noFill/>
        <a:ln>
          <a:noFill/>
        </a:ln>
      </c:spPr>
    </c:plotArea>
    <c:legend>
      <c:legendPos val="b"/>
      <c:overlay val="0"/>
      <c:spPr>
        <a:noFill/>
        <a:ln>
          <a:noFill/>
        </a:ln>
      </c:spPr>
    </c:legend>
    <c:plotVisOnly val="1"/>
    <c:dispBlanksAs val="gap"/>
  </c:chart>
  <c:spPr>
    <a:solidFill>
      <a:srgbClr val="ffffff"/>
    </a:solidFill>
    <a:ln w="9360">
      <a:noFill/>
    </a:ln>
  </c:spPr>
</c:chartSpace>
</file>

<file path=word/charts/chart7.xml><?xml version="1.0" encoding="utf-8"?>
<c:chartSpace xmlns:c="http://schemas.openxmlformats.org/drawingml/2006/chart" xmlns:a="http://schemas.openxmlformats.org/drawingml/2006/main" xmlns:r="http://schemas.openxmlformats.org/officeDocument/2006/relationships">
  <c:lang val="en-US"/>
  <c:roundedCorners val="0"/>
  <c:chart>
    <c:plotArea>
      <c:lineChart>
        <c:grouping val="standard"/>
        <c:ser>
          <c:idx val="0"/>
          <c:order val="0"/>
          <c:tx>
            <c:strRef>
              <c:f>label 0</c:f>
              <c:strCache>
                <c:ptCount val="1"/>
                <c:pt idx="0">
                  <c:v>T4</c:v>
                </c:pt>
              </c:strCache>
            </c:strRef>
          </c:tx>
          <c:spPr>
            <a:solidFill>
              <a:srgbClr val="5b9bd5"/>
            </a:solidFill>
            <a:ln w="12600">
              <a:solidFill>
                <a:srgbClr val="5b9bd5"/>
              </a:solidFill>
              <a:round/>
            </a:ln>
          </c:spPr>
          <c:marker>
            <c:symbol val="circle"/>
            <c:size val="5"/>
            <c:spPr>
              <a:solidFill>
                <a:srgbClr val="5b9bd5"/>
              </a:solidFill>
            </c:spPr>
          </c:marker>
          <c:dLbls>
            <c:dLblPos val="r"/>
            <c:showLegendKey val="0"/>
            <c:showVal val="0"/>
            <c:showCatName val="0"/>
            <c:showSerName val="0"/>
            <c:showPercent val="0"/>
            <c:showLeaderLines val="0"/>
          </c:dLbls>
          <c:cat>
            <c:strRef>
              <c:f>categories</c:f>
              <c:strCache>
                <c:ptCount val="29"/>
                <c:pt idx="0">
                  <c:v>Clase ER1</c:v>
                </c:pt>
                <c:pt idx="1">
                  <c:v>Clase ER2</c:v>
                </c:pt>
                <c:pt idx="2">
                  <c:v>Clase ER3</c:v>
                </c:pt>
                <c:pt idx="3">
                  <c:v>Clase ER4</c:v>
                </c:pt>
                <c:pt idx="4">
                  <c:v>Clase ER5</c:v>
                </c:pt>
                <c:pt idx="5">
                  <c:v>Clase ER6</c:v>
                </c:pt>
                <c:pt idx="6">
                  <c:v>Clase ER7</c:v>
                </c:pt>
                <c:pt idx="7">
                  <c:v>Clase ER8</c:v>
                </c:pt>
                <c:pt idx="8">
                  <c:v>Clase ER9</c:v>
                </c:pt>
                <c:pt idx="9">
                  <c:v>Clase ER10</c:v>
                </c:pt>
                <c:pt idx="10">
                  <c:v>Clase ER11</c:v>
                </c:pt>
                <c:pt idx="11">
                  <c:v>Clase ER12</c:v>
                </c:pt>
                <c:pt idx="12">
                  <c:v>Clase ER13</c:v>
                </c:pt>
                <c:pt idx="13">
                  <c:v>Clase ER14</c:v>
                </c:pt>
                <c:pt idx="14">
                  <c:v>Clase ER15</c:v>
                </c:pt>
                <c:pt idx="15">
                  <c:v>Clase ER16</c:v>
                </c:pt>
                <c:pt idx="16">
                  <c:v>Clase ER17</c:v>
                </c:pt>
                <c:pt idx="17">
                  <c:v>Clase ER18</c:v>
                </c:pt>
                <c:pt idx="18">
                  <c:v>Clase ER19</c:v>
                </c:pt>
                <c:pt idx="19">
                  <c:v>Clase ER20</c:v>
                </c:pt>
                <c:pt idx="20">
                  <c:v>Clase ER21</c:v>
                </c:pt>
                <c:pt idx="21">
                  <c:v>Clase ER22</c:v>
                </c:pt>
                <c:pt idx="22">
                  <c:v>Clase ER23</c:v>
                </c:pt>
                <c:pt idx="23">
                  <c:v>Clase ER24</c:v>
                </c:pt>
                <c:pt idx="24">
                  <c:v>Clase ER25</c:v>
                </c:pt>
                <c:pt idx="25">
                  <c:v>Clase ER26</c:v>
                </c:pt>
                <c:pt idx="26">
                  <c:v>Clase ER27</c:v>
                </c:pt>
                <c:pt idx="27">
                  <c:v>Clase ER28</c:v>
                </c:pt>
                <c:pt idx="28">
                  <c:v>Clase ER29</c:v>
                </c:pt>
              </c:strCache>
            </c:strRef>
          </c:cat>
          <c:val>
            <c:numRef>
              <c:f>0</c:f>
              <c:numCache>
                <c:formatCode>General</c:formatCode>
                <c:ptCount val="29"/>
                <c:pt idx="0">
                  <c:v>0.353066666666667</c:v>
                </c:pt>
                <c:pt idx="1">
                  <c:v>0</c:v>
                </c:pt>
                <c:pt idx="2">
                  <c:v>0.19</c:v>
                </c:pt>
                <c:pt idx="3">
                  <c:v>0</c:v>
                </c:pt>
                <c:pt idx="4">
                  <c:v>0</c:v>
                </c:pt>
                <c:pt idx="5">
                  <c:v>0.09</c:v>
                </c:pt>
                <c:pt idx="6">
                  <c:v>0</c:v>
                </c:pt>
                <c:pt idx="7">
                  <c:v>0</c:v>
                </c:pt>
                <c:pt idx="8">
                  <c:v>0</c:v>
                </c:pt>
                <c:pt idx="9">
                  <c:v>0</c:v>
                </c:pt>
                <c:pt idx="10">
                  <c:v>0.0788888888888888</c:v>
                </c:pt>
                <c:pt idx="11">
                  <c:v>0</c:v>
                </c:pt>
                <c:pt idx="12">
                  <c:v>0.0788888888888888</c:v>
                </c:pt>
                <c:pt idx="13">
                  <c:v>0</c:v>
                </c:pt>
                <c:pt idx="14">
                  <c:v>0</c:v>
                </c:pt>
                <c:pt idx="15">
                  <c:v>0</c:v>
                </c:pt>
                <c:pt idx="16">
                  <c:v>0</c:v>
                </c:pt>
                <c:pt idx="17">
                  <c:v>0</c:v>
                </c:pt>
                <c:pt idx="18">
                  <c:v>0.0788888888888888</c:v>
                </c:pt>
                <c:pt idx="19">
                  <c:v>0</c:v>
                </c:pt>
                <c:pt idx="20">
                  <c:v>0</c:v>
                </c:pt>
                <c:pt idx="21">
                  <c:v>0</c:v>
                </c:pt>
                <c:pt idx="22">
                  <c:v>0</c:v>
                </c:pt>
                <c:pt idx="23">
                  <c:v>0</c:v>
                </c:pt>
                <c:pt idx="24">
                  <c:v>0</c:v>
                </c:pt>
                <c:pt idx="25">
                  <c:v>0</c:v>
                </c:pt>
                <c:pt idx="26">
                  <c:v>0</c:v>
                </c:pt>
                <c:pt idx="27">
                  <c:v>0.0824</c:v>
                </c:pt>
                <c:pt idx="28">
                  <c:v>0.570666666666667</c:v>
                </c:pt>
              </c:numCache>
            </c:numRef>
          </c:val>
          <c:smooth val="0"/>
        </c:ser>
        <c:ser>
          <c:idx val="1"/>
          <c:order val="1"/>
          <c:tx>
            <c:strRef>
              <c:f>label 1</c:f>
              <c:strCache>
                <c:ptCount val="1"/>
                <c:pt idx="0">
                  <c:v>Te4</c:v>
                </c:pt>
              </c:strCache>
            </c:strRef>
          </c:tx>
          <c:spPr>
            <a:solidFill>
              <a:srgbClr val="ff0000"/>
            </a:solidFill>
            <a:ln w="12600">
              <a:solidFill>
                <a:srgbClr val="ff0000"/>
              </a:solidFill>
              <a:round/>
            </a:ln>
          </c:spPr>
          <c:marker>
            <c:symbol val="circle"/>
            <c:size val="5"/>
            <c:spPr>
              <a:solidFill>
                <a:srgbClr val="ff0000"/>
              </a:solidFill>
            </c:spPr>
          </c:marker>
          <c:dLbls>
            <c:dLblPos val="r"/>
            <c:showLegendKey val="0"/>
            <c:showVal val="0"/>
            <c:showCatName val="0"/>
            <c:showSerName val="0"/>
            <c:showPercent val="0"/>
            <c:showLeaderLines val="0"/>
          </c:dLbls>
          <c:cat>
            <c:strRef>
              <c:f>categories</c:f>
              <c:strCache>
                <c:ptCount val="29"/>
                <c:pt idx="0">
                  <c:v>Clase ER1</c:v>
                </c:pt>
                <c:pt idx="1">
                  <c:v>Clase ER2</c:v>
                </c:pt>
                <c:pt idx="2">
                  <c:v>Clase ER3</c:v>
                </c:pt>
                <c:pt idx="3">
                  <c:v>Clase ER4</c:v>
                </c:pt>
                <c:pt idx="4">
                  <c:v>Clase ER5</c:v>
                </c:pt>
                <c:pt idx="5">
                  <c:v>Clase ER6</c:v>
                </c:pt>
                <c:pt idx="6">
                  <c:v>Clase ER7</c:v>
                </c:pt>
                <c:pt idx="7">
                  <c:v>Clase ER8</c:v>
                </c:pt>
                <c:pt idx="8">
                  <c:v>Clase ER9</c:v>
                </c:pt>
                <c:pt idx="9">
                  <c:v>Clase ER10</c:v>
                </c:pt>
                <c:pt idx="10">
                  <c:v>Clase ER11</c:v>
                </c:pt>
                <c:pt idx="11">
                  <c:v>Clase ER12</c:v>
                </c:pt>
                <c:pt idx="12">
                  <c:v>Clase ER13</c:v>
                </c:pt>
                <c:pt idx="13">
                  <c:v>Clase ER14</c:v>
                </c:pt>
                <c:pt idx="14">
                  <c:v>Clase ER15</c:v>
                </c:pt>
                <c:pt idx="15">
                  <c:v>Clase ER16</c:v>
                </c:pt>
                <c:pt idx="16">
                  <c:v>Clase ER17</c:v>
                </c:pt>
                <c:pt idx="17">
                  <c:v>Clase ER18</c:v>
                </c:pt>
                <c:pt idx="18">
                  <c:v>Clase ER19</c:v>
                </c:pt>
                <c:pt idx="19">
                  <c:v>Clase ER20</c:v>
                </c:pt>
                <c:pt idx="20">
                  <c:v>Clase ER21</c:v>
                </c:pt>
                <c:pt idx="21">
                  <c:v>Clase ER22</c:v>
                </c:pt>
                <c:pt idx="22">
                  <c:v>Clase ER23</c:v>
                </c:pt>
                <c:pt idx="23">
                  <c:v>Clase ER24</c:v>
                </c:pt>
                <c:pt idx="24">
                  <c:v>Clase ER25</c:v>
                </c:pt>
                <c:pt idx="25">
                  <c:v>Clase ER26</c:v>
                </c:pt>
                <c:pt idx="26">
                  <c:v>Clase ER27</c:v>
                </c:pt>
                <c:pt idx="27">
                  <c:v>Clase ER28</c:v>
                </c:pt>
                <c:pt idx="28">
                  <c:v>Clase ER29</c:v>
                </c:pt>
              </c:strCache>
            </c:strRef>
          </c:cat>
          <c:val>
            <c:numRef>
              <c:f>1</c:f>
              <c:numCache>
                <c:formatCode>General</c:formatCode>
                <c:ptCount val="29"/>
                <c:pt idx="0">
                  <c:v>0.125608333333333</c:v>
                </c:pt>
                <c:pt idx="1">
                  <c:v>0.155865</c:v>
                </c:pt>
                <c:pt idx="2">
                  <c:v>0.120741666666667</c:v>
                </c:pt>
                <c:pt idx="3">
                  <c:v>0.0711055555555556</c:v>
                </c:pt>
                <c:pt idx="4">
                  <c:v>0.194472222222222</c:v>
                </c:pt>
                <c:pt idx="5">
                  <c:v>0.0869</c:v>
                </c:pt>
                <c:pt idx="6">
                  <c:v>0.129675</c:v>
                </c:pt>
                <c:pt idx="7">
                  <c:v>0</c:v>
                </c:pt>
                <c:pt idx="8">
                  <c:v>0.6013</c:v>
                </c:pt>
                <c:pt idx="9">
                  <c:v>0.276838888888889</c:v>
                </c:pt>
                <c:pt idx="10">
                  <c:v>0.20503125</c:v>
                </c:pt>
                <c:pt idx="11">
                  <c:v>0.16125</c:v>
                </c:pt>
                <c:pt idx="12">
                  <c:v>0.153075</c:v>
                </c:pt>
                <c:pt idx="13">
                  <c:v>0.166311111111111</c:v>
                </c:pt>
                <c:pt idx="14">
                  <c:v>0</c:v>
                </c:pt>
                <c:pt idx="15">
                  <c:v>0.082235</c:v>
                </c:pt>
                <c:pt idx="16">
                  <c:v>0</c:v>
                </c:pt>
                <c:pt idx="17">
                  <c:v>0.625511111111111</c:v>
                </c:pt>
                <c:pt idx="18">
                  <c:v>0.0808444444444444</c:v>
                </c:pt>
                <c:pt idx="19">
                  <c:v>0.158938888888889</c:v>
                </c:pt>
                <c:pt idx="20">
                  <c:v>0.0828611111111111</c:v>
                </c:pt>
                <c:pt idx="21">
                  <c:v>0.071655</c:v>
                </c:pt>
                <c:pt idx="22">
                  <c:v>0.076735</c:v>
                </c:pt>
                <c:pt idx="23">
                  <c:v>0</c:v>
                </c:pt>
                <c:pt idx="24">
                  <c:v>0.25355</c:v>
                </c:pt>
                <c:pt idx="25">
                  <c:v>0.0625944444444444</c:v>
                </c:pt>
                <c:pt idx="26">
                  <c:v>0.638938888888889</c:v>
                </c:pt>
                <c:pt idx="27">
                  <c:v>0.411175</c:v>
                </c:pt>
                <c:pt idx="28">
                  <c:v>0.794325</c:v>
                </c:pt>
              </c:numCache>
            </c:numRef>
          </c:val>
          <c:smooth val="0"/>
        </c:ser>
        <c:hiLowLines>
          <c:spPr>
            <a:ln>
              <a:noFill/>
            </a:ln>
          </c:spPr>
        </c:hiLowLines>
        <c:marker val="1"/>
        <c:axId val="68220780"/>
        <c:axId val="55433749"/>
      </c:lineChart>
      <c:catAx>
        <c:axId val="68220780"/>
        <c:scaling>
          <c:orientation val="minMax"/>
        </c:scaling>
        <c:delete val="0"/>
        <c:axPos val="b"/>
        <c:numFmt formatCode="MM/DD/YYYY" sourceLinked="1"/>
        <c:majorTickMark val="none"/>
        <c:minorTickMark val="none"/>
        <c:tickLblPos val="nextTo"/>
        <c:spPr>
          <a:ln w="9360">
            <a:solidFill>
              <a:srgbClr val="d9d9d9"/>
            </a:solidFill>
            <a:round/>
          </a:ln>
        </c:spPr>
        <c:txPr>
          <a:bodyPr/>
          <a:p>
            <a:pPr>
              <a:defRPr b="0" sz="900" spc="-1" strike="noStrike">
                <a:solidFill>
                  <a:srgbClr val="595959"/>
                </a:solidFill>
                <a:uFill>
                  <a:solidFill>
                    <a:srgbClr val="ffffff"/>
                  </a:solidFill>
                </a:uFill>
                <a:latin typeface="Calibri"/>
              </a:defRPr>
            </a:pPr>
          </a:p>
        </c:txPr>
        <c:crossAx val="55433749"/>
        <c:crosses val="autoZero"/>
        <c:auto val="1"/>
        <c:lblAlgn val="ctr"/>
        <c:lblOffset val="100"/>
      </c:catAx>
      <c:valAx>
        <c:axId val="55433749"/>
        <c:scaling>
          <c:orientation val="minMax"/>
          <c:max val="1"/>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p>
            <a:pPr>
              <a:defRPr b="0" sz="900" spc="-1" strike="noStrike">
                <a:solidFill>
                  <a:srgbClr val="595959"/>
                </a:solidFill>
                <a:uFill>
                  <a:solidFill>
                    <a:srgbClr val="ffffff"/>
                  </a:solidFill>
                </a:uFill>
                <a:latin typeface="Calibri"/>
              </a:defRPr>
            </a:pPr>
          </a:p>
        </c:txPr>
        <c:crossAx val="68220780"/>
        <c:crosses val="autoZero"/>
        <c:crossBetween val="midCat"/>
      </c:valAx>
      <c:spPr>
        <a:noFill/>
        <a:ln>
          <a:noFill/>
        </a:ln>
      </c:spPr>
    </c:plotArea>
    <c:legend>
      <c:legendPos val="b"/>
      <c:overlay val="0"/>
      <c:spPr>
        <a:noFill/>
        <a:ln>
          <a:noFill/>
        </a:ln>
      </c:spPr>
    </c:legend>
    <c:plotVisOnly val="1"/>
    <c:dispBlanksAs val="gap"/>
  </c:chart>
  <c:spPr>
    <a:solidFill>
      <a:srgbClr val="ffffff"/>
    </a:solidFill>
    <a:ln w="9360">
      <a:noFill/>
    </a:ln>
  </c:spPr>
</c:chartSpace>
</file>

<file path=word/charts/chart8.xml><?xml version="1.0" encoding="utf-8"?>
<c:chartSpace xmlns:c="http://schemas.openxmlformats.org/drawingml/2006/chart" xmlns:a="http://schemas.openxmlformats.org/drawingml/2006/main" xmlns:r="http://schemas.openxmlformats.org/officeDocument/2006/relationships">
  <c:lang val="en-US"/>
  <c:roundedCorners val="0"/>
  <c:chart>
    <c:plotArea>
      <c:scatterChart>
        <c:scatterStyle val="lineMarker"/>
        <c:varyColors val="0"/>
        <c:ser>
          <c:idx val="0"/>
          <c:order val="0"/>
          <c:tx>
            <c:strRef>
              <c:f>label 0</c:f>
              <c:strCache>
                <c:ptCount val="1"/>
                <c:pt idx="0">
                  <c:v>T5 Tradicional</c:v>
                </c:pt>
              </c:strCache>
            </c:strRef>
          </c:tx>
          <c:spPr>
            <a:solidFill>
              <a:srgbClr val="5b9bd5"/>
            </a:solidFill>
            <a:ln w="19080">
              <a:solidFill>
                <a:srgbClr val="5b9bd5"/>
              </a:solidFill>
              <a:round/>
            </a:ln>
          </c:spPr>
          <c:marker>
            <c:symbol val="circle"/>
            <c:size val="5"/>
            <c:spPr>
              <a:solidFill>
                <a:srgbClr val="5b9bd5"/>
              </a:solidFill>
            </c:spPr>
          </c:marker>
          <c:dLbls>
            <c:dLbl>
              <c:idx val="3"/>
              <c:dLblPos val="l"/>
              <c:showLegendKey val="0"/>
              <c:showVal val="1"/>
              <c:showCatName val="0"/>
              <c:showSerName val="0"/>
              <c:showPercent val="0"/>
            </c:dLbl>
            <c:dLblPos val="r"/>
            <c:showLegendKey val="0"/>
            <c:showVal val="1"/>
            <c:showCatName val="0"/>
            <c:showSerName val="0"/>
            <c:showPercent val="0"/>
            <c:showLeaderLines val="0"/>
          </c:dLbls>
          <c:xVal>
            <c:numRef>
              <c:f>1</c:f>
              <c:numCache>
                <c:formatCode>General</c:formatCode>
                <c:ptCount val="8"/>
                <c:pt idx="0">
                  <c:v>1</c:v>
                </c:pt>
                <c:pt idx="1">
                  <c:v>2</c:v>
                </c:pt>
                <c:pt idx="2">
                  <c:v>3</c:v>
                </c:pt>
                <c:pt idx="3">
                  <c:v>4</c:v>
                </c:pt>
                <c:pt idx="4">
                  <c:v>5</c:v>
                </c:pt>
                <c:pt idx="5">
                  <c:v>6</c:v>
                </c:pt>
                <c:pt idx="6">
                  <c:v>7</c:v>
                </c:pt>
                <c:pt idx="7">
                  <c:v>8</c:v>
                </c:pt>
              </c:numCache>
            </c:numRef>
          </c:xVal>
          <c:yVal>
            <c:numRef>
              <c:f>0</c:f>
              <c:numCache>
                <c:formatCode>General</c:formatCode>
                <c:ptCount val="8"/>
                <c:pt idx="0">
                  <c:v>1</c:v>
                </c:pt>
                <c:pt idx="1">
                  <c:v>0.5</c:v>
                </c:pt>
                <c:pt idx="2">
                  <c:v>0.25</c:v>
                </c:pt>
                <c:pt idx="3">
                  <c:v>0.125</c:v>
                </c:pt>
                <c:pt idx="4">
                  <c:v>0.063</c:v>
                </c:pt>
                <c:pt idx="5">
                  <c:v>0.031</c:v>
                </c:pt>
                <c:pt idx="6">
                  <c:v>0.016</c:v>
                </c:pt>
                <c:pt idx="7">
                  <c:v>0.008</c:v>
                </c:pt>
              </c:numCache>
            </c:numRef>
          </c:yVal>
          <c:smooth val="1"/>
        </c:ser>
        <c:ser>
          <c:idx val="1"/>
          <c:order val="1"/>
          <c:tx>
            <c:strRef>
              <c:f>label 2</c:f>
              <c:strCache>
                <c:ptCount val="1"/>
                <c:pt idx="0">
                  <c:v>Te5 Extendido</c:v>
                </c:pt>
              </c:strCache>
            </c:strRef>
          </c:tx>
          <c:spPr>
            <a:solidFill>
              <a:srgbClr val="ff0000"/>
            </a:solidFill>
            <a:ln w="19080">
              <a:solidFill>
                <a:srgbClr val="ff0000"/>
              </a:solidFill>
              <a:round/>
            </a:ln>
          </c:spPr>
          <c:marker>
            <c:symbol val="circle"/>
            <c:size val="5"/>
            <c:spPr>
              <a:solidFill>
                <a:srgbClr val="ff0000"/>
              </a:solidFill>
            </c:spPr>
          </c:marker>
          <c:dLbls>
            <c:dLblPos val="r"/>
            <c:showLegendKey val="0"/>
            <c:showVal val="1"/>
            <c:showCatName val="0"/>
            <c:showSerName val="0"/>
            <c:showPercent val="0"/>
            <c:showLeaderLines val="0"/>
          </c:dLbls>
          <c:xVal>
            <c:numRef>
              <c:f>3</c:f>
              <c:numCache>
                <c:formatCode>General</c:formatCode>
                <c:ptCount val="8"/>
                <c:pt idx="0">
                  <c:v>1</c:v>
                </c:pt>
                <c:pt idx="1">
                  <c:v>2</c:v>
                </c:pt>
                <c:pt idx="2">
                  <c:v>3</c:v>
                </c:pt>
                <c:pt idx="3">
                  <c:v>4</c:v>
                </c:pt>
                <c:pt idx="4">
                  <c:v>5</c:v>
                </c:pt>
                <c:pt idx="5">
                  <c:v>6</c:v>
                </c:pt>
                <c:pt idx="6">
                  <c:v>7</c:v>
                </c:pt>
                <c:pt idx="7">
                  <c:v>8</c:v>
                </c:pt>
              </c:numCache>
            </c:numRef>
          </c:xVal>
          <c:yVal>
            <c:numRef>
              <c:f>2</c:f>
              <c:numCache>
                <c:formatCode>General</c:formatCode>
                <c:ptCount val="8"/>
                <c:pt idx="0">
                  <c:v>0.755</c:v>
                </c:pt>
                <c:pt idx="1">
                  <c:v>0.969</c:v>
                </c:pt>
                <c:pt idx="2">
                  <c:v>0.969</c:v>
                </c:pt>
                <c:pt idx="3">
                  <c:v>0.755</c:v>
                </c:pt>
                <c:pt idx="4">
                  <c:v>0.458</c:v>
                </c:pt>
                <c:pt idx="5">
                  <c:v>0.216</c:v>
                </c:pt>
                <c:pt idx="6">
                  <c:v>0.08</c:v>
                </c:pt>
                <c:pt idx="7">
                  <c:v>0.023</c:v>
                </c:pt>
              </c:numCache>
            </c:numRef>
          </c:yVal>
          <c:smooth val="1"/>
        </c:ser>
        <c:axId val="99403516"/>
        <c:axId val="44389752"/>
      </c:scatterChart>
      <c:valAx>
        <c:axId val="99403516"/>
        <c:scaling>
          <c:orientation val="minMax"/>
        </c:scaling>
        <c:delete val="0"/>
        <c:axPos val="b"/>
        <c:numFmt formatCode="General" sourceLinked="0"/>
        <c:majorTickMark val="none"/>
        <c:minorTickMark val="none"/>
        <c:tickLblPos val="nextTo"/>
        <c:spPr>
          <a:ln w="9360">
            <a:solidFill>
              <a:srgbClr val="bfbfbf"/>
            </a:solidFill>
            <a:round/>
          </a:ln>
        </c:spPr>
        <c:txPr>
          <a:bodyPr/>
          <a:p>
            <a:pPr>
              <a:defRPr b="0" sz="800" spc="-1" strike="noStrike">
                <a:solidFill>
                  <a:srgbClr val="595959"/>
                </a:solidFill>
                <a:uFill>
                  <a:solidFill>
                    <a:srgbClr val="ffffff"/>
                  </a:solidFill>
                </a:uFill>
                <a:latin typeface="Calibri"/>
              </a:defRPr>
            </a:pPr>
          </a:p>
        </c:txPr>
        <c:crossAx val="44389752"/>
        <c:crosses val="autoZero"/>
        <c:crossBetween val="midCat"/>
      </c:valAx>
      <c:valAx>
        <c:axId val="44389752"/>
        <c:scaling>
          <c:orientation val="minMax"/>
          <c:max val="1"/>
        </c:scaling>
        <c:delete val="0"/>
        <c:axPos val="l"/>
        <c:numFmt formatCode="General" sourceLinked="0"/>
        <c:majorTickMark val="none"/>
        <c:minorTickMark val="none"/>
        <c:tickLblPos val="nextTo"/>
        <c:spPr>
          <a:ln w="9360">
            <a:solidFill>
              <a:srgbClr val="bfbfbf"/>
            </a:solidFill>
            <a:round/>
          </a:ln>
        </c:spPr>
        <c:txPr>
          <a:bodyPr/>
          <a:p>
            <a:pPr>
              <a:defRPr b="0" sz="700" spc="-1" strike="noStrike">
                <a:solidFill>
                  <a:srgbClr val="595959"/>
                </a:solidFill>
                <a:uFill>
                  <a:solidFill>
                    <a:srgbClr val="ffffff"/>
                  </a:solidFill>
                </a:uFill>
                <a:latin typeface="Calibri"/>
              </a:defRPr>
            </a:pPr>
          </a:p>
        </c:txPr>
        <c:crossAx val="99403516"/>
        <c:crosses val="autoZero"/>
        <c:crossBetween val="midCat"/>
      </c:valAx>
      <c:spPr>
        <a:noFill/>
        <a:ln w="25560">
          <a:noFill/>
        </a:ln>
      </c:spPr>
    </c:plotArea>
    <c:legend>
      <c:legendPos val="b"/>
      <c:overlay val="0"/>
      <c:spPr>
        <a:noFill/>
        <a:ln>
          <a:noFill/>
        </a:ln>
      </c:spPr>
    </c:legend>
    <c:plotVisOnly val="1"/>
    <c:dispBlanksAs val="gap"/>
  </c:chart>
  <c:spPr>
    <a:solidFill>
      <a:srgbClr val="ffffff"/>
    </a:solidFill>
    <a:ln w="9360">
      <a:noFill/>
    </a:ln>
  </c:spPr>
</c:chartSpace>
</file>

<file path=word/charts/chart9.xml><?xml version="1.0" encoding="utf-8"?>
<c:chartSpace xmlns:c="http://schemas.openxmlformats.org/drawingml/2006/chart" xmlns:a="http://schemas.openxmlformats.org/drawingml/2006/main" xmlns:r="http://schemas.openxmlformats.org/officeDocument/2006/relationships">
  <c:lang val="en-US"/>
  <c:roundedCorners val="0"/>
  <c:chart>
    <c:plotArea>
      <c:radarChart>
        <c:radarStyle val="marker"/>
        <c:ser>
          <c:idx val="0"/>
          <c:order val="0"/>
          <c:tx>
            <c:strRef>
              <c:f>label 0</c:f>
              <c:strCache>
                <c:ptCount val="1"/>
                <c:pt idx="0">
                  <c:v>Agregación</c:v>
                </c:pt>
              </c:strCache>
            </c:strRef>
          </c:tx>
          <c:spPr>
            <a:solidFill>
              <a:srgbClr val="5b9bd5"/>
            </a:solidFill>
            <a:ln w="25560">
              <a:solidFill>
                <a:srgbClr val="5b9bd5"/>
              </a:solidFill>
              <a:round/>
            </a:ln>
          </c:spPr>
          <c:marker>
            <c:symbol val="circle"/>
            <c:size val="6"/>
            <c:spPr>
              <a:solidFill>
                <a:srgbClr val="5b9bd5"/>
              </a:solidFill>
            </c:spPr>
          </c:marker>
          <c:dLbls>
            <c:dLbl>
              <c:idx val="0"/>
              <c:showLegendKey val="0"/>
              <c:showVal val="0"/>
              <c:showCatName val="0"/>
              <c:showSerName val="0"/>
              <c:showPercent val="0"/>
            </c:dLbl>
            <c:dLbl>
              <c:idx val="1"/>
              <c:showLegendKey val="0"/>
              <c:showVal val="0"/>
              <c:showCatName val="0"/>
              <c:showSerName val="0"/>
              <c:showPercent val="0"/>
            </c:dLbl>
            <c:dLbl>
              <c:idx val="2"/>
              <c:showLegendKey val="0"/>
              <c:showVal val="0"/>
              <c:showCatName val="0"/>
              <c:showSerName val="0"/>
              <c:showPercent val="0"/>
            </c:dLbl>
            <c:dLbl>
              <c:idx val="3"/>
              <c:showLegendKey val="0"/>
              <c:showVal val="0"/>
              <c:showCatName val="0"/>
              <c:showSerName val="0"/>
              <c:showPercent val="0"/>
            </c:dLbl>
            <c:dLbl>
              <c:idx val="4"/>
              <c:showLegendKey val="0"/>
              <c:showVal val="0"/>
              <c:showCatName val="0"/>
              <c:showSerName val="0"/>
              <c:showPercent val="0"/>
            </c:dLbl>
            <c:dLbl>
              <c:idx val="5"/>
              <c:showLegendKey val="0"/>
              <c:showVal val="0"/>
              <c:showCatName val="0"/>
              <c:showSerName val="0"/>
              <c:showPercent val="0"/>
            </c:dLbl>
            <c:dLbl>
              <c:idx val="6"/>
              <c:showLegendKey val="0"/>
              <c:showVal val="0"/>
              <c:showCatName val="0"/>
              <c:showSerName val="0"/>
              <c:showPercent val="0"/>
            </c:dLbl>
            <c:dLbl>
              <c:idx val="7"/>
              <c:showLegendKey val="0"/>
              <c:showVal val="0"/>
              <c:showCatName val="0"/>
              <c:showSerName val="0"/>
              <c:showPercent val="0"/>
            </c:dLbl>
            <c:dLbl>
              <c:idx val="8"/>
              <c:showLegendKey val="0"/>
              <c:showVal val="0"/>
              <c:showCatName val="0"/>
              <c:showSerName val="0"/>
              <c:showPercent val="0"/>
            </c:dLbl>
            <c:dLbl>
              <c:idx val="9"/>
              <c:showLegendKey val="0"/>
              <c:showVal val="0"/>
              <c:showCatName val="0"/>
              <c:showSerName val="0"/>
              <c:showPercent val="0"/>
            </c:dLbl>
            <c:showLegendKey val="0"/>
            <c:showVal val="0"/>
            <c:showCatName val="0"/>
            <c:showSerName val="0"/>
            <c:showPercent val="0"/>
            <c:showLeaderLines val="0"/>
          </c:dLbls>
          <c:cat>
            <c:strRef>
              <c:f>categories</c:f>
              <c:strCache>
                <c:ptCount val="10"/>
                <c:pt idx="0">
                  <c:v>C1 (Muy alto, -0,5)</c:v>
                </c:pt>
                <c:pt idx="1">
                  <c:v>C2 (Alto, -0,25)</c:v>
                </c:pt>
                <c:pt idx="2">
                  <c:v>C3 (Muy alto, -0,25)</c:v>
                </c:pt>
                <c:pt idx="3">
                  <c:v>C4 (Alto, 0)</c:v>
                </c:pt>
                <c:pt idx="4">
                  <c:v>C5 (Muy alto, -0,5)</c:v>
                </c:pt>
                <c:pt idx="5">
                  <c:v>C6 (Muy alto, 0)</c:v>
                </c:pt>
                <c:pt idx="6">
                  <c:v>C7 (Alto, -0,5)</c:v>
                </c:pt>
                <c:pt idx="7">
                  <c:v>C8 (Muy alto, 0)</c:v>
                </c:pt>
                <c:pt idx="8">
                  <c:v>C9 (Muy alto, -0,25)</c:v>
                </c:pt>
                <c:pt idx="9">
                  <c:v>C10 (Muy alto, -0,5)</c:v>
                </c:pt>
              </c:strCache>
            </c:strRef>
          </c:cat>
          <c:val>
            <c:numRef>
              <c:f>0</c:f>
              <c:numCache>
                <c:formatCode>General</c:formatCode>
                <c:ptCount val="10"/>
                <c:pt idx="0">
                  <c:v>3.5</c:v>
                </c:pt>
                <c:pt idx="1">
                  <c:v>2.75</c:v>
                </c:pt>
                <c:pt idx="2">
                  <c:v>3.75</c:v>
                </c:pt>
                <c:pt idx="3">
                  <c:v>3</c:v>
                </c:pt>
                <c:pt idx="4">
                  <c:v>3.5</c:v>
                </c:pt>
                <c:pt idx="5">
                  <c:v>4</c:v>
                </c:pt>
                <c:pt idx="6">
                  <c:v>2.5</c:v>
                </c:pt>
                <c:pt idx="7">
                  <c:v>4</c:v>
                </c:pt>
                <c:pt idx="8">
                  <c:v>3.75</c:v>
                </c:pt>
                <c:pt idx="9">
                  <c:v>3.5</c:v>
                </c:pt>
              </c:numCache>
            </c:numRef>
          </c:val>
        </c:ser>
        <c:axId val="8660974"/>
        <c:axId val="31659206"/>
      </c:radarChart>
      <c:catAx>
        <c:axId val="8660974"/>
        <c:scaling>
          <c:orientation val="minMax"/>
        </c:scaling>
        <c:delete val="0"/>
        <c:axPos val="b"/>
        <c:numFmt formatCode="General" sourceLinked="1"/>
        <c:majorTickMark val="none"/>
        <c:minorTickMark val="none"/>
        <c:tickLblPos val="nextTo"/>
        <c:spPr>
          <a:ln w="9360">
            <a:noFill/>
          </a:ln>
        </c:spPr>
        <c:txPr>
          <a:bodyPr/>
          <a:p>
            <a:pPr>
              <a:defRPr b="0" sz="800" spc="-1" strike="noStrike">
                <a:solidFill>
                  <a:srgbClr val="595959"/>
                </a:solidFill>
                <a:uFill>
                  <a:solidFill>
                    <a:srgbClr val="ffffff"/>
                  </a:solidFill>
                </a:uFill>
                <a:latin typeface="Calibri"/>
              </a:defRPr>
            </a:pPr>
          </a:p>
        </c:txPr>
        <c:crossAx val="31659206"/>
        <c:crosses val="autoZero"/>
        <c:auto val="1"/>
        <c:lblAlgn val="ctr"/>
        <c:lblOffset val="100"/>
      </c:catAx>
      <c:valAx>
        <c:axId val="31659206"/>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p>
            <a:pPr>
              <a:defRPr b="0" sz="900" spc="-1" strike="noStrike">
                <a:solidFill>
                  <a:srgbClr val="595959"/>
                </a:solidFill>
                <a:uFill>
                  <a:solidFill>
                    <a:srgbClr val="ffffff"/>
                  </a:solidFill>
                </a:uFill>
                <a:latin typeface="Calibri"/>
              </a:defRPr>
            </a:pPr>
          </a:p>
        </c:txPr>
        <c:crossAx val="8660974"/>
        <c:crosses val="autoZero"/>
        <c:crossBetween val="midCat"/>
      </c:valAx>
      <c:spPr>
        <a:noFill/>
        <a:ln>
          <a:noFill/>
        </a:ln>
      </c:spPr>
    </c:plotArea>
    <c:plotVisOnly val="1"/>
    <c:dispBlanksAs val="gap"/>
  </c:chart>
  <c:spPr>
    <a:solidFill>
      <a:srgbClr val="ffffff"/>
    </a:solidFill>
    <a:ln w="9360">
      <a:noFill/>
    </a:ln>
  </c:spPr>
</c:chartSpace>
</file>

<file path=word/diagrams/colors14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44.xml><?xml version="1.0" encoding="utf-8"?>
<dgm:dataModel xmlns:dgm="http://schemas.openxmlformats.org/drawingml/2006/diagram" xmlns:a="http://schemas.openxmlformats.org/drawingml/2006/main">
  <dgm:ptLst>
    <dgm:pt modelId="{2611404B-DF66-4A82-867D-C317B1904AE6}" type="doc">
      <dgm:prSet loTypeId="urn:microsoft.com/office/officeart/2008/layout/HorizontalMultiLevelHierarchy" loCatId="hierarchy" qsTypeId="urn:microsoft.com/office/officeart/2005/8/quickstyle/simple1" qsCatId="simple" csTypeId="urn:microsoft.com/office/officeart/2005/8/colors/accent1_1" csCatId="accent1" phldr="1"/>
      <dgm:spPr/>
      <dgm:t>
        <a:bodyPr/>
        <a:lstStyle/>
        <a:p>
          <a:endParaRPr lang="es-EC"/>
        </a:p>
      </dgm:t>
    </dgm:pt>
    <dgm:pt modelId="{3661DDC8-68D7-4E11-A590-FAA1E8EC47DD}">
      <dgm:prSet phldrT="[Texto]" custT="1"/>
      <dgm:spPr/>
      <dgm:t>
        <a:bodyPr/>
        <a:lstStyle/>
        <a:p>
          <a:pPr>
            <a:lnSpc>
              <a:spcPct val="120000"/>
            </a:lnSpc>
          </a:pPr>
          <a:r>
            <a:rPr lang="es-ES" sz="1000" b="0" dirty="0">
              <a:latin typeface="Arial" panose="020B0604020202020204" pitchFamily="34" charset="0"/>
              <a:cs typeface="Arial" panose="020B0604020202020204" pitchFamily="34" charset="0"/>
            </a:rPr>
            <a:t>Diferentes</a:t>
          </a:r>
          <a:r>
            <a:rPr lang="es-US" sz="1000" b="0" dirty="0">
              <a:latin typeface="Arial" panose="020B0604020202020204" pitchFamily="34" charset="0"/>
              <a:cs typeface="Arial" panose="020B0604020202020204" pitchFamily="34" charset="0"/>
            </a:rPr>
            <a:t> tipos de incertidumbre </a:t>
          </a:r>
          <a:endParaRPr lang="es-EC" sz="1000" b="0" dirty="0">
            <a:latin typeface="Arial" panose="020B0604020202020204" pitchFamily="34" charset="0"/>
            <a:cs typeface="Arial" panose="020B0604020202020204" pitchFamily="34" charset="0"/>
          </a:endParaRPr>
        </a:p>
      </dgm:t>
    </dgm:pt>
    <dgm:pt modelId="{C43AF4E0-9142-4381-AA10-B7088D6DFB94}" type="parTrans" cxnId="{B149BEF6-1DFF-4058-97D6-8C3984DC7CAA}">
      <dgm:prSet/>
      <dgm:spPr/>
      <dgm:t>
        <a:bodyPr/>
        <a:lstStyle/>
        <a:p>
          <a:endParaRPr lang="es-EC" sz="1000">
            <a:latin typeface="Arial" panose="020B0604020202020204" pitchFamily="34" charset="0"/>
            <a:cs typeface="Arial" panose="020B0604020202020204" pitchFamily="34" charset="0"/>
          </a:endParaRPr>
        </a:p>
      </dgm:t>
    </dgm:pt>
    <dgm:pt modelId="{78D04A20-ED44-4857-8D11-CC781C2236E6}" type="sibTrans" cxnId="{B149BEF6-1DFF-4058-97D6-8C3984DC7CAA}">
      <dgm:prSet/>
      <dgm:spPr/>
      <dgm:t>
        <a:bodyPr/>
        <a:lstStyle/>
        <a:p>
          <a:endParaRPr lang="es-EC" sz="1000">
            <a:latin typeface="Arial" panose="020B0604020202020204" pitchFamily="34" charset="0"/>
            <a:cs typeface="Arial" panose="020B0604020202020204" pitchFamily="34" charset="0"/>
          </a:endParaRPr>
        </a:p>
      </dgm:t>
    </dgm:pt>
    <dgm:pt modelId="{2EAC931F-8234-40AA-8351-099183369FCE}">
      <dgm:prSet phldrT="[Texto]" custT="1"/>
      <dgm:spPr/>
      <dgm:t>
        <a:bodyPr/>
        <a:lstStyle/>
        <a:p>
          <a:r>
            <a:rPr lang="es-EC" sz="1000">
              <a:latin typeface="Arial" panose="020B0604020202020204" pitchFamily="34" charset="0"/>
              <a:cs typeface="Arial" panose="020B0604020202020204" pitchFamily="34" charset="0"/>
            </a:rPr>
            <a:t>Ambigüedad</a:t>
          </a:r>
          <a:endParaRPr lang="es-EC" sz="1000" dirty="0">
            <a:latin typeface="Arial" panose="020B0604020202020204" pitchFamily="34" charset="0"/>
            <a:cs typeface="Arial" panose="020B0604020202020204" pitchFamily="34" charset="0"/>
          </a:endParaRPr>
        </a:p>
      </dgm:t>
    </dgm:pt>
    <dgm:pt modelId="{DD9945FE-36BC-488A-A3BC-AFA4AD2070F0}" type="parTrans" cxnId="{010A97D8-73EF-4E6C-91CA-3104879EE9DE}">
      <dgm:prSet custT="1"/>
      <dgm:spPr/>
      <dgm:t>
        <a:bodyPr/>
        <a:lstStyle/>
        <a:p>
          <a:endParaRPr lang="es-EC" sz="1000">
            <a:latin typeface="Arial" panose="020B0604020202020204" pitchFamily="34" charset="0"/>
            <a:cs typeface="Arial" panose="020B0604020202020204" pitchFamily="34" charset="0"/>
          </a:endParaRPr>
        </a:p>
      </dgm:t>
    </dgm:pt>
    <dgm:pt modelId="{35672544-9FB1-4113-91EE-9D41ED0F7F32}" type="sibTrans" cxnId="{010A97D8-73EF-4E6C-91CA-3104879EE9DE}">
      <dgm:prSet/>
      <dgm:spPr/>
      <dgm:t>
        <a:bodyPr/>
        <a:lstStyle/>
        <a:p>
          <a:endParaRPr lang="es-EC" sz="1000">
            <a:latin typeface="Arial" panose="020B0604020202020204" pitchFamily="34" charset="0"/>
            <a:cs typeface="Arial" panose="020B0604020202020204" pitchFamily="34" charset="0"/>
          </a:endParaRPr>
        </a:p>
      </dgm:t>
    </dgm:pt>
    <dgm:pt modelId="{B6FA9FDB-02AE-4A2F-9660-2DCBD3D7777E}">
      <dgm:prSet phldrT="[Texto]" custT="1"/>
      <dgm:spPr/>
      <dgm:t>
        <a:bodyPr/>
        <a:lstStyle/>
        <a:p>
          <a:r>
            <a:rPr lang="es-EC" sz="1000">
              <a:latin typeface="Arial" panose="020B0604020202020204" pitchFamily="34" charset="0"/>
              <a:cs typeface="Arial" panose="020B0604020202020204" pitchFamily="34" charset="0"/>
            </a:rPr>
            <a:t>Inconsistencia </a:t>
          </a:r>
          <a:endParaRPr lang="es-EC" sz="1000" dirty="0">
            <a:latin typeface="Arial" panose="020B0604020202020204" pitchFamily="34" charset="0"/>
            <a:cs typeface="Arial" panose="020B0604020202020204" pitchFamily="34" charset="0"/>
          </a:endParaRPr>
        </a:p>
      </dgm:t>
    </dgm:pt>
    <dgm:pt modelId="{66822636-54DD-4E2C-AC6C-A3CBDBDBB3F1}" type="parTrans" cxnId="{6E42D984-B76F-4687-A219-214ED1B98ED4}">
      <dgm:prSet custT="1"/>
      <dgm:spPr/>
      <dgm:t>
        <a:bodyPr/>
        <a:lstStyle/>
        <a:p>
          <a:endParaRPr lang="en-US" sz="1000">
            <a:latin typeface="Arial" panose="020B0604020202020204" pitchFamily="34" charset="0"/>
            <a:cs typeface="Arial" panose="020B0604020202020204" pitchFamily="34" charset="0"/>
          </a:endParaRPr>
        </a:p>
      </dgm:t>
    </dgm:pt>
    <dgm:pt modelId="{FF7E041D-2DBA-415F-824F-58D335B98F15}" type="sibTrans" cxnId="{6E42D984-B76F-4687-A219-214ED1B98ED4}">
      <dgm:prSet/>
      <dgm:spPr/>
      <dgm:t>
        <a:bodyPr/>
        <a:lstStyle/>
        <a:p>
          <a:endParaRPr lang="en-US" sz="1000">
            <a:latin typeface="Arial" panose="020B0604020202020204" pitchFamily="34" charset="0"/>
            <a:cs typeface="Arial" panose="020B0604020202020204" pitchFamily="34" charset="0"/>
          </a:endParaRPr>
        </a:p>
      </dgm:t>
    </dgm:pt>
    <dgm:pt modelId="{D36ACC2C-B70F-440B-A455-B9E2DC441F87}">
      <dgm:prSet phldrT="[Text]" custT="1"/>
      <dgm:spPr/>
      <dgm:t>
        <a:bodyPr/>
        <a:lstStyle/>
        <a:p>
          <a:r>
            <a:rPr lang="es-EC" sz="1000" dirty="0">
              <a:latin typeface="Arial" panose="020B0604020202020204" pitchFamily="34" charset="0"/>
              <a:cs typeface="Arial" panose="020B0604020202020204" pitchFamily="34" charset="0"/>
            </a:rPr>
            <a:t>Incompletitud</a:t>
          </a:r>
        </a:p>
      </dgm:t>
    </dgm:pt>
    <dgm:pt modelId="{00869AF9-F3BA-485B-A6B5-E4983062EA4A}" type="parTrans" cxnId="{7DF915E3-6D97-4753-BBFE-338AF23B58E0}">
      <dgm:prSet custT="1"/>
      <dgm:spPr/>
      <dgm:t>
        <a:bodyPr/>
        <a:lstStyle/>
        <a:p>
          <a:endParaRPr lang="en-US" sz="1000">
            <a:latin typeface="Arial" panose="020B0604020202020204" pitchFamily="34" charset="0"/>
            <a:cs typeface="Arial" panose="020B0604020202020204" pitchFamily="34" charset="0"/>
          </a:endParaRPr>
        </a:p>
      </dgm:t>
    </dgm:pt>
    <dgm:pt modelId="{804FB0BF-A54B-4BAA-9E8D-E56133AEFECC}" type="sibTrans" cxnId="{7DF915E3-6D97-4753-BBFE-338AF23B58E0}">
      <dgm:prSet/>
      <dgm:spPr/>
      <dgm:t>
        <a:bodyPr/>
        <a:lstStyle/>
        <a:p>
          <a:endParaRPr lang="en-US" sz="1000">
            <a:latin typeface="Arial" panose="020B0604020202020204" pitchFamily="34" charset="0"/>
            <a:cs typeface="Arial" panose="020B0604020202020204" pitchFamily="34" charset="0"/>
          </a:endParaRPr>
        </a:p>
      </dgm:t>
    </dgm:pt>
    <dgm:pt modelId="{85E1709E-DA6D-45EC-B648-EC257895BF44}">
      <dgm:prSet phldrT="[Texto]" custT="1"/>
      <dgm:spPr/>
      <dgm:t>
        <a:bodyPr/>
        <a:lstStyle/>
        <a:p>
          <a:r>
            <a:rPr lang="es-EC" sz="1000" b="0" kern="1200" dirty="0">
              <a:latin typeface="Arial" panose="020B0604020202020204" pitchFamily="34" charset="0"/>
              <a:ea typeface="+mn-ea"/>
              <a:cs typeface="Arial" panose="020B0604020202020204" pitchFamily="34" charset="0"/>
            </a:rPr>
            <a:t>Dudoso (Indeterminado)</a:t>
          </a:r>
        </a:p>
      </dgm:t>
    </dgm:pt>
    <dgm:pt modelId="{3C6EF905-62AF-4321-BF7E-A034D97BD9C3}" type="parTrans" cxnId="{366EE706-7447-4C11-BF45-1B8DA4114749}">
      <dgm:prSet custT="1"/>
      <dgm:spPr/>
      <dgm:t>
        <a:bodyPr/>
        <a:lstStyle/>
        <a:p>
          <a:endParaRPr lang="en-US" sz="1000">
            <a:latin typeface="Arial" panose="020B0604020202020204" pitchFamily="34" charset="0"/>
            <a:cs typeface="Arial" panose="020B0604020202020204" pitchFamily="34" charset="0"/>
          </a:endParaRPr>
        </a:p>
      </dgm:t>
    </dgm:pt>
    <dgm:pt modelId="{994A05D5-C7BC-4F64-B800-AB9F6D78ABF0}" type="sibTrans" cxnId="{366EE706-7447-4C11-BF45-1B8DA4114749}">
      <dgm:prSet/>
      <dgm:spPr/>
      <dgm:t>
        <a:bodyPr/>
        <a:lstStyle/>
        <a:p>
          <a:endParaRPr lang="en-US" sz="1000">
            <a:latin typeface="Arial" panose="020B0604020202020204" pitchFamily="34" charset="0"/>
            <a:cs typeface="Arial" panose="020B0604020202020204" pitchFamily="34" charset="0"/>
          </a:endParaRPr>
        </a:p>
      </dgm:t>
    </dgm:pt>
    <dgm:pt modelId="{B2467DD9-75D3-496E-87CD-A4914DE96600}">
      <dgm:prSet phldrT="[Text]" custT="1"/>
      <dgm:spPr/>
      <dgm:t>
        <a:bodyPr/>
        <a:lstStyle/>
        <a:p>
          <a:r>
            <a:rPr lang="es-EC" sz="1000" dirty="0">
              <a:latin typeface="Arial" panose="020B0604020202020204" pitchFamily="34" charset="0"/>
              <a:cs typeface="Arial" panose="020B0604020202020204" pitchFamily="34" charset="0"/>
            </a:rPr>
            <a:t>Falsedad o incierto</a:t>
          </a:r>
        </a:p>
      </dgm:t>
    </dgm:pt>
    <dgm:pt modelId="{2A1F63F0-C636-4F57-B4E6-CA054F6C4F57}" type="parTrans" cxnId="{3413A54E-DC20-4588-BC0C-89EE198D2261}">
      <dgm:prSet custT="1"/>
      <dgm:spPr/>
      <dgm:t>
        <a:bodyPr/>
        <a:lstStyle/>
        <a:p>
          <a:endParaRPr lang="en-US" sz="1000">
            <a:latin typeface="Arial" panose="020B0604020202020204" pitchFamily="34" charset="0"/>
            <a:cs typeface="Arial" panose="020B0604020202020204" pitchFamily="34" charset="0"/>
          </a:endParaRPr>
        </a:p>
      </dgm:t>
    </dgm:pt>
    <dgm:pt modelId="{977DDD96-9127-414E-8C3A-550C04CF647E}" type="sibTrans" cxnId="{3413A54E-DC20-4588-BC0C-89EE198D2261}">
      <dgm:prSet/>
      <dgm:spPr/>
      <dgm:t>
        <a:bodyPr/>
        <a:lstStyle/>
        <a:p>
          <a:endParaRPr lang="en-US" sz="1000">
            <a:latin typeface="Arial" panose="020B0604020202020204" pitchFamily="34" charset="0"/>
            <a:cs typeface="Arial" panose="020B0604020202020204" pitchFamily="34" charset="0"/>
          </a:endParaRPr>
        </a:p>
      </dgm:t>
    </dgm:pt>
    <dgm:pt modelId="{CAB4EA01-FDE6-4EFC-8362-52E3C59EB38A}">
      <dgm:prSet phldrT="[Text]" custT="1"/>
      <dgm:spPr/>
      <dgm:t>
        <a:bodyPr/>
        <a:lstStyle/>
        <a:p>
          <a:r>
            <a:rPr lang="es-EC" sz="1000" dirty="0">
              <a:latin typeface="Arial" panose="020B0604020202020204" pitchFamily="34" charset="0"/>
              <a:cs typeface="Arial" panose="020B0604020202020204" pitchFamily="34" charset="0"/>
            </a:rPr>
            <a:t>Veracidad</a:t>
          </a:r>
        </a:p>
      </dgm:t>
    </dgm:pt>
    <dgm:pt modelId="{B2ED801C-4598-4A17-BF80-B51E3D64A5CA}" type="parTrans" cxnId="{17293307-7206-4B21-AB82-3901D49A7A2C}">
      <dgm:prSet custT="1"/>
      <dgm:spPr/>
      <dgm:t>
        <a:bodyPr/>
        <a:lstStyle/>
        <a:p>
          <a:endParaRPr lang="en-US" sz="1000">
            <a:latin typeface="Arial" panose="020B0604020202020204" pitchFamily="34" charset="0"/>
            <a:cs typeface="Arial" panose="020B0604020202020204" pitchFamily="34" charset="0"/>
          </a:endParaRPr>
        </a:p>
      </dgm:t>
    </dgm:pt>
    <dgm:pt modelId="{7901355B-2FDD-45A0-9502-92737BBFA6B5}" type="sibTrans" cxnId="{17293307-7206-4B21-AB82-3901D49A7A2C}">
      <dgm:prSet/>
      <dgm:spPr/>
      <dgm:t>
        <a:bodyPr/>
        <a:lstStyle/>
        <a:p>
          <a:endParaRPr lang="en-US" sz="1000">
            <a:latin typeface="Arial" panose="020B0604020202020204" pitchFamily="34" charset="0"/>
            <a:cs typeface="Arial" panose="020B0604020202020204" pitchFamily="34" charset="0"/>
          </a:endParaRPr>
        </a:p>
      </dgm:t>
    </dgm:pt>
    <dgm:pt modelId="{3772F5AD-3833-449E-87AC-F5EA0AC4A380}">
      <dgm:prSet phldrT="[Text]" custT="1"/>
      <dgm:spPr/>
      <dgm:t>
        <a:bodyPr/>
        <a:lstStyle/>
        <a:p>
          <a:r>
            <a:rPr lang="es-EC" sz="1000" dirty="0">
              <a:latin typeface="Arial" panose="020B0604020202020204" pitchFamily="34" charset="0"/>
              <a:cs typeface="Arial" panose="020B0604020202020204" pitchFamily="34" charset="0"/>
            </a:rPr>
            <a:t>Ruido</a:t>
          </a:r>
        </a:p>
      </dgm:t>
    </dgm:pt>
    <dgm:pt modelId="{2779F7F5-B89C-4FC0-B6BD-448D9BC88894}" type="parTrans" cxnId="{3648C084-E654-416B-803B-603E70D25F2A}">
      <dgm:prSet custT="1"/>
      <dgm:spPr/>
      <dgm:t>
        <a:bodyPr/>
        <a:lstStyle/>
        <a:p>
          <a:endParaRPr lang="es-ES" sz="1000">
            <a:latin typeface="Arial" panose="020B0604020202020204" pitchFamily="34" charset="0"/>
            <a:cs typeface="Arial" panose="020B0604020202020204" pitchFamily="34" charset="0"/>
          </a:endParaRPr>
        </a:p>
      </dgm:t>
    </dgm:pt>
    <dgm:pt modelId="{AC5BABBD-755B-443B-B385-5087DAE0203A}" type="sibTrans" cxnId="{3648C084-E654-416B-803B-603E70D25F2A}">
      <dgm:prSet/>
      <dgm:spPr/>
      <dgm:t>
        <a:bodyPr/>
        <a:lstStyle/>
        <a:p>
          <a:endParaRPr lang="es-ES" sz="1000">
            <a:latin typeface="Arial" panose="020B0604020202020204" pitchFamily="34" charset="0"/>
            <a:cs typeface="Arial" panose="020B0604020202020204" pitchFamily="34" charset="0"/>
          </a:endParaRPr>
        </a:p>
      </dgm:t>
    </dgm:pt>
    <dgm:pt modelId="{3C494137-A992-4DA1-B3D9-95C01690EB14}">
      <dgm:prSet phldrT="[Text]" custT="1"/>
      <dgm:spPr/>
      <dgm:t>
        <a:bodyPr/>
        <a:lstStyle/>
        <a:p>
          <a:r>
            <a:rPr lang="es-ES" sz="1000">
              <a:latin typeface="Arial" panose="020B0604020202020204" pitchFamily="34" charset="0"/>
              <a:cs typeface="Arial" panose="020B0604020202020204" pitchFamily="34" charset="0"/>
            </a:rPr>
            <a:t>Imprecisión</a:t>
          </a:r>
          <a:endParaRPr lang="es-EC" sz="1000" dirty="0">
            <a:latin typeface="Arial" panose="020B0604020202020204" pitchFamily="34" charset="0"/>
            <a:cs typeface="Arial" panose="020B0604020202020204" pitchFamily="34" charset="0"/>
          </a:endParaRPr>
        </a:p>
      </dgm:t>
    </dgm:pt>
    <dgm:pt modelId="{2ED2A49F-F7C0-4190-A2F6-9001AAED438E}" type="parTrans" cxnId="{797B461A-7A98-48B9-94A6-7B14C7DF5A1F}">
      <dgm:prSet custT="1"/>
      <dgm:spPr/>
      <dgm:t>
        <a:bodyPr/>
        <a:lstStyle/>
        <a:p>
          <a:endParaRPr lang="es-ES" sz="1000">
            <a:latin typeface="Arial" panose="020B0604020202020204" pitchFamily="34" charset="0"/>
            <a:cs typeface="Arial" panose="020B0604020202020204" pitchFamily="34" charset="0"/>
          </a:endParaRPr>
        </a:p>
      </dgm:t>
    </dgm:pt>
    <dgm:pt modelId="{6638BB2B-A28B-4852-978A-0D8CE01EC39A}" type="sibTrans" cxnId="{797B461A-7A98-48B9-94A6-7B14C7DF5A1F}">
      <dgm:prSet/>
      <dgm:spPr/>
      <dgm:t>
        <a:bodyPr/>
        <a:lstStyle/>
        <a:p>
          <a:endParaRPr lang="es-ES" sz="1000">
            <a:latin typeface="Arial" panose="020B0604020202020204" pitchFamily="34" charset="0"/>
            <a:cs typeface="Arial" panose="020B0604020202020204" pitchFamily="34" charset="0"/>
          </a:endParaRPr>
        </a:p>
      </dgm:t>
    </dgm:pt>
    <dgm:pt modelId="{4A0829D7-AB5C-488E-BD26-63CF9B8EEF9C}">
      <dgm:prSet phldrT="[Texto]" custT="1"/>
      <dgm:spPr/>
      <dgm:t>
        <a:bodyPr/>
        <a:lstStyle/>
        <a:p>
          <a:r>
            <a:rPr lang="es-EC" sz="1000" dirty="0">
              <a:latin typeface="Arial" panose="020B0604020202020204" pitchFamily="34" charset="0"/>
              <a:cs typeface="Arial" panose="020B0604020202020204" pitchFamily="34" charset="0"/>
            </a:rPr>
            <a:t>Incertidumbre</a:t>
          </a:r>
        </a:p>
      </dgm:t>
    </dgm:pt>
    <dgm:pt modelId="{E4770F7E-279E-4BCC-A475-AA9D2DD0E12E}" type="sibTrans" cxnId="{479B1488-1B5F-4336-9E9F-669B7786BEA5}">
      <dgm:prSet/>
      <dgm:spPr/>
      <dgm:t>
        <a:bodyPr/>
        <a:lstStyle/>
        <a:p>
          <a:endParaRPr lang="es-EC" sz="1000">
            <a:latin typeface="Arial" panose="020B0604020202020204" pitchFamily="34" charset="0"/>
            <a:cs typeface="Arial" panose="020B0604020202020204" pitchFamily="34" charset="0"/>
          </a:endParaRPr>
        </a:p>
      </dgm:t>
    </dgm:pt>
    <dgm:pt modelId="{7C83DBE0-D955-40DB-9E94-D16500970D8C}" type="parTrans" cxnId="{479B1488-1B5F-4336-9E9F-669B7786BEA5}">
      <dgm:prSet custT="1"/>
      <dgm:spPr/>
      <dgm:t>
        <a:bodyPr/>
        <a:lstStyle/>
        <a:p>
          <a:endParaRPr lang="es-EC" sz="1000">
            <a:latin typeface="Arial" panose="020B0604020202020204" pitchFamily="34" charset="0"/>
            <a:cs typeface="Arial" panose="020B0604020202020204" pitchFamily="34" charset="0"/>
          </a:endParaRPr>
        </a:p>
      </dgm:t>
    </dgm:pt>
    <dgm:pt modelId="{F6A382D7-B618-494F-8342-3B348D33136C}" type="pres">
      <dgm:prSet presAssocID="{2611404B-DF66-4A82-867D-C317B1904AE6}" presName="Name0" presStyleCnt="0">
        <dgm:presLayoutVars>
          <dgm:chPref val="1"/>
          <dgm:dir/>
          <dgm:animOne val="branch"/>
          <dgm:animLvl val="lvl"/>
          <dgm:resizeHandles val="exact"/>
        </dgm:presLayoutVars>
      </dgm:prSet>
      <dgm:spPr/>
    </dgm:pt>
    <dgm:pt modelId="{8378E445-086E-4E01-921F-CB4C9D4AA6A7}" type="pres">
      <dgm:prSet presAssocID="{3661DDC8-68D7-4E11-A590-FAA1E8EC47DD}" presName="root1" presStyleCnt="0"/>
      <dgm:spPr/>
    </dgm:pt>
    <dgm:pt modelId="{03DB2A01-8F44-4EBA-8FD0-DB23560545A4}" type="pres">
      <dgm:prSet presAssocID="{3661DDC8-68D7-4E11-A590-FAA1E8EC47DD}" presName="LevelOneTextNode" presStyleLbl="node0" presStyleIdx="0" presStyleCnt="1" custScaleX="165920">
        <dgm:presLayoutVars>
          <dgm:chPref val="3"/>
        </dgm:presLayoutVars>
      </dgm:prSet>
      <dgm:spPr/>
    </dgm:pt>
    <dgm:pt modelId="{71169910-07F1-4DB6-8AB3-DBF4CDCD8E9A}" type="pres">
      <dgm:prSet presAssocID="{3661DDC8-68D7-4E11-A590-FAA1E8EC47DD}" presName="level2hierChild" presStyleCnt="0"/>
      <dgm:spPr/>
    </dgm:pt>
    <dgm:pt modelId="{0DBA332D-454B-4841-B91C-65EDDA58C03C}" type="pres">
      <dgm:prSet presAssocID="{DD9945FE-36BC-488A-A3BC-AFA4AD2070F0}" presName="conn2-1" presStyleLbl="parChTrans1D2" presStyleIdx="0" presStyleCnt="5"/>
      <dgm:spPr/>
    </dgm:pt>
    <dgm:pt modelId="{2647D1D1-CBFF-42B8-8793-55A477EAB1C2}" type="pres">
      <dgm:prSet presAssocID="{DD9945FE-36BC-488A-A3BC-AFA4AD2070F0}" presName="connTx" presStyleLbl="parChTrans1D2" presStyleIdx="0" presStyleCnt="5"/>
      <dgm:spPr/>
    </dgm:pt>
    <dgm:pt modelId="{735FD1B0-8D3B-4E4C-B711-AA625E8E4A7B}" type="pres">
      <dgm:prSet presAssocID="{2EAC931F-8234-40AA-8351-099183369FCE}" presName="root2" presStyleCnt="0"/>
      <dgm:spPr/>
    </dgm:pt>
    <dgm:pt modelId="{B6F32971-9995-4A2B-8859-4E4BFFD23B9A}" type="pres">
      <dgm:prSet presAssocID="{2EAC931F-8234-40AA-8351-099183369FCE}" presName="LevelTwoTextNode" presStyleLbl="node2" presStyleIdx="0" presStyleCnt="5" custScaleX="129870">
        <dgm:presLayoutVars>
          <dgm:chPref val="3"/>
        </dgm:presLayoutVars>
      </dgm:prSet>
      <dgm:spPr/>
    </dgm:pt>
    <dgm:pt modelId="{607D8B97-7839-40A3-BC76-E3E3C180A702}" type="pres">
      <dgm:prSet presAssocID="{2EAC931F-8234-40AA-8351-099183369FCE}" presName="level3hierChild" presStyleCnt="0"/>
      <dgm:spPr/>
    </dgm:pt>
    <dgm:pt modelId="{8BBCADE9-1430-4FA7-AC80-FF1F9022BA22}" type="pres">
      <dgm:prSet presAssocID="{7C83DBE0-D955-40DB-9E94-D16500970D8C}" presName="conn2-1" presStyleLbl="parChTrans1D2" presStyleIdx="1" presStyleCnt="5"/>
      <dgm:spPr/>
    </dgm:pt>
    <dgm:pt modelId="{88A5FCA2-3471-4D30-9C26-8666C7317234}" type="pres">
      <dgm:prSet presAssocID="{7C83DBE0-D955-40DB-9E94-D16500970D8C}" presName="connTx" presStyleLbl="parChTrans1D2" presStyleIdx="1" presStyleCnt="5"/>
      <dgm:spPr/>
    </dgm:pt>
    <dgm:pt modelId="{B403444B-EE5F-497A-919A-D76F3246F6C1}" type="pres">
      <dgm:prSet presAssocID="{4A0829D7-AB5C-488E-BD26-63CF9B8EEF9C}" presName="root2" presStyleCnt="0"/>
      <dgm:spPr/>
    </dgm:pt>
    <dgm:pt modelId="{E7214C4E-CBC8-4175-B5C4-A4BBC8EBCAF2}" type="pres">
      <dgm:prSet presAssocID="{4A0829D7-AB5C-488E-BD26-63CF9B8EEF9C}" presName="LevelTwoTextNode" presStyleLbl="node2" presStyleIdx="1" presStyleCnt="5" custScaleX="129870">
        <dgm:presLayoutVars>
          <dgm:chPref val="3"/>
        </dgm:presLayoutVars>
      </dgm:prSet>
      <dgm:spPr/>
    </dgm:pt>
    <dgm:pt modelId="{A74A7803-482D-407C-B364-EE47563B9E62}" type="pres">
      <dgm:prSet presAssocID="{4A0829D7-AB5C-488E-BD26-63CF9B8EEF9C}" presName="level3hierChild" presStyleCnt="0"/>
      <dgm:spPr/>
    </dgm:pt>
    <dgm:pt modelId="{954D78D7-388F-4910-8C0A-354BC90F4EAA}" type="pres">
      <dgm:prSet presAssocID="{B2ED801C-4598-4A17-BF80-B51E3D64A5CA}" presName="conn2-1" presStyleLbl="parChTrans1D3" presStyleIdx="0" presStyleCnt="4"/>
      <dgm:spPr/>
    </dgm:pt>
    <dgm:pt modelId="{3B2C212C-81B1-4D00-A4FF-B4A94A1F11B3}" type="pres">
      <dgm:prSet presAssocID="{B2ED801C-4598-4A17-BF80-B51E3D64A5CA}" presName="connTx" presStyleLbl="parChTrans1D3" presStyleIdx="0" presStyleCnt="4"/>
      <dgm:spPr/>
    </dgm:pt>
    <dgm:pt modelId="{1F69FD87-045B-4F55-9711-468C4B5D7F8F}" type="pres">
      <dgm:prSet presAssocID="{CAB4EA01-FDE6-4EFC-8362-52E3C59EB38A}" presName="root2" presStyleCnt="0"/>
      <dgm:spPr/>
    </dgm:pt>
    <dgm:pt modelId="{4A004B46-55C8-4365-B4DF-521B6FD83E82}" type="pres">
      <dgm:prSet presAssocID="{CAB4EA01-FDE6-4EFC-8362-52E3C59EB38A}" presName="LevelTwoTextNode" presStyleLbl="node3" presStyleIdx="0" presStyleCnt="4" custScaleX="117666">
        <dgm:presLayoutVars>
          <dgm:chPref val="3"/>
        </dgm:presLayoutVars>
      </dgm:prSet>
      <dgm:spPr/>
    </dgm:pt>
    <dgm:pt modelId="{0406D6D5-C377-4561-BFC5-1767E5C0602D}" type="pres">
      <dgm:prSet presAssocID="{CAB4EA01-FDE6-4EFC-8362-52E3C59EB38A}" presName="level3hierChild" presStyleCnt="0"/>
      <dgm:spPr/>
    </dgm:pt>
    <dgm:pt modelId="{049B4D84-9598-4AED-AB01-D114336097C7}" type="pres">
      <dgm:prSet presAssocID="{3C6EF905-62AF-4321-BF7E-A034D97BD9C3}" presName="conn2-1" presStyleLbl="parChTrans1D3" presStyleIdx="1" presStyleCnt="4"/>
      <dgm:spPr/>
    </dgm:pt>
    <dgm:pt modelId="{747E405B-6580-46CF-9327-65BA9448E1B6}" type="pres">
      <dgm:prSet presAssocID="{3C6EF905-62AF-4321-BF7E-A034D97BD9C3}" presName="connTx" presStyleLbl="parChTrans1D3" presStyleIdx="1" presStyleCnt="4"/>
      <dgm:spPr/>
    </dgm:pt>
    <dgm:pt modelId="{D1AD395C-523E-4D36-9C51-8DC861B1E7E6}" type="pres">
      <dgm:prSet presAssocID="{85E1709E-DA6D-45EC-B648-EC257895BF44}" presName="root2" presStyleCnt="0"/>
      <dgm:spPr/>
    </dgm:pt>
    <dgm:pt modelId="{15C2B39E-5472-44DF-BE3F-7B13CE99327B}" type="pres">
      <dgm:prSet presAssocID="{85E1709E-DA6D-45EC-B648-EC257895BF44}" presName="LevelTwoTextNode" presStyleLbl="node3" presStyleIdx="1" presStyleCnt="4" custScaleX="131131" custLinFactNeighborX="1261" custLinFactNeighborY="-4015">
        <dgm:presLayoutVars>
          <dgm:chPref val="3"/>
        </dgm:presLayoutVars>
      </dgm:prSet>
      <dgm:spPr/>
    </dgm:pt>
    <dgm:pt modelId="{982B9296-96ED-4B90-8B36-D3D388BC5CA8}" type="pres">
      <dgm:prSet presAssocID="{85E1709E-DA6D-45EC-B648-EC257895BF44}" presName="level3hierChild" presStyleCnt="0"/>
      <dgm:spPr/>
    </dgm:pt>
    <dgm:pt modelId="{4A467701-E934-4649-9470-5D07C3BD254C}" type="pres">
      <dgm:prSet presAssocID="{2A1F63F0-C636-4F57-B4E6-CA054F6C4F57}" presName="conn2-1" presStyleLbl="parChTrans1D3" presStyleIdx="2" presStyleCnt="4"/>
      <dgm:spPr/>
    </dgm:pt>
    <dgm:pt modelId="{BE6C6BAC-1884-4FD3-870A-72C549748F36}" type="pres">
      <dgm:prSet presAssocID="{2A1F63F0-C636-4F57-B4E6-CA054F6C4F57}" presName="connTx" presStyleLbl="parChTrans1D3" presStyleIdx="2" presStyleCnt="4"/>
      <dgm:spPr/>
    </dgm:pt>
    <dgm:pt modelId="{287228B9-8506-41D2-B9A4-92CB51148CCC}" type="pres">
      <dgm:prSet presAssocID="{B2467DD9-75D3-496E-87CD-A4914DE96600}" presName="root2" presStyleCnt="0"/>
      <dgm:spPr/>
    </dgm:pt>
    <dgm:pt modelId="{ABF889EF-BEA4-4987-B43D-376878C2CEF6}" type="pres">
      <dgm:prSet presAssocID="{B2467DD9-75D3-496E-87CD-A4914DE96600}" presName="LevelTwoTextNode" presStyleLbl="node3" presStyleIdx="2" presStyleCnt="4" custScaleX="117666">
        <dgm:presLayoutVars>
          <dgm:chPref val="3"/>
        </dgm:presLayoutVars>
      </dgm:prSet>
      <dgm:spPr/>
    </dgm:pt>
    <dgm:pt modelId="{6C2E3E9E-B0D1-4B92-811A-90F94A5BBFC6}" type="pres">
      <dgm:prSet presAssocID="{B2467DD9-75D3-496E-87CD-A4914DE96600}" presName="level3hierChild" presStyleCnt="0"/>
      <dgm:spPr/>
    </dgm:pt>
    <dgm:pt modelId="{3FDBB804-2E03-4AD2-A54B-49E3B6DFC95F}" type="pres">
      <dgm:prSet presAssocID="{66822636-54DD-4E2C-AC6C-A3CBDBDBB3F1}" presName="conn2-1" presStyleLbl="parChTrans1D2" presStyleIdx="2" presStyleCnt="5"/>
      <dgm:spPr/>
    </dgm:pt>
    <dgm:pt modelId="{DCAD9C88-8088-4D94-BD49-31B62AFBBBA4}" type="pres">
      <dgm:prSet presAssocID="{66822636-54DD-4E2C-AC6C-A3CBDBDBB3F1}" presName="connTx" presStyleLbl="parChTrans1D2" presStyleIdx="2" presStyleCnt="5"/>
      <dgm:spPr/>
    </dgm:pt>
    <dgm:pt modelId="{37BB96AE-4B5F-477D-9A0A-312ED982F41D}" type="pres">
      <dgm:prSet presAssocID="{B6FA9FDB-02AE-4A2F-9660-2DCBD3D7777E}" presName="root2" presStyleCnt="0"/>
      <dgm:spPr/>
    </dgm:pt>
    <dgm:pt modelId="{A70F2AFC-87A5-47B8-BE91-0B395C739814}" type="pres">
      <dgm:prSet presAssocID="{B6FA9FDB-02AE-4A2F-9660-2DCBD3D7777E}" presName="LevelTwoTextNode" presStyleLbl="node2" presStyleIdx="2" presStyleCnt="5" custScaleX="129870">
        <dgm:presLayoutVars>
          <dgm:chPref val="3"/>
        </dgm:presLayoutVars>
      </dgm:prSet>
      <dgm:spPr/>
    </dgm:pt>
    <dgm:pt modelId="{8F183F01-CEC3-4F9C-B8BA-C1F3FB7A7CEC}" type="pres">
      <dgm:prSet presAssocID="{B6FA9FDB-02AE-4A2F-9660-2DCBD3D7777E}" presName="level3hierChild" presStyleCnt="0"/>
      <dgm:spPr/>
    </dgm:pt>
    <dgm:pt modelId="{BFA789F1-F774-4D2D-A0CC-09557A4994D4}" type="pres">
      <dgm:prSet presAssocID="{00869AF9-F3BA-485B-A6B5-E4983062EA4A}" presName="conn2-1" presStyleLbl="parChTrans1D2" presStyleIdx="3" presStyleCnt="5"/>
      <dgm:spPr/>
    </dgm:pt>
    <dgm:pt modelId="{C0F63C82-BF3A-4D45-8EF7-A47999EC20FB}" type="pres">
      <dgm:prSet presAssocID="{00869AF9-F3BA-485B-A6B5-E4983062EA4A}" presName="connTx" presStyleLbl="parChTrans1D2" presStyleIdx="3" presStyleCnt="5"/>
      <dgm:spPr/>
    </dgm:pt>
    <dgm:pt modelId="{7D1FF657-671A-41B6-94EA-66061243ABA2}" type="pres">
      <dgm:prSet presAssocID="{D36ACC2C-B70F-440B-A455-B9E2DC441F87}" presName="root2" presStyleCnt="0"/>
      <dgm:spPr/>
    </dgm:pt>
    <dgm:pt modelId="{4B1DEBC7-677F-4AFB-984D-6C216841FB69}" type="pres">
      <dgm:prSet presAssocID="{D36ACC2C-B70F-440B-A455-B9E2DC441F87}" presName="LevelTwoTextNode" presStyleLbl="node2" presStyleIdx="3" presStyleCnt="5" custScaleX="129870">
        <dgm:presLayoutVars>
          <dgm:chPref val="3"/>
        </dgm:presLayoutVars>
      </dgm:prSet>
      <dgm:spPr/>
    </dgm:pt>
    <dgm:pt modelId="{5E90E7BF-B41D-41E2-97E0-BE688F24308E}" type="pres">
      <dgm:prSet presAssocID="{D36ACC2C-B70F-440B-A455-B9E2DC441F87}" presName="level3hierChild" presStyleCnt="0"/>
      <dgm:spPr/>
    </dgm:pt>
    <dgm:pt modelId="{75B96B52-1B2D-4470-BDE9-E31039AFECBD}" type="pres">
      <dgm:prSet presAssocID="{2ED2A49F-F7C0-4190-A2F6-9001AAED438E}" presName="conn2-1" presStyleLbl="parChTrans1D2" presStyleIdx="4" presStyleCnt="5"/>
      <dgm:spPr/>
    </dgm:pt>
    <dgm:pt modelId="{97C7F3B8-4B0C-403E-A004-6789F6785968}" type="pres">
      <dgm:prSet presAssocID="{2ED2A49F-F7C0-4190-A2F6-9001AAED438E}" presName="connTx" presStyleLbl="parChTrans1D2" presStyleIdx="4" presStyleCnt="5"/>
      <dgm:spPr/>
    </dgm:pt>
    <dgm:pt modelId="{904E42C2-818B-49EE-999C-DB317E8149CD}" type="pres">
      <dgm:prSet presAssocID="{3C494137-A992-4DA1-B3D9-95C01690EB14}" presName="root2" presStyleCnt="0"/>
      <dgm:spPr/>
    </dgm:pt>
    <dgm:pt modelId="{F97BE648-6841-4D95-BB1B-660CC0037954}" type="pres">
      <dgm:prSet presAssocID="{3C494137-A992-4DA1-B3D9-95C01690EB14}" presName="LevelTwoTextNode" presStyleLbl="node2" presStyleIdx="4" presStyleCnt="5">
        <dgm:presLayoutVars>
          <dgm:chPref val="3"/>
        </dgm:presLayoutVars>
      </dgm:prSet>
      <dgm:spPr/>
    </dgm:pt>
    <dgm:pt modelId="{C5178E22-4CEF-422B-AF66-04D35D763D91}" type="pres">
      <dgm:prSet presAssocID="{3C494137-A992-4DA1-B3D9-95C01690EB14}" presName="level3hierChild" presStyleCnt="0"/>
      <dgm:spPr/>
    </dgm:pt>
    <dgm:pt modelId="{80F9DB56-3A46-47CB-AB3D-CB0BF9D6EF72}" type="pres">
      <dgm:prSet presAssocID="{2779F7F5-B89C-4FC0-B6BD-448D9BC88894}" presName="conn2-1" presStyleLbl="parChTrans1D3" presStyleIdx="3" presStyleCnt="4"/>
      <dgm:spPr/>
    </dgm:pt>
    <dgm:pt modelId="{904D9845-9B39-4D09-9968-DCDB3F401483}" type="pres">
      <dgm:prSet presAssocID="{2779F7F5-B89C-4FC0-B6BD-448D9BC88894}" presName="connTx" presStyleLbl="parChTrans1D3" presStyleIdx="3" presStyleCnt="4"/>
      <dgm:spPr/>
    </dgm:pt>
    <dgm:pt modelId="{61DEEDC4-E4BF-4600-BE26-AAA219F00749}" type="pres">
      <dgm:prSet presAssocID="{3772F5AD-3833-449E-87AC-F5EA0AC4A380}" presName="root2" presStyleCnt="0"/>
      <dgm:spPr/>
    </dgm:pt>
    <dgm:pt modelId="{EE3D378B-2E54-44A4-9AC6-DBBD71FFDD1A}" type="pres">
      <dgm:prSet presAssocID="{3772F5AD-3833-449E-87AC-F5EA0AC4A380}" presName="LevelTwoTextNode" presStyleLbl="node3" presStyleIdx="3" presStyleCnt="4">
        <dgm:presLayoutVars>
          <dgm:chPref val="3"/>
        </dgm:presLayoutVars>
      </dgm:prSet>
      <dgm:spPr/>
    </dgm:pt>
    <dgm:pt modelId="{2AED3C02-A0A2-4D9E-A2EF-0ACAFEAB74B7}" type="pres">
      <dgm:prSet presAssocID="{3772F5AD-3833-449E-87AC-F5EA0AC4A380}" presName="level3hierChild" presStyleCnt="0"/>
      <dgm:spPr/>
    </dgm:pt>
  </dgm:ptLst>
  <dgm:cxnLst>
    <dgm:cxn modelId="{8FE3B004-0377-451E-944D-5FD14C7AF342}" type="presOf" srcId="{2779F7F5-B89C-4FC0-B6BD-448D9BC88894}" destId="{80F9DB56-3A46-47CB-AB3D-CB0BF9D6EF72}" srcOrd="0" destOrd="0" presId="urn:microsoft.com/office/officeart/2008/layout/HorizontalMultiLevelHierarchy"/>
    <dgm:cxn modelId="{17C96505-71E5-4C01-A90A-491D09D671BD}" type="presOf" srcId="{3C494137-A992-4DA1-B3D9-95C01690EB14}" destId="{F97BE648-6841-4D95-BB1B-660CC0037954}" srcOrd="0" destOrd="0" presId="urn:microsoft.com/office/officeart/2008/layout/HorizontalMultiLevelHierarchy"/>
    <dgm:cxn modelId="{366EE706-7447-4C11-BF45-1B8DA4114749}" srcId="{4A0829D7-AB5C-488E-BD26-63CF9B8EEF9C}" destId="{85E1709E-DA6D-45EC-B648-EC257895BF44}" srcOrd="1" destOrd="0" parTransId="{3C6EF905-62AF-4321-BF7E-A034D97BD9C3}" sibTransId="{994A05D5-C7BC-4F64-B800-AB9F6D78ABF0}"/>
    <dgm:cxn modelId="{17293307-7206-4B21-AB82-3901D49A7A2C}" srcId="{4A0829D7-AB5C-488E-BD26-63CF9B8EEF9C}" destId="{CAB4EA01-FDE6-4EFC-8362-52E3C59EB38A}" srcOrd="0" destOrd="0" parTransId="{B2ED801C-4598-4A17-BF80-B51E3D64A5CA}" sibTransId="{7901355B-2FDD-45A0-9502-92737BBFA6B5}"/>
    <dgm:cxn modelId="{9BF3120B-CD21-4177-BDC6-817C9654DF3A}" type="presOf" srcId="{2EAC931F-8234-40AA-8351-099183369FCE}" destId="{B6F32971-9995-4A2B-8859-4E4BFFD23B9A}" srcOrd="0" destOrd="0" presId="urn:microsoft.com/office/officeart/2008/layout/HorizontalMultiLevelHierarchy"/>
    <dgm:cxn modelId="{797B461A-7A98-48B9-94A6-7B14C7DF5A1F}" srcId="{3661DDC8-68D7-4E11-A590-FAA1E8EC47DD}" destId="{3C494137-A992-4DA1-B3D9-95C01690EB14}" srcOrd="4" destOrd="0" parTransId="{2ED2A49F-F7C0-4190-A2F6-9001AAED438E}" sibTransId="{6638BB2B-A28B-4852-978A-0D8CE01EC39A}"/>
    <dgm:cxn modelId="{5D218D1C-F92F-42FA-A772-EE24E352992A}" type="presOf" srcId="{4A0829D7-AB5C-488E-BD26-63CF9B8EEF9C}" destId="{E7214C4E-CBC8-4175-B5C4-A4BBC8EBCAF2}" srcOrd="0" destOrd="0" presId="urn:microsoft.com/office/officeart/2008/layout/HorizontalMultiLevelHierarchy"/>
    <dgm:cxn modelId="{9F8A0821-B904-4F2A-A628-0960D6640126}" type="presOf" srcId="{66822636-54DD-4E2C-AC6C-A3CBDBDBB3F1}" destId="{3FDBB804-2E03-4AD2-A54B-49E3B6DFC95F}" srcOrd="0" destOrd="0" presId="urn:microsoft.com/office/officeart/2008/layout/HorizontalMultiLevelHierarchy"/>
    <dgm:cxn modelId="{686DA323-40C9-4939-87C7-FA72C3371F6C}" type="presOf" srcId="{2ED2A49F-F7C0-4190-A2F6-9001AAED438E}" destId="{97C7F3B8-4B0C-403E-A004-6789F6785968}" srcOrd="1" destOrd="0" presId="urn:microsoft.com/office/officeart/2008/layout/HorizontalMultiLevelHierarchy"/>
    <dgm:cxn modelId="{8E7B3C27-AC66-49C7-AFD8-205A44A88499}" type="presOf" srcId="{CAB4EA01-FDE6-4EFC-8362-52E3C59EB38A}" destId="{4A004B46-55C8-4365-B4DF-521B6FD83E82}" srcOrd="0" destOrd="0" presId="urn:microsoft.com/office/officeart/2008/layout/HorizontalMultiLevelHierarchy"/>
    <dgm:cxn modelId="{9C708533-D0FF-4EAE-9233-99EC7B276548}" type="presOf" srcId="{DD9945FE-36BC-488A-A3BC-AFA4AD2070F0}" destId="{2647D1D1-CBFF-42B8-8793-55A477EAB1C2}" srcOrd="1" destOrd="0" presId="urn:microsoft.com/office/officeart/2008/layout/HorizontalMultiLevelHierarchy"/>
    <dgm:cxn modelId="{5ACDB338-6B34-41BD-84D6-3EDA829AB687}" type="presOf" srcId="{B2467DD9-75D3-496E-87CD-A4914DE96600}" destId="{ABF889EF-BEA4-4987-B43D-376878C2CEF6}" srcOrd="0" destOrd="0" presId="urn:microsoft.com/office/officeart/2008/layout/HorizontalMultiLevelHierarchy"/>
    <dgm:cxn modelId="{6D60313B-2838-485B-91A5-2B39391CA46C}" type="presOf" srcId="{2ED2A49F-F7C0-4190-A2F6-9001AAED438E}" destId="{75B96B52-1B2D-4470-BDE9-E31039AFECBD}" srcOrd="0" destOrd="0" presId="urn:microsoft.com/office/officeart/2008/layout/HorizontalMultiLevelHierarchy"/>
    <dgm:cxn modelId="{0C84543E-7851-4DAA-AC7A-B9E7F4761E0A}" type="presOf" srcId="{66822636-54DD-4E2C-AC6C-A3CBDBDBB3F1}" destId="{DCAD9C88-8088-4D94-BD49-31B62AFBBBA4}" srcOrd="1" destOrd="0" presId="urn:microsoft.com/office/officeart/2008/layout/HorizontalMultiLevelHierarchy"/>
    <dgm:cxn modelId="{87C6C161-6B07-47F1-9AD0-E180386BD709}" type="presOf" srcId="{3772F5AD-3833-449E-87AC-F5EA0AC4A380}" destId="{EE3D378B-2E54-44A4-9AC6-DBBD71FFDD1A}" srcOrd="0" destOrd="0" presId="urn:microsoft.com/office/officeart/2008/layout/HorizontalMultiLevelHierarchy"/>
    <dgm:cxn modelId="{09C2E54C-B8AD-4041-A779-7D4C0E786106}" type="presOf" srcId="{2A1F63F0-C636-4F57-B4E6-CA054F6C4F57}" destId="{4A467701-E934-4649-9470-5D07C3BD254C}" srcOrd="0" destOrd="0" presId="urn:microsoft.com/office/officeart/2008/layout/HorizontalMultiLevelHierarchy"/>
    <dgm:cxn modelId="{3413A54E-DC20-4588-BC0C-89EE198D2261}" srcId="{4A0829D7-AB5C-488E-BD26-63CF9B8EEF9C}" destId="{B2467DD9-75D3-496E-87CD-A4914DE96600}" srcOrd="2" destOrd="0" parTransId="{2A1F63F0-C636-4F57-B4E6-CA054F6C4F57}" sibTransId="{977DDD96-9127-414E-8C3A-550C04CF647E}"/>
    <dgm:cxn modelId="{E55D2272-E55D-4FED-993B-C68C8AB9415F}" type="presOf" srcId="{3C6EF905-62AF-4321-BF7E-A034D97BD9C3}" destId="{747E405B-6580-46CF-9327-65BA9448E1B6}" srcOrd="1" destOrd="0" presId="urn:microsoft.com/office/officeart/2008/layout/HorizontalMultiLevelHierarchy"/>
    <dgm:cxn modelId="{C7826054-1EAD-4345-A14B-E3D816B762B2}" type="presOf" srcId="{2A1F63F0-C636-4F57-B4E6-CA054F6C4F57}" destId="{BE6C6BAC-1884-4FD3-870A-72C549748F36}" srcOrd="1" destOrd="0" presId="urn:microsoft.com/office/officeart/2008/layout/HorizontalMultiLevelHierarchy"/>
    <dgm:cxn modelId="{2A5C4475-766F-4C9E-A6CD-C35E165A5825}" type="presOf" srcId="{7C83DBE0-D955-40DB-9E94-D16500970D8C}" destId="{88A5FCA2-3471-4D30-9C26-8666C7317234}" srcOrd="1" destOrd="0" presId="urn:microsoft.com/office/officeart/2008/layout/HorizontalMultiLevelHierarchy"/>
    <dgm:cxn modelId="{FC170C78-62D9-4636-AE88-7178BAB6613C}" type="presOf" srcId="{DD9945FE-36BC-488A-A3BC-AFA4AD2070F0}" destId="{0DBA332D-454B-4841-B91C-65EDDA58C03C}" srcOrd="0" destOrd="0" presId="urn:microsoft.com/office/officeart/2008/layout/HorizontalMultiLevelHierarchy"/>
    <dgm:cxn modelId="{EC81AC7E-6018-48B2-A80D-D310F28C72AE}" type="presOf" srcId="{B2ED801C-4598-4A17-BF80-B51E3D64A5CA}" destId="{3B2C212C-81B1-4D00-A4FF-B4A94A1F11B3}" srcOrd="1" destOrd="0" presId="urn:microsoft.com/office/officeart/2008/layout/HorizontalMultiLevelHierarchy"/>
    <dgm:cxn modelId="{F76BAE83-93AD-46BE-9666-1C6412E725B8}" type="presOf" srcId="{2779F7F5-B89C-4FC0-B6BD-448D9BC88894}" destId="{904D9845-9B39-4D09-9968-DCDB3F401483}" srcOrd="1" destOrd="0" presId="urn:microsoft.com/office/officeart/2008/layout/HorizontalMultiLevelHierarchy"/>
    <dgm:cxn modelId="{3648C084-E654-416B-803B-603E70D25F2A}" srcId="{3C494137-A992-4DA1-B3D9-95C01690EB14}" destId="{3772F5AD-3833-449E-87AC-F5EA0AC4A380}" srcOrd="0" destOrd="0" parTransId="{2779F7F5-B89C-4FC0-B6BD-448D9BC88894}" sibTransId="{AC5BABBD-755B-443B-B385-5087DAE0203A}"/>
    <dgm:cxn modelId="{6E42D984-B76F-4687-A219-214ED1B98ED4}" srcId="{3661DDC8-68D7-4E11-A590-FAA1E8EC47DD}" destId="{B6FA9FDB-02AE-4A2F-9660-2DCBD3D7777E}" srcOrd="2" destOrd="0" parTransId="{66822636-54DD-4E2C-AC6C-A3CBDBDBB3F1}" sibTransId="{FF7E041D-2DBA-415F-824F-58D335B98F15}"/>
    <dgm:cxn modelId="{479B1488-1B5F-4336-9E9F-669B7786BEA5}" srcId="{3661DDC8-68D7-4E11-A590-FAA1E8EC47DD}" destId="{4A0829D7-AB5C-488E-BD26-63CF9B8EEF9C}" srcOrd="1" destOrd="0" parTransId="{7C83DBE0-D955-40DB-9E94-D16500970D8C}" sibTransId="{E4770F7E-279E-4BCC-A475-AA9D2DD0E12E}"/>
    <dgm:cxn modelId="{BA714C8B-8DAD-4491-AB6A-EEFAD44FA1D2}" type="presOf" srcId="{00869AF9-F3BA-485B-A6B5-E4983062EA4A}" destId="{BFA789F1-F774-4D2D-A0CC-09557A4994D4}" srcOrd="0" destOrd="0" presId="urn:microsoft.com/office/officeart/2008/layout/HorizontalMultiLevelHierarchy"/>
    <dgm:cxn modelId="{AF3B7E96-63D1-411F-92DF-F85DB104CF12}" type="presOf" srcId="{85E1709E-DA6D-45EC-B648-EC257895BF44}" destId="{15C2B39E-5472-44DF-BE3F-7B13CE99327B}" srcOrd="0" destOrd="0" presId="urn:microsoft.com/office/officeart/2008/layout/HorizontalMultiLevelHierarchy"/>
    <dgm:cxn modelId="{D199EA9B-3FFC-4F93-A6DA-C770D4D8F6EB}" type="presOf" srcId="{3661DDC8-68D7-4E11-A590-FAA1E8EC47DD}" destId="{03DB2A01-8F44-4EBA-8FD0-DB23560545A4}" srcOrd="0" destOrd="0" presId="urn:microsoft.com/office/officeart/2008/layout/HorizontalMultiLevelHierarchy"/>
    <dgm:cxn modelId="{CF8370B1-8830-4201-92FE-F6010B50F8AB}" type="presOf" srcId="{2611404B-DF66-4A82-867D-C317B1904AE6}" destId="{F6A382D7-B618-494F-8342-3B348D33136C}" srcOrd="0" destOrd="0" presId="urn:microsoft.com/office/officeart/2008/layout/HorizontalMultiLevelHierarchy"/>
    <dgm:cxn modelId="{692B40BD-F085-45F7-8A4E-9772C15D1D1E}" type="presOf" srcId="{B6FA9FDB-02AE-4A2F-9660-2DCBD3D7777E}" destId="{A70F2AFC-87A5-47B8-BE91-0B395C739814}" srcOrd="0" destOrd="0" presId="urn:microsoft.com/office/officeart/2008/layout/HorizontalMultiLevelHierarchy"/>
    <dgm:cxn modelId="{92EC54C5-5BE8-43F1-90C1-4BE6A45193E3}" type="presOf" srcId="{B2ED801C-4598-4A17-BF80-B51E3D64A5CA}" destId="{954D78D7-388F-4910-8C0A-354BC90F4EAA}" srcOrd="0" destOrd="0" presId="urn:microsoft.com/office/officeart/2008/layout/HorizontalMultiLevelHierarchy"/>
    <dgm:cxn modelId="{1A9E58C9-D57A-4669-96FC-9ED35663CAB0}" type="presOf" srcId="{00869AF9-F3BA-485B-A6B5-E4983062EA4A}" destId="{C0F63C82-BF3A-4D45-8EF7-A47999EC20FB}" srcOrd="1" destOrd="0" presId="urn:microsoft.com/office/officeart/2008/layout/HorizontalMultiLevelHierarchy"/>
    <dgm:cxn modelId="{010A97D8-73EF-4E6C-91CA-3104879EE9DE}" srcId="{3661DDC8-68D7-4E11-A590-FAA1E8EC47DD}" destId="{2EAC931F-8234-40AA-8351-099183369FCE}" srcOrd="0" destOrd="0" parTransId="{DD9945FE-36BC-488A-A3BC-AFA4AD2070F0}" sibTransId="{35672544-9FB1-4113-91EE-9D41ED0F7F32}"/>
    <dgm:cxn modelId="{7DF915E3-6D97-4753-BBFE-338AF23B58E0}" srcId="{3661DDC8-68D7-4E11-A590-FAA1E8EC47DD}" destId="{D36ACC2C-B70F-440B-A455-B9E2DC441F87}" srcOrd="3" destOrd="0" parTransId="{00869AF9-F3BA-485B-A6B5-E4983062EA4A}" sibTransId="{804FB0BF-A54B-4BAA-9E8D-E56133AEFECC}"/>
    <dgm:cxn modelId="{873F0FE4-CB6F-4F8B-8DBD-02B8FE48AE99}" type="presOf" srcId="{7C83DBE0-D955-40DB-9E94-D16500970D8C}" destId="{8BBCADE9-1430-4FA7-AC80-FF1F9022BA22}" srcOrd="0" destOrd="0" presId="urn:microsoft.com/office/officeart/2008/layout/HorizontalMultiLevelHierarchy"/>
    <dgm:cxn modelId="{B0D90AEA-7C0A-4FFA-B35B-483BDAB1D467}" type="presOf" srcId="{D36ACC2C-B70F-440B-A455-B9E2DC441F87}" destId="{4B1DEBC7-677F-4AFB-984D-6C216841FB69}" srcOrd="0" destOrd="0" presId="urn:microsoft.com/office/officeart/2008/layout/HorizontalMultiLevelHierarchy"/>
    <dgm:cxn modelId="{B149BEF6-1DFF-4058-97D6-8C3984DC7CAA}" srcId="{2611404B-DF66-4A82-867D-C317B1904AE6}" destId="{3661DDC8-68D7-4E11-A590-FAA1E8EC47DD}" srcOrd="0" destOrd="0" parTransId="{C43AF4E0-9142-4381-AA10-B7088D6DFB94}" sibTransId="{78D04A20-ED44-4857-8D11-CC781C2236E6}"/>
    <dgm:cxn modelId="{1E04AFF9-C06E-41A1-8EA2-5450ED744D73}" type="presOf" srcId="{3C6EF905-62AF-4321-BF7E-A034D97BD9C3}" destId="{049B4D84-9598-4AED-AB01-D114336097C7}" srcOrd="0" destOrd="0" presId="urn:microsoft.com/office/officeart/2008/layout/HorizontalMultiLevelHierarchy"/>
    <dgm:cxn modelId="{F27E405D-76A2-4FC8-924D-E16104CADC9A}" type="presParOf" srcId="{F6A382D7-B618-494F-8342-3B348D33136C}" destId="{8378E445-086E-4E01-921F-CB4C9D4AA6A7}" srcOrd="0" destOrd="0" presId="urn:microsoft.com/office/officeart/2008/layout/HorizontalMultiLevelHierarchy"/>
    <dgm:cxn modelId="{4A8731F5-EADB-4B92-89FF-610FCD9CAE16}" type="presParOf" srcId="{8378E445-086E-4E01-921F-CB4C9D4AA6A7}" destId="{03DB2A01-8F44-4EBA-8FD0-DB23560545A4}" srcOrd="0" destOrd="0" presId="urn:microsoft.com/office/officeart/2008/layout/HorizontalMultiLevelHierarchy"/>
    <dgm:cxn modelId="{5D099903-0DA4-433A-B452-404B2D9B9521}" type="presParOf" srcId="{8378E445-086E-4E01-921F-CB4C9D4AA6A7}" destId="{71169910-07F1-4DB6-8AB3-DBF4CDCD8E9A}" srcOrd="1" destOrd="0" presId="urn:microsoft.com/office/officeart/2008/layout/HorizontalMultiLevelHierarchy"/>
    <dgm:cxn modelId="{40D21B6B-22F6-43C2-BA65-84D4F6CE46FD}" type="presParOf" srcId="{71169910-07F1-4DB6-8AB3-DBF4CDCD8E9A}" destId="{0DBA332D-454B-4841-B91C-65EDDA58C03C}" srcOrd="0" destOrd="0" presId="urn:microsoft.com/office/officeart/2008/layout/HorizontalMultiLevelHierarchy"/>
    <dgm:cxn modelId="{96CD8614-8F05-427B-ADD2-A287FBC7F670}" type="presParOf" srcId="{0DBA332D-454B-4841-B91C-65EDDA58C03C}" destId="{2647D1D1-CBFF-42B8-8793-55A477EAB1C2}" srcOrd="0" destOrd="0" presId="urn:microsoft.com/office/officeart/2008/layout/HorizontalMultiLevelHierarchy"/>
    <dgm:cxn modelId="{E0FC6814-B4E6-4AD8-9137-09E8569F37B6}" type="presParOf" srcId="{71169910-07F1-4DB6-8AB3-DBF4CDCD8E9A}" destId="{735FD1B0-8D3B-4E4C-B711-AA625E8E4A7B}" srcOrd="1" destOrd="0" presId="urn:microsoft.com/office/officeart/2008/layout/HorizontalMultiLevelHierarchy"/>
    <dgm:cxn modelId="{75CCA888-BF83-46DB-A2B7-CF4292C2EC00}" type="presParOf" srcId="{735FD1B0-8D3B-4E4C-B711-AA625E8E4A7B}" destId="{B6F32971-9995-4A2B-8859-4E4BFFD23B9A}" srcOrd="0" destOrd="0" presId="urn:microsoft.com/office/officeart/2008/layout/HorizontalMultiLevelHierarchy"/>
    <dgm:cxn modelId="{6EBB3A24-08E1-4D96-8724-507CD0EE4EC7}" type="presParOf" srcId="{735FD1B0-8D3B-4E4C-B711-AA625E8E4A7B}" destId="{607D8B97-7839-40A3-BC76-E3E3C180A702}" srcOrd="1" destOrd="0" presId="urn:microsoft.com/office/officeart/2008/layout/HorizontalMultiLevelHierarchy"/>
    <dgm:cxn modelId="{0F5DE853-FC9D-476F-B17B-0F77D6CEFAD2}" type="presParOf" srcId="{71169910-07F1-4DB6-8AB3-DBF4CDCD8E9A}" destId="{8BBCADE9-1430-4FA7-AC80-FF1F9022BA22}" srcOrd="2" destOrd="0" presId="urn:microsoft.com/office/officeart/2008/layout/HorizontalMultiLevelHierarchy"/>
    <dgm:cxn modelId="{F373353F-206A-4DBF-AC78-E97C10033249}" type="presParOf" srcId="{8BBCADE9-1430-4FA7-AC80-FF1F9022BA22}" destId="{88A5FCA2-3471-4D30-9C26-8666C7317234}" srcOrd="0" destOrd="0" presId="urn:microsoft.com/office/officeart/2008/layout/HorizontalMultiLevelHierarchy"/>
    <dgm:cxn modelId="{1F6E2C70-18F1-40E5-8A53-2E34147A62A8}" type="presParOf" srcId="{71169910-07F1-4DB6-8AB3-DBF4CDCD8E9A}" destId="{B403444B-EE5F-497A-919A-D76F3246F6C1}" srcOrd="3" destOrd="0" presId="urn:microsoft.com/office/officeart/2008/layout/HorizontalMultiLevelHierarchy"/>
    <dgm:cxn modelId="{9131F46B-8D77-42DB-A905-04CED91BBED1}" type="presParOf" srcId="{B403444B-EE5F-497A-919A-D76F3246F6C1}" destId="{E7214C4E-CBC8-4175-B5C4-A4BBC8EBCAF2}" srcOrd="0" destOrd="0" presId="urn:microsoft.com/office/officeart/2008/layout/HorizontalMultiLevelHierarchy"/>
    <dgm:cxn modelId="{4355D926-685E-475D-B30D-B706A4FC6CDD}" type="presParOf" srcId="{B403444B-EE5F-497A-919A-D76F3246F6C1}" destId="{A74A7803-482D-407C-B364-EE47563B9E62}" srcOrd="1" destOrd="0" presId="urn:microsoft.com/office/officeart/2008/layout/HorizontalMultiLevelHierarchy"/>
    <dgm:cxn modelId="{F915C332-C164-4B7D-9A01-363A3FB71B92}" type="presParOf" srcId="{A74A7803-482D-407C-B364-EE47563B9E62}" destId="{954D78D7-388F-4910-8C0A-354BC90F4EAA}" srcOrd="0" destOrd="0" presId="urn:microsoft.com/office/officeart/2008/layout/HorizontalMultiLevelHierarchy"/>
    <dgm:cxn modelId="{FA7A5C0A-D388-4A26-8764-8BAD1F90BC30}" type="presParOf" srcId="{954D78D7-388F-4910-8C0A-354BC90F4EAA}" destId="{3B2C212C-81B1-4D00-A4FF-B4A94A1F11B3}" srcOrd="0" destOrd="0" presId="urn:microsoft.com/office/officeart/2008/layout/HorizontalMultiLevelHierarchy"/>
    <dgm:cxn modelId="{6E38DF87-F589-432D-A93E-EA579062A90C}" type="presParOf" srcId="{A74A7803-482D-407C-B364-EE47563B9E62}" destId="{1F69FD87-045B-4F55-9711-468C4B5D7F8F}" srcOrd="1" destOrd="0" presId="urn:microsoft.com/office/officeart/2008/layout/HorizontalMultiLevelHierarchy"/>
    <dgm:cxn modelId="{E5FD5553-13CD-46A4-B862-600DCA0584DD}" type="presParOf" srcId="{1F69FD87-045B-4F55-9711-468C4B5D7F8F}" destId="{4A004B46-55C8-4365-B4DF-521B6FD83E82}" srcOrd="0" destOrd="0" presId="urn:microsoft.com/office/officeart/2008/layout/HorizontalMultiLevelHierarchy"/>
    <dgm:cxn modelId="{A3926B26-C535-4AF6-B3E5-4811B5F039D4}" type="presParOf" srcId="{1F69FD87-045B-4F55-9711-468C4B5D7F8F}" destId="{0406D6D5-C377-4561-BFC5-1767E5C0602D}" srcOrd="1" destOrd="0" presId="urn:microsoft.com/office/officeart/2008/layout/HorizontalMultiLevelHierarchy"/>
    <dgm:cxn modelId="{F15A03CA-E228-4D88-BA1E-05BF9DF89E96}" type="presParOf" srcId="{A74A7803-482D-407C-B364-EE47563B9E62}" destId="{049B4D84-9598-4AED-AB01-D114336097C7}" srcOrd="2" destOrd="0" presId="urn:microsoft.com/office/officeart/2008/layout/HorizontalMultiLevelHierarchy"/>
    <dgm:cxn modelId="{3C9A2D7F-0356-4477-85CC-9B39493BE15F}" type="presParOf" srcId="{049B4D84-9598-4AED-AB01-D114336097C7}" destId="{747E405B-6580-46CF-9327-65BA9448E1B6}" srcOrd="0" destOrd="0" presId="urn:microsoft.com/office/officeart/2008/layout/HorizontalMultiLevelHierarchy"/>
    <dgm:cxn modelId="{59A0083D-689C-48A9-9F29-2FDBFBDEFD2F}" type="presParOf" srcId="{A74A7803-482D-407C-B364-EE47563B9E62}" destId="{D1AD395C-523E-4D36-9C51-8DC861B1E7E6}" srcOrd="3" destOrd="0" presId="urn:microsoft.com/office/officeart/2008/layout/HorizontalMultiLevelHierarchy"/>
    <dgm:cxn modelId="{02FACE0F-FE10-4C5F-8219-69330F82FFB4}" type="presParOf" srcId="{D1AD395C-523E-4D36-9C51-8DC861B1E7E6}" destId="{15C2B39E-5472-44DF-BE3F-7B13CE99327B}" srcOrd="0" destOrd="0" presId="urn:microsoft.com/office/officeart/2008/layout/HorizontalMultiLevelHierarchy"/>
    <dgm:cxn modelId="{867B8AC5-65A3-4BC7-8238-ECD3F3C4D626}" type="presParOf" srcId="{D1AD395C-523E-4D36-9C51-8DC861B1E7E6}" destId="{982B9296-96ED-4B90-8B36-D3D388BC5CA8}" srcOrd="1" destOrd="0" presId="urn:microsoft.com/office/officeart/2008/layout/HorizontalMultiLevelHierarchy"/>
    <dgm:cxn modelId="{CEB2C500-6264-4595-84D9-CD56C5069138}" type="presParOf" srcId="{A74A7803-482D-407C-B364-EE47563B9E62}" destId="{4A467701-E934-4649-9470-5D07C3BD254C}" srcOrd="4" destOrd="0" presId="urn:microsoft.com/office/officeart/2008/layout/HorizontalMultiLevelHierarchy"/>
    <dgm:cxn modelId="{D510C98E-A730-4F33-9A08-3CCF031B0207}" type="presParOf" srcId="{4A467701-E934-4649-9470-5D07C3BD254C}" destId="{BE6C6BAC-1884-4FD3-870A-72C549748F36}" srcOrd="0" destOrd="0" presId="urn:microsoft.com/office/officeart/2008/layout/HorizontalMultiLevelHierarchy"/>
    <dgm:cxn modelId="{CDD1F696-EAFC-4168-81D8-CD9DE9E8444D}" type="presParOf" srcId="{A74A7803-482D-407C-B364-EE47563B9E62}" destId="{287228B9-8506-41D2-B9A4-92CB51148CCC}" srcOrd="5" destOrd="0" presId="urn:microsoft.com/office/officeart/2008/layout/HorizontalMultiLevelHierarchy"/>
    <dgm:cxn modelId="{418F5AF2-ED97-497B-BADB-52323B74D06D}" type="presParOf" srcId="{287228B9-8506-41D2-B9A4-92CB51148CCC}" destId="{ABF889EF-BEA4-4987-B43D-376878C2CEF6}" srcOrd="0" destOrd="0" presId="urn:microsoft.com/office/officeart/2008/layout/HorizontalMultiLevelHierarchy"/>
    <dgm:cxn modelId="{59A70649-DA2D-4C39-8DFD-EBBC54DC0653}" type="presParOf" srcId="{287228B9-8506-41D2-B9A4-92CB51148CCC}" destId="{6C2E3E9E-B0D1-4B92-811A-90F94A5BBFC6}" srcOrd="1" destOrd="0" presId="urn:microsoft.com/office/officeart/2008/layout/HorizontalMultiLevelHierarchy"/>
    <dgm:cxn modelId="{113D5137-02CB-44B9-A42F-3AB20730230A}" type="presParOf" srcId="{71169910-07F1-4DB6-8AB3-DBF4CDCD8E9A}" destId="{3FDBB804-2E03-4AD2-A54B-49E3B6DFC95F}" srcOrd="4" destOrd="0" presId="urn:microsoft.com/office/officeart/2008/layout/HorizontalMultiLevelHierarchy"/>
    <dgm:cxn modelId="{438AF435-E0C5-4CF9-A26A-65A9948C3D37}" type="presParOf" srcId="{3FDBB804-2E03-4AD2-A54B-49E3B6DFC95F}" destId="{DCAD9C88-8088-4D94-BD49-31B62AFBBBA4}" srcOrd="0" destOrd="0" presId="urn:microsoft.com/office/officeart/2008/layout/HorizontalMultiLevelHierarchy"/>
    <dgm:cxn modelId="{08C1784D-EFD6-4135-9930-8E50A0E2CAF7}" type="presParOf" srcId="{71169910-07F1-4DB6-8AB3-DBF4CDCD8E9A}" destId="{37BB96AE-4B5F-477D-9A0A-312ED982F41D}" srcOrd="5" destOrd="0" presId="urn:microsoft.com/office/officeart/2008/layout/HorizontalMultiLevelHierarchy"/>
    <dgm:cxn modelId="{8FFF45EF-EA02-4269-95FC-0FA4177455BC}" type="presParOf" srcId="{37BB96AE-4B5F-477D-9A0A-312ED982F41D}" destId="{A70F2AFC-87A5-47B8-BE91-0B395C739814}" srcOrd="0" destOrd="0" presId="urn:microsoft.com/office/officeart/2008/layout/HorizontalMultiLevelHierarchy"/>
    <dgm:cxn modelId="{97B51097-F366-4F8E-B56D-7F7D61AAE749}" type="presParOf" srcId="{37BB96AE-4B5F-477D-9A0A-312ED982F41D}" destId="{8F183F01-CEC3-4F9C-B8BA-C1F3FB7A7CEC}" srcOrd="1" destOrd="0" presId="urn:microsoft.com/office/officeart/2008/layout/HorizontalMultiLevelHierarchy"/>
    <dgm:cxn modelId="{14492752-7A72-44B9-9F9A-CBC9514D769C}" type="presParOf" srcId="{71169910-07F1-4DB6-8AB3-DBF4CDCD8E9A}" destId="{BFA789F1-F774-4D2D-A0CC-09557A4994D4}" srcOrd="6" destOrd="0" presId="urn:microsoft.com/office/officeart/2008/layout/HorizontalMultiLevelHierarchy"/>
    <dgm:cxn modelId="{3B6C4FBD-57F2-4F82-961E-0CDCAF373C31}" type="presParOf" srcId="{BFA789F1-F774-4D2D-A0CC-09557A4994D4}" destId="{C0F63C82-BF3A-4D45-8EF7-A47999EC20FB}" srcOrd="0" destOrd="0" presId="urn:microsoft.com/office/officeart/2008/layout/HorizontalMultiLevelHierarchy"/>
    <dgm:cxn modelId="{B47523A9-1C7F-48DA-9FE4-B3F775E9DE44}" type="presParOf" srcId="{71169910-07F1-4DB6-8AB3-DBF4CDCD8E9A}" destId="{7D1FF657-671A-41B6-94EA-66061243ABA2}" srcOrd="7" destOrd="0" presId="urn:microsoft.com/office/officeart/2008/layout/HorizontalMultiLevelHierarchy"/>
    <dgm:cxn modelId="{E2E42CED-FA9D-4005-85BA-530E90663F20}" type="presParOf" srcId="{7D1FF657-671A-41B6-94EA-66061243ABA2}" destId="{4B1DEBC7-677F-4AFB-984D-6C216841FB69}" srcOrd="0" destOrd="0" presId="urn:microsoft.com/office/officeart/2008/layout/HorizontalMultiLevelHierarchy"/>
    <dgm:cxn modelId="{8BE07105-E7E4-4D05-961D-98030430B6FC}" type="presParOf" srcId="{7D1FF657-671A-41B6-94EA-66061243ABA2}" destId="{5E90E7BF-B41D-41E2-97E0-BE688F24308E}" srcOrd="1" destOrd="0" presId="urn:microsoft.com/office/officeart/2008/layout/HorizontalMultiLevelHierarchy"/>
    <dgm:cxn modelId="{1BEAEC46-63E2-4A7C-A150-AA6B267D6B69}" type="presParOf" srcId="{71169910-07F1-4DB6-8AB3-DBF4CDCD8E9A}" destId="{75B96B52-1B2D-4470-BDE9-E31039AFECBD}" srcOrd="8" destOrd="0" presId="urn:microsoft.com/office/officeart/2008/layout/HorizontalMultiLevelHierarchy"/>
    <dgm:cxn modelId="{6E543EBE-D974-4452-9502-B6606B78BBA6}" type="presParOf" srcId="{75B96B52-1B2D-4470-BDE9-E31039AFECBD}" destId="{97C7F3B8-4B0C-403E-A004-6789F6785968}" srcOrd="0" destOrd="0" presId="urn:microsoft.com/office/officeart/2008/layout/HorizontalMultiLevelHierarchy"/>
    <dgm:cxn modelId="{14C8FE27-BA1A-4BB4-81EC-CF85139F60E9}" type="presParOf" srcId="{71169910-07F1-4DB6-8AB3-DBF4CDCD8E9A}" destId="{904E42C2-818B-49EE-999C-DB317E8149CD}" srcOrd="9" destOrd="0" presId="urn:microsoft.com/office/officeart/2008/layout/HorizontalMultiLevelHierarchy"/>
    <dgm:cxn modelId="{F066C5E5-5016-4792-A6D8-21294ED7E97D}" type="presParOf" srcId="{904E42C2-818B-49EE-999C-DB317E8149CD}" destId="{F97BE648-6841-4D95-BB1B-660CC0037954}" srcOrd="0" destOrd="0" presId="urn:microsoft.com/office/officeart/2008/layout/HorizontalMultiLevelHierarchy"/>
    <dgm:cxn modelId="{06293870-8BE0-4795-B89D-5CE4E55C36A8}" type="presParOf" srcId="{904E42C2-818B-49EE-999C-DB317E8149CD}" destId="{C5178E22-4CEF-422B-AF66-04D35D763D91}" srcOrd="1" destOrd="0" presId="urn:microsoft.com/office/officeart/2008/layout/HorizontalMultiLevelHierarchy"/>
    <dgm:cxn modelId="{B608A7B9-A214-419B-9666-41CA6B56FE2F}" type="presParOf" srcId="{C5178E22-4CEF-422B-AF66-04D35D763D91}" destId="{80F9DB56-3A46-47CB-AB3D-CB0BF9D6EF72}" srcOrd="0" destOrd="0" presId="urn:microsoft.com/office/officeart/2008/layout/HorizontalMultiLevelHierarchy"/>
    <dgm:cxn modelId="{EDEE1D69-AB49-433C-A20C-95DB1A96089C}" type="presParOf" srcId="{80F9DB56-3A46-47CB-AB3D-CB0BF9D6EF72}" destId="{904D9845-9B39-4D09-9968-DCDB3F401483}" srcOrd="0" destOrd="0" presId="urn:microsoft.com/office/officeart/2008/layout/HorizontalMultiLevelHierarchy"/>
    <dgm:cxn modelId="{B5A8BF4B-3A60-468A-ADBA-E570E9449A8D}" type="presParOf" srcId="{C5178E22-4CEF-422B-AF66-04D35D763D91}" destId="{61DEEDC4-E4BF-4600-BE26-AAA219F00749}" srcOrd="1" destOrd="0" presId="urn:microsoft.com/office/officeart/2008/layout/HorizontalMultiLevelHierarchy"/>
    <dgm:cxn modelId="{30E877E4-EA7D-44A5-9E69-95D7948A6A15}" type="presParOf" srcId="{61DEEDC4-E4BF-4600-BE26-AAA219F00749}" destId="{EE3D378B-2E54-44A4-9AC6-DBBD71FFDD1A}" srcOrd="0" destOrd="0" presId="urn:microsoft.com/office/officeart/2008/layout/HorizontalMultiLevelHierarchy"/>
    <dgm:cxn modelId="{6572D203-25E8-4CB1-B4E6-1301FC468CD8}" type="presParOf" srcId="{61DEEDC4-E4BF-4600-BE26-AAA219F00749}" destId="{2AED3C02-A0A2-4D9E-A2EF-0ACAFEAB74B7}" srcOrd="1" destOrd="0" presId="urn:microsoft.com/office/officeart/2008/layout/HorizontalMultiLevelHierarchy"/>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F9DB56-3A46-47CB-AB3D-CB0BF9D6EF72}">
      <dsp:nvSpPr>
        <dsp:cNvPr id="0" name=""/>
        <dsp:cNvSpPr/>
      </dsp:nvSpPr>
      <dsp:spPr>
        <a:xfrm>
          <a:off x="2438944" y="1583769"/>
          <a:ext cx="194221" cy="91440"/>
        </a:xfrm>
        <a:custGeom>
          <a:avLst/>
          <a:gdLst/>
          <a:ahLst/>
          <a:cxnLst/>
          <a:rect l="0" t="0" r="0" b="0"/>
          <a:pathLst>
            <a:path>
              <a:moveTo>
                <a:pt x="0" y="45720"/>
              </a:moveTo>
              <a:lnTo>
                <a:pt x="194221"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ES" sz="1000" kern="1200">
            <a:latin typeface="Arial" panose="020B0604020202020204" pitchFamily="34" charset="0"/>
            <a:cs typeface="Arial" panose="020B0604020202020204" pitchFamily="34" charset="0"/>
          </a:endParaRPr>
        </a:p>
      </dsp:txBody>
      <dsp:txXfrm>
        <a:off x="2531199" y="1624633"/>
        <a:ext cx="9711" cy="9711"/>
      </dsp:txXfrm>
    </dsp:sp>
    <dsp:sp modelId="{75B96B52-1B2D-4470-BDE9-E31039AFECBD}">
      <dsp:nvSpPr>
        <dsp:cNvPr id="0" name=""/>
        <dsp:cNvSpPr/>
      </dsp:nvSpPr>
      <dsp:spPr>
        <a:xfrm>
          <a:off x="1273617" y="889317"/>
          <a:ext cx="194221" cy="740171"/>
        </a:xfrm>
        <a:custGeom>
          <a:avLst/>
          <a:gdLst/>
          <a:ahLst/>
          <a:cxnLst/>
          <a:rect l="0" t="0" r="0" b="0"/>
          <a:pathLst>
            <a:path>
              <a:moveTo>
                <a:pt x="0" y="0"/>
              </a:moveTo>
              <a:lnTo>
                <a:pt x="97110" y="0"/>
              </a:lnTo>
              <a:lnTo>
                <a:pt x="97110" y="740171"/>
              </a:lnTo>
              <a:lnTo>
                <a:pt x="194221" y="7401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ES" sz="1000" kern="1200">
            <a:latin typeface="Arial" panose="020B0604020202020204" pitchFamily="34" charset="0"/>
            <a:cs typeface="Arial" panose="020B0604020202020204" pitchFamily="34" charset="0"/>
          </a:endParaRPr>
        </a:p>
      </dsp:txBody>
      <dsp:txXfrm>
        <a:off x="1351597" y="1240272"/>
        <a:ext cx="38261" cy="38261"/>
      </dsp:txXfrm>
    </dsp:sp>
    <dsp:sp modelId="{BFA789F1-F774-4D2D-A0CC-09557A4994D4}">
      <dsp:nvSpPr>
        <dsp:cNvPr id="0" name=""/>
        <dsp:cNvSpPr/>
      </dsp:nvSpPr>
      <dsp:spPr>
        <a:xfrm>
          <a:off x="1273617" y="889317"/>
          <a:ext cx="194221" cy="370085"/>
        </a:xfrm>
        <a:custGeom>
          <a:avLst/>
          <a:gdLst/>
          <a:ahLst/>
          <a:cxnLst/>
          <a:rect l="0" t="0" r="0" b="0"/>
          <a:pathLst>
            <a:path>
              <a:moveTo>
                <a:pt x="0" y="0"/>
              </a:moveTo>
              <a:lnTo>
                <a:pt x="97110" y="0"/>
              </a:lnTo>
              <a:lnTo>
                <a:pt x="97110" y="370085"/>
              </a:lnTo>
              <a:lnTo>
                <a:pt x="194221" y="3700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Arial" panose="020B0604020202020204" pitchFamily="34" charset="0"/>
            <a:cs typeface="Arial" panose="020B0604020202020204" pitchFamily="34" charset="0"/>
          </a:endParaRPr>
        </a:p>
      </dsp:txBody>
      <dsp:txXfrm>
        <a:off x="1360279" y="1063911"/>
        <a:ext cx="20897" cy="20897"/>
      </dsp:txXfrm>
    </dsp:sp>
    <dsp:sp modelId="{3FDBB804-2E03-4AD2-A54B-49E3B6DFC95F}">
      <dsp:nvSpPr>
        <dsp:cNvPr id="0" name=""/>
        <dsp:cNvSpPr/>
      </dsp:nvSpPr>
      <dsp:spPr>
        <a:xfrm>
          <a:off x="1273617" y="843597"/>
          <a:ext cx="194221" cy="91440"/>
        </a:xfrm>
        <a:custGeom>
          <a:avLst/>
          <a:gdLst/>
          <a:ahLst/>
          <a:cxnLst/>
          <a:rect l="0" t="0" r="0" b="0"/>
          <a:pathLst>
            <a:path>
              <a:moveTo>
                <a:pt x="0" y="45720"/>
              </a:moveTo>
              <a:lnTo>
                <a:pt x="194221"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Arial" panose="020B0604020202020204" pitchFamily="34" charset="0"/>
            <a:cs typeface="Arial" panose="020B0604020202020204" pitchFamily="34" charset="0"/>
          </a:endParaRPr>
        </a:p>
      </dsp:txBody>
      <dsp:txXfrm>
        <a:off x="1365872" y="884461"/>
        <a:ext cx="9711" cy="9711"/>
      </dsp:txXfrm>
    </dsp:sp>
    <dsp:sp modelId="{4A467701-E934-4649-9470-5D07C3BD254C}">
      <dsp:nvSpPr>
        <dsp:cNvPr id="0" name=""/>
        <dsp:cNvSpPr/>
      </dsp:nvSpPr>
      <dsp:spPr>
        <a:xfrm>
          <a:off x="2729013" y="519231"/>
          <a:ext cx="194221" cy="370085"/>
        </a:xfrm>
        <a:custGeom>
          <a:avLst/>
          <a:gdLst/>
          <a:ahLst/>
          <a:cxnLst/>
          <a:rect l="0" t="0" r="0" b="0"/>
          <a:pathLst>
            <a:path>
              <a:moveTo>
                <a:pt x="0" y="0"/>
              </a:moveTo>
              <a:lnTo>
                <a:pt x="97110" y="0"/>
              </a:lnTo>
              <a:lnTo>
                <a:pt x="97110" y="370085"/>
              </a:lnTo>
              <a:lnTo>
                <a:pt x="194221" y="3700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Arial" panose="020B0604020202020204" pitchFamily="34" charset="0"/>
            <a:cs typeface="Arial" panose="020B0604020202020204" pitchFamily="34" charset="0"/>
          </a:endParaRPr>
        </a:p>
      </dsp:txBody>
      <dsp:txXfrm>
        <a:off x="2815674" y="693825"/>
        <a:ext cx="20897" cy="20897"/>
      </dsp:txXfrm>
    </dsp:sp>
    <dsp:sp modelId="{049B4D84-9598-4AED-AB01-D114336097C7}">
      <dsp:nvSpPr>
        <dsp:cNvPr id="0" name=""/>
        <dsp:cNvSpPr/>
      </dsp:nvSpPr>
      <dsp:spPr>
        <a:xfrm>
          <a:off x="2729013" y="461624"/>
          <a:ext cx="206466" cy="91440"/>
        </a:xfrm>
        <a:custGeom>
          <a:avLst/>
          <a:gdLst/>
          <a:ahLst/>
          <a:cxnLst/>
          <a:rect l="0" t="0" r="0" b="0"/>
          <a:pathLst>
            <a:path>
              <a:moveTo>
                <a:pt x="0" y="57607"/>
              </a:moveTo>
              <a:lnTo>
                <a:pt x="103233" y="57607"/>
              </a:lnTo>
              <a:lnTo>
                <a:pt x="103233" y="45720"/>
              </a:lnTo>
              <a:lnTo>
                <a:pt x="206466"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Arial" panose="020B0604020202020204" pitchFamily="34" charset="0"/>
            <a:cs typeface="Arial" panose="020B0604020202020204" pitchFamily="34" charset="0"/>
          </a:endParaRPr>
        </a:p>
      </dsp:txBody>
      <dsp:txXfrm>
        <a:off x="2827076" y="502174"/>
        <a:ext cx="10340" cy="10340"/>
      </dsp:txXfrm>
    </dsp:sp>
    <dsp:sp modelId="{954D78D7-388F-4910-8C0A-354BC90F4EAA}">
      <dsp:nvSpPr>
        <dsp:cNvPr id="0" name=""/>
        <dsp:cNvSpPr/>
      </dsp:nvSpPr>
      <dsp:spPr>
        <a:xfrm>
          <a:off x="2729013" y="149145"/>
          <a:ext cx="194221" cy="370085"/>
        </a:xfrm>
        <a:custGeom>
          <a:avLst/>
          <a:gdLst/>
          <a:ahLst/>
          <a:cxnLst/>
          <a:rect l="0" t="0" r="0" b="0"/>
          <a:pathLst>
            <a:path>
              <a:moveTo>
                <a:pt x="0" y="370085"/>
              </a:moveTo>
              <a:lnTo>
                <a:pt x="97110" y="370085"/>
              </a:lnTo>
              <a:lnTo>
                <a:pt x="97110" y="0"/>
              </a:lnTo>
              <a:lnTo>
                <a:pt x="194221"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Arial" panose="020B0604020202020204" pitchFamily="34" charset="0"/>
            <a:cs typeface="Arial" panose="020B0604020202020204" pitchFamily="34" charset="0"/>
          </a:endParaRPr>
        </a:p>
      </dsp:txBody>
      <dsp:txXfrm>
        <a:off x="2815674" y="323739"/>
        <a:ext cx="20897" cy="20897"/>
      </dsp:txXfrm>
    </dsp:sp>
    <dsp:sp modelId="{8BBCADE9-1430-4FA7-AC80-FF1F9022BA22}">
      <dsp:nvSpPr>
        <dsp:cNvPr id="0" name=""/>
        <dsp:cNvSpPr/>
      </dsp:nvSpPr>
      <dsp:spPr>
        <a:xfrm>
          <a:off x="1273617" y="519231"/>
          <a:ext cx="194221" cy="370085"/>
        </a:xfrm>
        <a:custGeom>
          <a:avLst/>
          <a:gdLst/>
          <a:ahLst/>
          <a:cxnLst/>
          <a:rect l="0" t="0" r="0" b="0"/>
          <a:pathLst>
            <a:path>
              <a:moveTo>
                <a:pt x="0" y="370085"/>
              </a:moveTo>
              <a:lnTo>
                <a:pt x="97110" y="370085"/>
              </a:lnTo>
              <a:lnTo>
                <a:pt x="97110" y="0"/>
              </a:lnTo>
              <a:lnTo>
                <a:pt x="19422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EC" sz="1000" kern="1200">
            <a:latin typeface="Arial" panose="020B0604020202020204" pitchFamily="34" charset="0"/>
            <a:cs typeface="Arial" panose="020B0604020202020204" pitchFamily="34" charset="0"/>
          </a:endParaRPr>
        </a:p>
      </dsp:txBody>
      <dsp:txXfrm>
        <a:off x="1360279" y="693825"/>
        <a:ext cx="20897" cy="20897"/>
      </dsp:txXfrm>
    </dsp:sp>
    <dsp:sp modelId="{0DBA332D-454B-4841-B91C-65EDDA58C03C}">
      <dsp:nvSpPr>
        <dsp:cNvPr id="0" name=""/>
        <dsp:cNvSpPr/>
      </dsp:nvSpPr>
      <dsp:spPr>
        <a:xfrm>
          <a:off x="1273617" y="149145"/>
          <a:ext cx="194221" cy="740171"/>
        </a:xfrm>
        <a:custGeom>
          <a:avLst/>
          <a:gdLst/>
          <a:ahLst/>
          <a:cxnLst/>
          <a:rect l="0" t="0" r="0" b="0"/>
          <a:pathLst>
            <a:path>
              <a:moveTo>
                <a:pt x="0" y="740171"/>
              </a:moveTo>
              <a:lnTo>
                <a:pt x="97110" y="740171"/>
              </a:lnTo>
              <a:lnTo>
                <a:pt x="97110" y="0"/>
              </a:lnTo>
              <a:lnTo>
                <a:pt x="19422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EC" sz="1000" kern="1200">
            <a:latin typeface="Arial" panose="020B0604020202020204" pitchFamily="34" charset="0"/>
            <a:cs typeface="Arial" panose="020B0604020202020204" pitchFamily="34" charset="0"/>
          </a:endParaRPr>
        </a:p>
      </dsp:txBody>
      <dsp:txXfrm>
        <a:off x="1351597" y="500100"/>
        <a:ext cx="38261" cy="38261"/>
      </dsp:txXfrm>
    </dsp:sp>
    <dsp:sp modelId="{03DB2A01-8F44-4EBA-8FD0-DB23560545A4}">
      <dsp:nvSpPr>
        <dsp:cNvPr id="0" name=""/>
        <dsp:cNvSpPr/>
      </dsp:nvSpPr>
      <dsp:spPr>
        <a:xfrm rot="16200000">
          <a:off x="248870" y="643698"/>
          <a:ext cx="1558256" cy="4912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20000"/>
            </a:lnSpc>
            <a:spcBef>
              <a:spcPct val="0"/>
            </a:spcBef>
            <a:spcAft>
              <a:spcPct val="35000"/>
            </a:spcAft>
            <a:buNone/>
          </a:pPr>
          <a:r>
            <a:rPr lang="es-ES" sz="1000" b="0" kern="1200" dirty="0">
              <a:latin typeface="Arial" panose="020B0604020202020204" pitchFamily="34" charset="0"/>
              <a:cs typeface="Arial" panose="020B0604020202020204" pitchFamily="34" charset="0"/>
            </a:rPr>
            <a:t>Diferentes</a:t>
          </a:r>
          <a:r>
            <a:rPr lang="es-US" sz="1000" b="0" kern="1200" dirty="0">
              <a:latin typeface="Arial" panose="020B0604020202020204" pitchFamily="34" charset="0"/>
              <a:cs typeface="Arial" panose="020B0604020202020204" pitchFamily="34" charset="0"/>
            </a:rPr>
            <a:t> tipos de incertidumbre </a:t>
          </a:r>
          <a:endParaRPr lang="es-EC" sz="1000" b="0" kern="1200" dirty="0">
            <a:latin typeface="Arial" panose="020B0604020202020204" pitchFamily="34" charset="0"/>
            <a:cs typeface="Arial" panose="020B0604020202020204" pitchFamily="34" charset="0"/>
          </a:endParaRPr>
        </a:p>
      </dsp:txBody>
      <dsp:txXfrm>
        <a:off x="248870" y="643698"/>
        <a:ext cx="1558256" cy="491237"/>
      </dsp:txXfrm>
    </dsp:sp>
    <dsp:sp modelId="{B6F32971-9995-4A2B-8859-4E4BFFD23B9A}">
      <dsp:nvSpPr>
        <dsp:cNvPr id="0" name=""/>
        <dsp:cNvSpPr/>
      </dsp:nvSpPr>
      <dsp:spPr>
        <a:xfrm>
          <a:off x="1467838" y="1111"/>
          <a:ext cx="1261174" cy="29606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C" sz="1000" kern="1200">
              <a:latin typeface="Arial" panose="020B0604020202020204" pitchFamily="34" charset="0"/>
              <a:cs typeface="Arial" panose="020B0604020202020204" pitchFamily="34" charset="0"/>
            </a:rPr>
            <a:t>Ambigüedad</a:t>
          </a:r>
          <a:endParaRPr lang="es-EC" sz="1000" kern="1200" dirty="0">
            <a:latin typeface="Arial" panose="020B0604020202020204" pitchFamily="34" charset="0"/>
            <a:cs typeface="Arial" panose="020B0604020202020204" pitchFamily="34" charset="0"/>
          </a:endParaRPr>
        </a:p>
      </dsp:txBody>
      <dsp:txXfrm>
        <a:off x="1467838" y="1111"/>
        <a:ext cx="1261174" cy="296068"/>
      </dsp:txXfrm>
    </dsp:sp>
    <dsp:sp modelId="{E7214C4E-CBC8-4175-B5C4-A4BBC8EBCAF2}">
      <dsp:nvSpPr>
        <dsp:cNvPr id="0" name=""/>
        <dsp:cNvSpPr/>
      </dsp:nvSpPr>
      <dsp:spPr>
        <a:xfrm>
          <a:off x="1467838" y="371197"/>
          <a:ext cx="1261174" cy="29606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C" sz="1000" kern="1200" dirty="0">
              <a:latin typeface="Arial" panose="020B0604020202020204" pitchFamily="34" charset="0"/>
              <a:cs typeface="Arial" panose="020B0604020202020204" pitchFamily="34" charset="0"/>
            </a:rPr>
            <a:t>Incertidumbre</a:t>
          </a:r>
        </a:p>
      </dsp:txBody>
      <dsp:txXfrm>
        <a:off x="1467838" y="371197"/>
        <a:ext cx="1261174" cy="296068"/>
      </dsp:txXfrm>
    </dsp:sp>
    <dsp:sp modelId="{4A004B46-55C8-4365-B4DF-521B6FD83E82}">
      <dsp:nvSpPr>
        <dsp:cNvPr id="0" name=""/>
        <dsp:cNvSpPr/>
      </dsp:nvSpPr>
      <dsp:spPr>
        <a:xfrm>
          <a:off x="2923234" y="1111"/>
          <a:ext cx="1142660" cy="29606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C" sz="1000" kern="1200" dirty="0">
              <a:latin typeface="Arial" panose="020B0604020202020204" pitchFamily="34" charset="0"/>
              <a:cs typeface="Arial" panose="020B0604020202020204" pitchFamily="34" charset="0"/>
            </a:rPr>
            <a:t>Veracidad</a:t>
          </a:r>
        </a:p>
      </dsp:txBody>
      <dsp:txXfrm>
        <a:off x="2923234" y="1111"/>
        <a:ext cx="1142660" cy="296068"/>
      </dsp:txXfrm>
    </dsp:sp>
    <dsp:sp modelId="{15C2B39E-5472-44DF-BE3F-7B13CE99327B}">
      <dsp:nvSpPr>
        <dsp:cNvPr id="0" name=""/>
        <dsp:cNvSpPr/>
      </dsp:nvSpPr>
      <dsp:spPr>
        <a:xfrm>
          <a:off x="2935479" y="359310"/>
          <a:ext cx="1273420" cy="29606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C" sz="1000" b="0" kern="1200" dirty="0">
              <a:latin typeface="Arial" panose="020B0604020202020204" pitchFamily="34" charset="0"/>
              <a:ea typeface="+mn-ea"/>
              <a:cs typeface="Arial" panose="020B0604020202020204" pitchFamily="34" charset="0"/>
            </a:rPr>
            <a:t>Dudoso (Indeterminado)</a:t>
          </a:r>
        </a:p>
      </dsp:txBody>
      <dsp:txXfrm>
        <a:off x="2935479" y="359310"/>
        <a:ext cx="1273420" cy="296068"/>
      </dsp:txXfrm>
    </dsp:sp>
    <dsp:sp modelId="{ABF889EF-BEA4-4987-B43D-376878C2CEF6}">
      <dsp:nvSpPr>
        <dsp:cNvPr id="0" name=""/>
        <dsp:cNvSpPr/>
      </dsp:nvSpPr>
      <dsp:spPr>
        <a:xfrm>
          <a:off x="2923234" y="741283"/>
          <a:ext cx="1142660" cy="29606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C" sz="1000" kern="1200" dirty="0">
              <a:latin typeface="Arial" panose="020B0604020202020204" pitchFamily="34" charset="0"/>
              <a:cs typeface="Arial" panose="020B0604020202020204" pitchFamily="34" charset="0"/>
            </a:rPr>
            <a:t>Falsedad o incierto</a:t>
          </a:r>
        </a:p>
      </dsp:txBody>
      <dsp:txXfrm>
        <a:off x="2923234" y="741283"/>
        <a:ext cx="1142660" cy="296068"/>
      </dsp:txXfrm>
    </dsp:sp>
    <dsp:sp modelId="{A70F2AFC-87A5-47B8-BE91-0B395C739814}">
      <dsp:nvSpPr>
        <dsp:cNvPr id="0" name=""/>
        <dsp:cNvSpPr/>
      </dsp:nvSpPr>
      <dsp:spPr>
        <a:xfrm>
          <a:off x="1467838" y="741283"/>
          <a:ext cx="1261174" cy="29606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C" sz="1000" kern="1200">
              <a:latin typeface="Arial" panose="020B0604020202020204" pitchFamily="34" charset="0"/>
              <a:cs typeface="Arial" panose="020B0604020202020204" pitchFamily="34" charset="0"/>
            </a:rPr>
            <a:t>Inconsistencia </a:t>
          </a:r>
          <a:endParaRPr lang="es-EC" sz="1000" kern="1200" dirty="0">
            <a:latin typeface="Arial" panose="020B0604020202020204" pitchFamily="34" charset="0"/>
            <a:cs typeface="Arial" panose="020B0604020202020204" pitchFamily="34" charset="0"/>
          </a:endParaRPr>
        </a:p>
      </dsp:txBody>
      <dsp:txXfrm>
        <a:off x="1467838" y="741283"/>
        <a:ext cx="1261174" cy="296068"/>
      </dsp:txXfrm>
    </dsp:sp>
    <dsp:sp modelId="{4B1DEBC7-677F-4AFB-984D-6C216841FB69}">
      <dsp:nvSpPr>
        <dsp:cNvPr id="0" name=""/>
        <dsp:cNvSpPr/>
      </dsp:nvSpPr>
      <dsp:spPr>
        <a:xfrm>
          <a:off x="1467838" y="1111369"/>
          <a:ext cx="1261174" cy="29606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C" sz="1000" kern="1200" dirty="0">
              <a:latin typeface="Arial" panose="020B0604020202020204" pitchFamily="34" charset="0"/>
              <a:cs typeface="Arial" panose="020B0604020202020204" pitchFamily="34" charset="0"/>
            </a:rPr>
            <a:t>Incompletitud</a:t>
          </a:r>
        </a:p>
      </dsp:txBody>
      <dsp:txXfrm>
        <a:off x="1467838" y="1111369"/>
        <a:ext cx="1261174" cy="296068"/>
      </dsp:txXfrm>
    </dsp:sp>
    <dsp:sp modelId="{F97BE648-6841-4D95-BB1B-660CC0037954}">
      <dsp:nvSpPr>
        <dsp:cNvPr id="0" name=""/>
        <dsp:cNvSpPr/>
      </dsp:nvSpPr>
      <dsp:spPr>
        <a:xfrm>
          <a:off x="1467838" y="1481454"/>
          <a:ext cx="971105" cy="29606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a:latin typeface="Arial" panose="020B0604020202020204" pitchFamily="34" charset="0"/>
              <a:cs typeface="Arial" panose="020B0604020202020204" pitchFamily="34" charset="0"/>
            </a:rPr>
            <a:t>Imprecisión</a:t>
          </a:r>
          <a:endParaRPr lang="es-EC" sz="1000" kern="1200" dirty="0">
            <a:latin typeface="Arial" panose="020B0604020202020204" pitchFamily="34" charset="0"/>
            <a:cs typeface="Arial" panose="020B0604020202020204" pitchFamily="34" charset="0"/>
          </a:endParaRPr>
        </a:p>
      </dsp:txBody>
      <dsp:txXfrm>
        <a:off x="1467838" y="1481454"/>
        <a:ext cx="971105" cy="296068"/>
      </dsp:txXfrm>
    </dsp:sp>
    <dsp:sp modelId="{EE3D378B-2E54-44A4-9AC6-DBBD71FFDD1A}">
      <dsp:nvSpPr>
        <dsp:cNvPr id="0" name=""/>
        <dsp:cNvSpPr/>
      </dsp:nvSpPr>
      <dsp:spPr>
        <a:xfrm>
          <a:off x="2633165" y="1481454"/>
          <a:ext cx="971105" cy="29606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C" sz="1000" kern="1200" dirty="0">
              <a:latin typeface="Arial" panose="020B0604020202020204" pitchFamily="34" charset="0"/>
              <a:cs typeface="Arial" panose="020B0604020202020204" pitchFamily="34" charset="0"/>
            </a:rPr>
            <a:t>Ruido</a:t>
          </a:r>
        </a:p>
      </dsp:txBody>
      <dsp:txXfrm>
        <a:off x="2633165" y="1481454"/>
        <a:ext cx="971105" cy="296068"/>
      </dsp:txXfrm>
    </dsp:sp>
  </dsp:spTree>
</dsp:drawing>
</file>

<file path=word/diagrams/layout14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4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Pro15</b:Tag>
    <b:SourceType>Report</b:SourceType>
    <b:Guid>{A2EE6814-AD72-409E-ADE6-C96B3EDA87ED}</b:Guid>
    <b:Author>
      <b:Author>
        <b:Corporate>Project Management Institute</b:Corporate>
      </b:Author>
    </b:Author>
    <b:Title>IBM: Keys to Building a Successful Enterprise Project Management Office, </b:Title>
    <b:Year>2015</b:Year>
    <b:Publisher>Project Management Institute, Inc. </b:Publisher>
    <b:City>New York</b:City>
    <b:ThesisType>White Papers, EEUU.</b:ThesisType>
    <b:RefOrder>1</b:RefOrder>
  </b:Source>
  <b:Source>
    <b:Tag>MarcadorDePosición7</b:Tag>
    <b:SourceType>Book</b:SourceType>
    <b:Guid>{1F692470-3C3B-44DF-A10F-D5B5A7F0ACAD}</b:Guid>
    <b:Title>A Guide to the Project Management Body of Knowledge (PMBOK® Guide)</b:Title>
    <b:Year>2013</b:Year>
    <b:Author>
      <b:Author>
        <b:Corporate>Project Management Institute</b:Corporate>
      </b:Author>
    </b:Author>
    <b:City>Estados Unidos de América</b:City>
    <b:Publisher>Project Management Institute</b:Publisher>
    <b:Volume>5 Edition</b:Volume>
    <b:RefOrder>2</b:RefOrder>
  </b:Source>
  <b:Source>
    <b:Tag>Amo12</b:Tag>
    <b:SourceType>JournalArticle</b:SourceType>
    <b:Guid>{A9457996-2F10-49A6-8D09-F61CD48C7B07}</b:Guid>
    <b:Author>
      <b:Author>
        <b:NameList>
          <b:Person>
            <b:Last>Amoui</b:Last>
            <b:First>M.</b:First>
          </b:Person>
          <b:Person>
            <b:Last>Derakhshanmanesh</b:Last>
            <b:First>M.</b:First>
          </b:Person>
          <b:Person>
            <b:Last>Ebert</b:Last>
            <b:First>J.</b:First>
          </b:Person>
        </b:NameList>
      </b:Author>
    </b:Author>
    <b:Title>Achieving dynamic adaptation via management and interpretation of runtime, models.</b:Title>
    <b:Year>2012</b:Year>
    <b:Publisher>Journal of Systems and Software</b:Publisher>
    <b:Volume>85</b:Volume>
    <b:Issue>2720– 2737</b:Issue>
    <b:RefOrder>3</b:RefOrder>
  </b:Source>
  <b:Source>
    <b:Tag>MarcadorDePosición1</b:Tag>
    <b:SourceType>Book</b:SourceType>
    <b:Guid>{6D1636A8-E1C8-4BBA-BC58-9672DFCFEC4A}</b:Guid>
    <b:Title>Guía de los Fundamentos para la Dirección de Proyectos (Guía  del PMBOK)</b:Title>
    <b:Year>2013</b:Year>
    <b:Author>
      <b:Author>
        <b:NameList>
          <b:Person>
            <b:Last>PMI</b:Last>
          </b:Person>
        </b:NameList>
      </b:Author>
      <b:Editor>
        <b:NameList>
          <b:Person>
            <b:Last>Inst</b:Last>
            <b:First>Project</b:First>
            <b:Middle>Mgmt</b:Middle>
          </b:Person>
        </b:NameList>
      </b:Editor>
    </b:Author>
    <b:ShortTitle>PMBOK</b:ShortTitle>
    <b:Edition>Quinta Edición</b:Edition>
    <b:Publisher>Project Management Inst; 5 edition</b:Publisher>
    <b:StandardNumber>ISBN-13: 978-1628250091</b:StandardNumber>
    <b:Pages>589</b:Pages>
    <b:Medium>Digital</b:Medium>
    <b:RefOrder>17</b:RefOrder>
  </b:Source>
  <b:Source>
    <b:Tag>PHD16</b:Tag>
    <b:SourceType>Book</b:SourceType>
    <b:Guid>{ADB88156-5BD7-4247-A67D-0749EA0F1F19}</b:Guid>
    <b:Author>
      <b:Author>
        <b:NameList>
          <b:Person>
            <b:Last>Piñero</b:Last>
            <b:First>PHD.</b:First>
            <b:Middle>Pedro P</b:Middle>
          </b:Person>
        </b:NameList>
      </b:Author>
    </b:Author>
    <b:Title>Material de cursos de  la maestría de gestión de proyectos infromáticos</b:Title>
    <b:Year>2016</b:Year>
    <b:City>Habana</b:City>
    <b:Publisher>Universidad de las ciencias informáticas</b:Publisher>
    <b:RefOrder>20</b:RefOrder>
  </b:Source>
  <b:Source>
    <b:Tag>Lug131</b:Tag>
    <b:SourceType>JournalArticle</b:SourceType>
    <b:Guid>{B4DF0567-E07A-4286-9DE0-17D2069B2EB3}</b:Guid>
    <b:Title>Control de la ejecución de proyectos basado en indicadores y lógica borrosa</b:Title>
    <b:Year>2013</b:Year>
    <b:Author>
      <b:Author>
        <b:NameList>
          <b:Person>
            <b:Last>Lugo</b:Last>
            <b:First>J.</b:First>
            <b:Middle>A.</b:Middle>
          </b:Person>
          <b:Person>
            <b:Last>Torres</b:Last>
            <b:First>S.</b:First>
          </b:Person>
          <b:Person>
            <b:Last>Piñero</b:Last>
            <b:First>P.</b:First>
            <b:Middle>Y.</b:Middle>
          </b:Person>
          <b:Person>
            <b:Last>Delgado-Victore</b:Last>
            <b:First>R.</b:First>
          </b:Person>
        </b:NameList>
      </b:Author>
    </b:Author>
    <b:JournalName>Iberoamerican Journal of Project Management</b:JournalName>
    <b:Pages>15-35</b:Pages>
    <b:Volume>4</b:Volume>
    <b:Issue>1</b:Issue>
    <b:StandardNumber>ISSN 2027-7040</b:StandardNumber>
    <b:RefOrder>138</b:RefOrder>
  </b:Source>
  <b:Source>
    <b:Tag>Piñ13</b:Tag>
    <b:SourceType>JournalArticle</b:SourceType>
    <b:Guid>{D5713F00-127E-4656-AB7C-80C4894F16E8}</b:Guid>
    <b:Author>
      <b:Author>
        <b:NameList>
          <b:Person>
            <b:Last>Piñero</b:Last>
            <b:First>P.</b:First>
            <b:Middle>Y.</b:Middle>
          </b:Person>
          <b:Person>
            <b:Last>et.al</b:Last>
          </b:Person>
        </b:NameList>
      </b:Author>
    </b:Author>
    <b:Title>GESPRO. Paquete para la gestión de proyectos</b:Title>
    <b:JournalName>Nueva Empresa</b:JournalName>
    <b:Year>2013</b:Year>
    <b:Pages>45-53</b:Pages>
    <b:Volume>9</b:Volume>
    <b:Issue>1</b:Issue>
    <b:StandardNumber>ISSN: 1682-2455</b:StandardNumber>
    <b:RefOrder>22</b:RefOrder>
  </b:Source>
  <b:Source>
    <b:Tag>Lug13</b:Tag>
    <b:SourceType>JournalArticle</b:SourceType>
    <b:Guid>{5548D948-B416-4FCB-8DB0-3574EF46C542}</b:Guid>
    <b:Title>Cálculo automático de indicadores como técnica de apoyo para la decisión en el Sistema Nacional de Salud</b:Title>
    <b:Year>2013</b:Year>
    <b:Author>
      <b:Author>
        <b:NameList>
          <b:Person>
            <b:Last>Lugo</b:Last>
            <b:First>J.</b:First>
            <b:Middle>A.</b:Middle>
          </b:Person>
          <b:Person>
            <b:Last>Torres</b:Last>
            <b:First>S.</b:First>
          </b:Person>
          <b:Person>
            <b:Last>García</b:Last>
            <b:First>A.</b:First>
            <b:Middle>M.</b:Middle>
          </b:Person>
          <b:Person>
            <b:Last>Piñero</b:Last>
            <b:First>P.</b:First>
            <b:Middle>Y.</b:Middle>
          </b:Person>
          <b:Person>
            <b:Last>Delgado-Victore</b:Last>
            <b:First>R.</b:First>
          </b:Person>
        </b:NameList>
      </b:Author>
    </b:Author>
    <b:JournalName>Revista Cubana de Información en Ciencias de la Salud</b:JournalName>
    <b:Pages>15-35</b:Pages>
    <b:City>La Habana</b:City>
    <b:Publisher>Ciencias Médicas</b:Publisher>
    <b:Volume>24</b:Volume>
    <b:Issue>4</b:Issue>
    <b:StandardNumber>ISSN 2307-2113</b:StandardNumber>
    <b:RefOrder>7</b:RefOrder>
  </b:Source>
  <b:Source>
    <b:Tag>Par11</b:Tag>
    <b:SourceType>Book</b:SourceType>
    <b:Guid>{E99422EE-1D9F-4639-856C-13B580EAE8FC}</b:Guid>
    <b:Author>
      <b:Author>
        <b:Corporate>PCC</b:Corporate>
      </b:Author>
    </b:Author>
    <b:Title>Lineamientos de la Política Económica y Social del Partido y la Revolución</b:Title>
    <b:Year>2011</b:Year>
    <b:City>La Habana</b:City>
    <b:Publisher>PCC</b:Publisher>
    <b:RefOrder>41</b:RefOrder>
  </b:Source>
  <b:Source>
    <b:Tag>MarcadorDePosición5</b:Tag>
    <b:SourceType>JournalArticle</b:SourceType>
    <b:Guid>{F3394969-1FF1-4E3C-9DA6-54284441AE9B}</b:Guid>
    <b:Author>
      <b:Author>
        <b:NameList>
          <b:Person>
            <b:Last>Rodríguez</b:Last>
            <b:First>H</b:First>
          </b:Person>
          <b:Person>
            <b:Last>Guerrero</b:Last>
            <b:First>A.</b:First>
          </b:Person>
          <b:Person>
            <b:Last>Pierra</b:Last>
            <b:First>A.</b:First>
          </b:Person>
          <b:Person>
            <b:Last>Tamayo</b:Last>
            <b:First>S.</b:First>
            <b:Middle>E.</b:Middle>
          </b:Person>
        </b:NameList>
      </b:Author>
    </b:Author>
    <b:Title>El movimiento del software libre en Cuba</b:Title>
    <b:JournalName>Revista Cubana de Ciencias Informáticas</b:JournalName>
    <b:Year>2009</b:Year>
    <b:Pages>5-11</b:Pages>
    <b:Volume>3</b:Volume>
    <b:Issue>3-4</b:Issue>
    <b:StandardNumber>ISSN 1994-1536</b:StandardNumber>
    <b:RefOrder>157</b:RefOrder>
  </b:Source>
</b:Sources>
</file>

<file path=customXml/itemProps1.xml><?xml version="1.0" encoding="utf-8"?>
<ds:datastoreItem xmlns:ds="http://schemas.openxmlformats.org/officeDocument/2006/customXml" ds:itemID="{CF2BF266-B4E6-4CAF-9D3D-828AD92C0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1297</TotalTime>
  <Application>LibreOffice/5.1.6.2$Linux_X86_64 LibreOffice_project/10m0$Build-2</Application>
  <Pages>165</Pages>
  <Words>49914</Words>
  <Characters>264210</Characters>
  <CharactersWithSpaces>307216</CharactersWithSpaces>
  <Paragraphs>5242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2021-10-07T15:49:00Z</dcterms:created>
  <dc:creator>Alfredo Guerra</dc:creator>
  <dc:description/>
  <dc:language>en-US</dc:language>
  <cp:lastModifiedBy/>
  <cp:lastPrinted>2021-12-12T15:31:00Z</cp:lastPrinted>
  <dcterms:modified xsi:type="dcterms:W3CDTF">2022-07-07T16:50:47Z</dcterms:modified>
  <cp:revision>93</cp:revision>
  <dc:subject/>
  <dc:title>UNIVERSIDAD DE LAS CIENCIAS INFORMÁTICAS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y fmtid="{D5CDD505-2E9C-101B-9397-08002B2CF9AE}" pid="8" name="ZOTERO_PREF_1">
    <vt:lpwstr>&lt;data data-version="3" zotero-version="5.0.81"&gt;&lt;session id="NJclqhNX"/&gt;&lt;style id="http://www.zotero.org/styles/iso690-author-date-es" hasBibliography="1" bibliographyStyleHasBeenSet="1"/&gt;&lt;prefs&gt;&lt;pref name="fieldType" value="Field"/&gt;&lt;pref name="storeRefere</vt:lpwstr>
  </property>
  <property fmtid="{D5CDD505-2E9C-101B-9397-08002B2CF9AE}" pid="9" name="ZOTERO_PREF_2">
    <vt:lpwstr>nces" value="true"/&gt;&lt;pref name="automaticJournalAbbreviations" value="true"/&gt;&lt;pref name="delayCitationUpdates" value="true"/&gt;&lt;pref name="dontAskDelayCitationUpdates" value="true"/&gt;&lt;/prefs&gt;&lt;/data&gt;</vt:lpwstr>
  </property>
</Properties>
</file>